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ageBreakBefore w:val="0"/>
        <w:ind w:left="0" w:firstLine="0"/>
        <w:jc w:val="center"/>
        <w:rPr>
          <w:rFonts w:ascii="Salesforce Sans" w:cs="Salesforce Sans" w:eastAsia="Salesforce Sans" w:hAnsi="Salesforce Sans"/>
          <w:color w:val="666666"/>
          <w:sz w:val="44"/>
          <w:szCs w:val="44"/>
        </w:rPr>
      </w:pPr>
      <w:bookmarkStart w:colFirst="0" w:colLast="0" w:name="_vxiwgpa8zsrb" w:id="0"/>
      <w:bookmarkEnd w:id="0"/>
      <w:r w:rsidDel="00000000" w:rsidR="00000000" w:rsidRPr="00000000">
        <w:rPr>
          <w:rFonts w:ascii="Salesforce Sans" w:cs="Salesforce Sans" w:eastAsia="Salesforce Sans" w:hAnsi="Salesforce Sans"/>
          <w:color w:val="666666"/>
          <w:rtl w:val="0"/>
        </w:rPr>
        <w:t xml:space="preserve">Accelerator for Provider Relationship Management </w:t>
      </w:r>
      <w:r w:rsidDel="00000000" w:rsidR="00000000" w:rsidRPr="00000000">
        <w:rPr>
          <w:rFonts w:ascii="Salesforce Sans" w:cs="Salesforce Sans" w:eastAsia="Salesforce Sans" w:hAnsi="Salesforce Sans"/>
          <w:color w:val="666666"/>
          <w:sz w:val="44"/>
          <w:szCs w:val="44"/>
          <w:rtl w:val="0"/>
        </w:rPr>
        <w:t xml:space="preserve">Best Practice Guide</w:t>
      </w:r>
    </w:p>
    <w:p w:rsidR="00000000" w:rsidDel="00000000" w:rsidP="00000000" w:rsidRDefault="00000000" w:rsidRPr="00000000" w14:paraId="00000002">
      <w:pPr>
        <w:pStyle w:val="Subtitle"/>
        <w:pageBreakBefore w:val="0"/>
        <w:spacing w:before="240" w:lineRule="auto"/>
        <w:ind w:left="0" w:firstLine="0"/>
        <w:jc w:val="center"/>
        <w:rPr>
          <w:rFonts w:ascii="Salesforce Sans" w:cs="Salesforce Sans" w:eastAsia="Salesforce Sans" w:hAnsi="Salesforce Sans"/>
          <w:sz w:val="28"/>
          <w:szCs w:val="28"/>
        </w:rPr>
      </w:pPr>
      <w:bookmarkStart w:colFirst="0" w:colLast="0" w:name="_9iwyulq05ga6" w:id="1"/>
      <w:bookmarkEnd w:id="1"/>
      <w:r w:rsidDel="00000000" w:rsidR="00000000" w:rsidRPr="00000000">
        <w:rPr>
          <w:rFonts w:ascii="Salesforce Sans" w:cs="Salesforce Sans" w:eastAsia="Salesforce Sans" w:hAnsi="Salesforce Sans"/>
          <w:sz w:val="28"/>
          <w:szCs w:val="28"/>
          <w:rtl w:val="0"/>
        </w:rPr>
        <w:t xml:space="preserve">Last updated</w:t>
      </w:r>
      <w:r w:rsidDel="00000000" w:rsidR="00000000" w:rsidRPr="00000000">
        <w:rPr>
          <w:rFonts w:ascii="Salesforce Sans" w:cs="Salesforce Sans" w:eastAsia="Salesforce Sans" w:hAnsi="Salesforce Sans"/>
          <w:sz w:val="28"/>
          <w:szCs w:val="28"/>
          <w:rtl w:val="0"/>
        </w:rPr>
        <w:t xml:space="preserve"> dated </w:t>
      </w:r>
      <w:r w:rsidDel="00000000" w:rsidR="00000000" w:rsidRPr="00000000">
        <w:rPr>
          <w:rFonts w:ascii="Salesforce Sans" w:cs="Salesforce Sans" w:eastAsia="Salesforce Sans" w:hAnsi="Salesforce Sans"/>
          <w:sz w:val="28"/>
          <w:szCs w:val="28"/>
          <w:rtl w:val="0"/>
        </w:rPr>
        <w:t xml:space="preserve">Apr 6, 2022</w:t>
      </w:r>
      <w:r w:rsidDel="00000000" w:rsidR="00000000" w:rsidRPr="00000000">
        <w:rPr>
          <w:rtl w:val="0"/>
        </w:rPr>
      </w:r>
    </w:p>
    <w:p w:rsidR="00000000" w:rsidDel="00000000" w:rsidP="00000000" w:rsidRDefault="00000000" w:rsidRPr="00000000" w14:paraId="00000003">
      <w:pPr>
        <w:pStyle w:val="Heading1"/>
        <w:pageBreakBefore w:val="0"/>
        <w:ind w:left="0" w:firstLine="0"/>
        <w:rPr>
          <w:rFonts w:ascii="Salesforce Sans" w:cs="Salesforce Sans" w:eastAsia="Salesforce Sans" w:hAnsi="Salesforce Sans"/>
          <w:color w:val="00a1e0"/>
          <w:shd w:fill="b7b7b7"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-1066799</wp:posOffset>
            </wp:positionH>
            <wp:positionV relativeFrom="paragraph">
              <wp:posOffset>504825</wp:posOffset>
            </wp:positionV>
            <wp:extent cx="8072438" cy="346113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072438" cy="3461137"/>
                    </a:xfrm>
                    <a:prstGeom prst="rect"/>
                    <a:ln/>
                  </pic:spPr>
                </pic:pic>
              </a:graphicData>
            </a:graphic>
          </wp:anchor>
        </w:drawing>
      </w:r>
    </w:p>
    <w:p w:rsidR="00000000" w:rsidDel="00000000" w:rsidP="00000000" w:rsidRDefault="00000000" w:rsidRPr="00000000" w14:paraId="00000004">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05">
      <w:pPr>
        <w:pageBreakBefore w:val="0"/>
        <w:spacing w:after="0" w:lineRule="auto"/>
        <w:ind w:left="0" w:firstLine="0"/>
        <w:rPr>
          <w:rFonts w:ascii="Salesforce Sans" w:cs="Salesforce Sans" w:eastAsia="Salesforce Sans" w:hAnsi="Salesforce Sans"/>
          <w:b w:val="1"/>
          <w:color w:val="666666"/>
          <w:sz w:val="28"/>
          <w:szCs w:val="28"/>
          <w:highlight w:val="yellow"/>
        </w:rPr>
      </w:pPr>
      <w:r w:rsidDel="00000000" w:rsidR="00000000" w:rsidRPr="00000000">
        <w:rPr>
          <w:rtl w:val="0"/>
        </w:rPr>
      </w:r>
    </w:p>
    <w:p w:rsidR="00000000" w:rsidDel="00000000" w:rsidP="00000000" w:rsidRDefault="00000000" w:rsidRPr="00000000" w14:paraId="00000006">
      <w:pPr>
        <w:pageBreakBefore w:val="0"/>
        <w:spacing w:after="0" w:lineRule="auto"/>
        <w:ind w:left="0" w:firstLine="0"/>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b w:val="1"/>
          <w:color w:val="666666"/>
          <w:sz w:val="28"/>
          <w:szCs w:val="28"/>
          <w:rtl w:val="0"/>
        </w:rPr>
        <w:t xml:space="preserve">Presented by:</w:t>
      </w:r>
      <w:r w:rsidDel="00000000" w:rsidR="00000000" w:rsidRPr="00000000">
        <w:rPr>
          <w:rFonts w:ascii="Salesforce Sans" w:cs="Salesforce Sans" w:eastAsia="Salesforce Sans" w:hAnsi="Salesforce Sans"/>
          <w:color w:val="666666"/>
          <w:sz w:val="28"/>
          <w:szCs w:val="28"/>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Nikki Pallaras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Catherine Esselman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Leanne Schroeder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Liz Christenbury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Samantha Schultz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Samantha Fried</w:t>
      </w:r>
      <w:r w:rsidDel="00000000" w:rsidR="00000000" w:rsidRPr="00000000">
        <w:rPr>
          <w:rtl w:val="0"/>
        </w:rPr>
      </w:r>
    </w:p>
    <w:p w:rsidR="00000000" w:rsidDel="00000000" w:rsidP="00000000" w:rsidRDefault="00000000" w:rsidRPr="00000000" w14:paraId="0000000D">
      <w:pPr>
        <w:pStyle w:val="Heading1"/>
        <w:pageBreakBefore w:val="0"/>
        <w:ind w:left="0" w:firstLine="0"/>
        <w:rPr>
          <w:rFonts w:ascii="Salesforce Sans" w:cs="Salesforce Sans" w:eastAsia="Salesforce Sans" w:hAnsi="Salesforce Sans"/>
          <w:color w:val="00a1e0"/>
        </w:rPr>
      </w:pPr>
      <w:bookmarkStart w:colFirst="0" w:colLast="0" w:name="_bxghxmmngyog" w:id="2"/>
      <w:bookmarkEnd w:id="2"/>
      <w:r w:rsidDel="00000000" w:rsidR="00000000" w:rsidRPr="00000000">
        <w:rPr>
          <w:rtl w:val="0"/>
        </w:rPr>
      </w:r>
    </w:p>
    <w:p w:rsidR="00000000" w:rsidDel="00000000" w:rsidP="00000000" w:rsidRDefault="00000000" w:rsidRPr="00000000" w14:paraId="0000000E">
      <w:pPr>
        <w:pageBreakBefore w:val="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0F">
      <w:pPr>
        <w:pStyle w:val="Heading1"/>
        <w:pageBreakBefore w:val="0"/>
        <w:ind w:left="0" w:firstLine="0"/>
        <w:rPr>
          <w:rFonts w:ascii="Salesforce Sans" w:cs="Salesforce Sans" w:eastAsia="Salesforce Sans" w:hAnsi="Salesforce Sans"/>
          <w:color w:val="00a1e0"/>
        </w:rPr>
      </w:pPr>
      <w:bookmarkStart w:colFirst="0" w:colLast="0" w:name="_ajpy9eexljvc" w:id="3"/>
      <w:bookmarkEnd w:id="3"/>
      <w:r w:rsidDel="00000000" w:rsidR="00000000" w:rsidRPr="00000000">
        <w:rPr>
          <w:rFonts w:ascii="Salesforce Sans" w:cs="Salesforce Sans" w:eastAsia="Salesforce Sans" w:hAnsi="Salesforce Sans"/>
          <w:color w:val="00a1e0"/>
          <w:rtl w:val="0"/>
        </w:rPr>
        <w:t xml:space="preserve">Table of Contents </w:t>
      </w:r>
      <w:r w:rsidDel="00000000" w:rsidR="00000000" w:rsidRPr="00000000">
        <w:rPr>
          <w:rtl w:val="0"/>
        </w:rPr>
      </w:r>
    </w:p>
    <w:p w:rsidR="00000000" w:rsidDel="00000000" w:rsidP="00000000" w:rsidRDefault="00000000" w:rsidRPr="00000000" w14:paraId="00000010">
      <w:pPr>
        <w:rPr>
          <w:rFonts w:ascii="Salesforce Sans" w:cs="Salesforce Sans" w:eastAsia="Salesforce Sans" w:hAnsi="Salesforc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r w:rsidDel="00000000" w:rsidR="00000000" w:rsidRPr="00000000">
            <w:fldChar w:fldCharType="begin"/>
            <w:instrText xml:space="preserve"> TOC \h \u \z </w:instrText>
            <w:fldChar w:fldCharType="separate"/>
          </w:r>
          <w:hyperlink w:anchor="_vxiwgpa8zsrb">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Accelerator for Provider Relationship Management Best Practice Guide</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_vxiwgpa8zsrb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ajpy9eexljvc">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Table of Contents</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_ajpy9eexljvc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r2ib0jjl8mfm">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Executive Summary</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_r2ib0jjl8mfm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91zs7glf7gnl">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Included Capabilities</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_91zs7glf7gnl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foqivplpxn5d">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Process Flow Diagram</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_foqivplpxn5d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r8bi6fnf0qzz">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Frequency of Software upgrades and Version Updates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_r8bi6fnf0qzz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ktgwmqe2xm2q">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Use Case Scenario</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_ktgwmqe2xm2q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o0fquc5irnm0">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Best Practices: Recommendations for Configuration</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_o0fquc5irnm0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mj0jajqq2u33">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Installation Guide</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_mj0jajqq2u33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5060q7drqpp">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Integration</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_5060q7drqpp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bc4t35hycz7n">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Modeling Providers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_bc4t35hycz7n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jgonyqb2bvsw">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Decision Table and Additional Considerations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_jgonyqb2bvsw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icihym10e4e8">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Previous Modeling of Providers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_icihym10e4e8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cxc2vzur9px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Timeline</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_cxc2vzur9pxk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9a2xvpfpoh5m">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Providers as Individual Entities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_9a2xvpfpoh5m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x4ip4cots1sz">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Providers and Care Programs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_x4ip4cots1sz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5skdbhmsm61p">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Territory Management Usage</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_5skdbhmsm61p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7p4uxovsj0wm">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Security + Data Storage</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_7p4uxovsj0wm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yi823imesjqs">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Managing Relationships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_yi823imesjqs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eo5uma2g4swn">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Assessments Considerations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_eo5uma2g4swn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3i6onj5varn2">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Assessment Feature Matrix</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_3i6onj5varn2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iy5ftg7g35lv">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Supporting Documentation</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_iy5ftg7g35lv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28">
      <w:pPr>
        <w:pStyle w:val="Heading1"/>
        <w:keepNext w:val="0"/>
        <w:keepLines w:val="0"/>
        <w:pageBreakBefore w:val="0"/>
        <w:numPr>
          <w:ilvl w:val="0"/>
          <w:numId w:val="11"/>
        </w:numPr>
        <w:spacing w:after="120" w:before="480" w:line="276" w:lineRule="auto"/>
        <w:ind w:firstLine="360"/>
        <w:rPr>
          <w:rFonts w:ascii="Salesforce Sans" w:cs="Salesforce Sans" w:eastAsia="Salesforce Sans" w:hAnsi="Salesforce Sans"/>
          <w:color w:val="00a1e0"/>
        </w:rPr>
      </w:pPr>
      <w:bookmarkStart w:colFirst="0" w:colLast="0" w:name="_r2ib0jjl8mfm" w:id="4"/>
      <w:bookmarkEnd w:id="4"/>
      <w:r w:rsidDel="00000000" w:rsidR="00000000" w:rsidRPr="00000000">
        <w:rPr>
          <w:rFonts w:ascii="Salesforce Sans" w:cs="Salesforce Sans" w:eastAsia="Salesforce Sans" w:hAnsi="Salesforce Sans"/>
          <w:color w:val="00a1e0"/>
          <w:rtl w:val="0"/>
        </w:rPr>
        <w:t xml:space="preserve">Exec</w:t>
      </w:r>
      <w:r w:rsidDel="00000000" w:rsidR="00000000" w:rsidRPr="00000000">
        <w:rPr>
          <w:rFonts w:ascii="Salesforce Sans" w:cs="Salesforce Sans" w:eastAsia="Salesforce Sans" w:hAnsi="Salesforce Sans"/>
          <w:color w:val="00a1e0"/>
          <w:rtl w:val="0"/>
        </w:rPr>
        <w:t xml:space="preserve">utive Summary</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PRM App Accelerator for Health Cloud for Physician Relationship Management (PRM) empowers healthcare organizations of all types to </w:t>
      </w:r>
      <w:r w:rsidDel="00000000" w:rsidR="00000000" w:rsidRPr="00000000">
        <w:rPr>
          <w:rFonts w:ascii="Salesforce Sans" w:cs="Salesforce Sans" w:eastAsia="Salesforce Sans" w:hAnsi="Salesforce Sans"/>
          <w:b w:val="1"/>
          <w:rtl w:val="0"/>
        </w:rPr>
        <w:t xml:space="preserve">deliver more personalized and collaborative experiences, efficiently manage provider networks, and grow quality relationships</w:t>
      </w:r>
      <w:r w:rsidDel="00000000" w:rsidR="00000000" w:rsidRPr="00000000">
        <w:rPr>
          <w:rFonts w:ascii="Salesforce Sans" w:cs="Salesforce Sans" w:eastAsia="Salesforce Sans" w:hAnsi="Salesforce Sans"/>
          <w:rtl w:val="0"/>
        </w:rPr>
        <w:t xml:space="preserve">. PRM provides</w:t>
      </w:r>
      <w:r w:rsidDel="00000000" w:rsidR="00000000" w:rsidRPr="00000000">
        <w:rPr>
          <w:rFonts w:ascii="Salesforce Sans" w:cs="Salesforce Sans" w:eastAsia="Salesforce Sans" w:hAnsi="Salesforce Sans"/>
          <w:rtl w:val="0"/>
        </w:rPr>
        <w:t xml:space="preserve"> a </w:t>
      </w:r>
      <w:r w:rsidDel="00000000" w:rsidR="00000000" w:rsidRPr="00000000">
        <w:rPr>
          <w:rFonts w:ascii="Salesforce Sans" w:cs="Salesforce Sans" w:eastAsia="Salesforce Sans" w:hAnsi="Salesforce Sans"/>
          <w:rtl w:val="0"/>
        </w:rPr>
        <w:t xml:space="preserve">comprehensive, scalable solution that meets the broad needs of healthcare organizations business development teams, enabling seamless </w:t>
      </w:r>
      <w:r w:rsidDel="00000000" w:rsidR="00000000" w:rsidRPr="00000000">
        <w:rPr>
          <w:rFonts w:ascii="Salesforce Sans" w:cs="Salesforce Sans" w:eastAsia="Salesforce Sans" w:hAnsi="Salesforce Sans"/>
          <w:rtl w:val="0"/>
        </w:rPr>
        <w:t xml:space="preserve">engagement with providers and/or clinical practice partners based on prioritized service lines. The solution helps eliminate barriers to garnering business to all service lines throughout the healthcare system's geographic service area.</w:t>
      </w:r>
      <w:r w:rsidDel="00000000" w:rsidR="00000000" w:rsidRPr="00000000">
        <w:rPr>
          <w:rtl w:val="0"/>
        </w:rPr>
      </w:r>
    </w:p>
    <w:p w:rsidR="00000000" w:rsidDel="00000000" w:rsidP="00000000" w:rsidRDefault="00000000" w:rsidRPr="00000000" w14:paraId="0000002A">
      <w:pPr>
        <w:pageBreakBefore w:val="0"/>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27559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0" w:firstLine="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2C">
      <w:pPr>
        <w:pStyle w:val="Heading1"/>
        <w:pageBreakBefore w:val="0"/>
        <w:numPr>
          <w:ilvl w:val="0"/>
          <w:numId w:val="11"/>
        </w:numPr>
        <w:spacing w:after="40" w:before="200" w:line="276" w:lineRule="auto"/>
        <w:ind w:firstLine="360"/>
        <w:rPr>
          <w:rFonts w:ascii="Salesforce Sans" w:cs="Salesforce Sans" w:eastAsia="Salesforce Sans" w:hAnsi="Salesforce Sans"/>
          <w:color w:val="00a1e0"/>
        </w:rPr>
      </w:pPr>
      <w:bookmarkStart w:colFirst="0" w:colLast="0" w:name="_91zs7glf7gnl" w:id="5"/>
      <w:bookmarkEnd w:id="5"/>
      <w:r w:rsidDel="00000000" w:rsidR="00000000" w:rsidRPr="00000000">
        <w:rPr>
          <w:rFonts w:ascii="Salesforce Sans" w:cs="Salesforce Sans" w:eastAsia="Salesforce Sans" w:hAnsi="Salesforce Sans"/>
          <w:color w:val="00a1e0"/>
          <w:rtl w:val="0"/>
        </w:rPr>
        <w:t xml:space="preserve">Included Capabilities </w:t>
      </w:r>
    </w:p>
    <w:p w:rsidR="00000000" w:rsidDel="00000000" w:rsidP="00000000" w:rsidRDefault="00000000" w:rsidRPr="00000000" w14:paraId="0000002D">
      <w:pPr>
        <w:spacing w:after="240" w:before="240" w:lineRule="auto"/>
        <w:ind w:lef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color w:val="009ddc"/>
          <w:sz w:val="28"/>
          <w:szCs w:val="28"/>
          <w:rtl w:val="0"/>
        </w:rPr>
        <w:t xml:space="preserve">Provider Relationship Management Data Model</w:t>
      </w:r>
      <w:r w:rsidDel="00000000" w:rsidR="00000000" w:rsidRPr="00000000">
        <w:rPr>
          <w:rtl w:val="0"/>
        </w:rPr>
      </w:r>
    </w:p>
    <w:p w:rsidR="00000000" w:rsidDel="00000000" w:rsidP="00000000" w:rsidRDefault="00000000" w:rsidRPr="00000000" w14:paraId="0000002E">
      <w:pPr>
        <w:ind w:left="0" w:firstLine="0"/>
        <w:rPr>
          <w:rFonts w:ascii="Salesforce Sans" w:cs="Salesforce Sans" w:eastAsia="Salesforce Sans" w:hAnsi="Salesforce Sans"/>
          <w:b w:val="1"/>
          <w:color w:val="009ddc"/>
          <w:sz w:val="28"/>
          <w:szCs w:val="28"/>
        </w:rPr>
      </w:pPr>
      <w:r w:rsidDel="00000000" w:rsidR="00000000" w:rsidRPr="00000000">
        <w:rPr>
          <w:rtl w:val="0"/>
        </w:rPr>
      </w:r>
    </w:p>
    <w:p w:rsidR="00000000" w:rsidDel="00000000" w:rsidP="00000000" w:rsidRDefault="00000000" w:rsidRPr="00000000" w14:paraId="0000002F">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43053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Salesforce Sans" w:cs="Salesforce Sans" w:eastAsia="Salesforce Sans" w:hAnsi="Salesforce Sans"/>
          <w:color w:val="0b0b0b"/>
          <w:sz w:val="24"/>
          <w:szCs w:val="24"/>
        </w:rPr>
      </w:pPr>
      <w:r w:rsidDel="00000000" w:rsidR="00000000" w:rsidRPr="00000000">
        <w:rPr>
          <w:rFonts w:ascii="Salesforce Sans" w:cs="Salesforce Sans" w:eastAsia="Salesforce Sans" w:hAnsi="Salesforce Sans"/>
          <w:color w:val="0b0b0b"/>
          <w:sz w:val="24"/>
          <w:szCs w:val="24"/>
          <w:rtl w:val="0"/>
        </w:rPr>
        <w:t xml:space="preserve">The Health Cloud provider relationship management data model along with standard Salesforce objects manages healthcare system’s network of providers.</w:t>
      </w:r>
    </w:p>
    <w:p w:rsidR="00000000" w:rsidDel="00000000" w:rsidP="00000000" w:rsidRDefault="00000000" w:rsidRPr="00000000" w14:paraId="00000031">
      <w:pPr>
        <w:spacing w:after="0" w:lineRule="auto"/>
        <w:ind w:left="0" w:firstLine="0"/>
        <w:jc w:val="both"/>
        <w:rPr>
          <w:rFonts w:ascii="Salesforce Sans" w:cs="Salesforce Sans" w:eastAsia="Salesforce Sans" w:hAnsi="Salesforce Sans"/>
          <w:color w:val="2b303b"/>
          <w:highlight w:val="white"/>
        </w:rPr>
      </w:pPr>
      <w:r w:rsidDel="00000000" w:rsidR="00000000" w:rsidRPr="00000000">
        <w:rPr>
          <w:rtl w:val="0"/>
        </w:rPr>
      </w:r>
    </w:p>
    <w:p w:rsidR="00000000" w:rsidDel="00000000" w:rsidP="00000000" w:rsidRDefault="00000000" w:rsidRPr="00000000" w14:paraId="00000032">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9">
        <w:r w:rsidDel="00000000" w:rsidR="00000000" w:rsidRPr="00000000">
          <w:rPr>
            <w:rFonts w:ascii="Salesforce Sans" w:cs="Salesforce Sans" w:eastAsia="Salesforce Sans" w:hAnsi="Salesforce Sans"/>
            <w:color w:val="1155cc"/>
            <w:sz w:val="24"/>
            <w:szCs w:val="24"/>
            <w:highlight w:val="white"/>
            <w:u w:val="single"/>
            <w:rtl w:val="0"/>
          </w:rPr>
          <w:t xml:space="preserve">Provider Relationship Management Overview</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Use the Health Cloud provider relationship management data model along with standard Salesforce objects to manager your network of providers.</w:t>
      </w:r>
    </w:p>
    <w:p w:rsidR="00000000" w:rsidDel="00000000" w:rsidP="00000000" w:rsidRDefault="00000000" w:rsidRPr="00000000" w14:paraId="00000033">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0">
        <w:r w:rsidDel="00000000" w:rsidR="00000000" w:rsidRPr="00000000">
          <w:rPr>
            <w:rFonts w:ascii="Salesforce Sans" w:cs="Salesforce Sans" w:eastAsia="Salesforce Sans" w:hAnsi="Salesforce Sans"/>
            <w:color w:val="1155cc"/>
            <w:sz w:val="24"/>
            <w:szCs w:val="24"/>
            <w:highlight w:val="white"/>
            <w:u w:val="single"/>
            <w:rtl w:val="0"/>
          </w:rPr>
          <w:t xml:space="preserve">Accreditation</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the professional accreditations of a facility. For example, a joint commission accredits a facility as a general acute care hospital.</w:t>
      </w:r>
    </w:p>
    <w:p w:rsidR="00000000" w:rsidDel="00000000" w:rsidP="00000000" w:rsidRDefault="00000000" w:rsidRPr="00000000" w14:paraId="00000034">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1">
        <w:r w:rsidDel="00000000" w:rsidR="00000000" w:rsidRPr="00000000">
          <w:rPr>
            <w:rFonts w:ascii="Salesforce Sans" w:cs="Salesforce Sans" w:eastAsia="Salesforce Sans" w:hAnsi="Salesforce Sans"/>
            <w:color w:val="1155cc"/>
            <w:sz w:val="24"/>
            <w:szCs w:val="24"/>
            <w:highlight w:val="white"/>
            <w:u w:val="single"/>
            <w:rtl w:val="0"/>
          </w:rPr>
          <w:t xml:space="preserve">Award</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a person's or organization's professional awards.</w:t>
      </w:r>
    </w:p>
    <w:p w:rsidR="00000000" w:rsidDel="00000000" w:rsidP="00000000" w:rsidRDefault="00000000" w:rsidRPr="00000000" w14:paraId="00000035">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2">
        <w:r w:rsidDel="00000000" w:rsidR="00000000" w:rsidRPr="00000000">
          <w:rPr>
            <w:rFonts w:ascii="Salesforce Sans" w:cs="Salesforce Sans" w:eastAsia="Salesforce Sans" w:hAnsi="Salesforce Sans"/>
            <w:color w:val="1155cc"/>
            <w:sz w:val="24"/>
            <w:szCs w:val="24"/>
            <w:highlight w:val="white"/>
            <w:u w:val="single"/>
            <w:rtl w:val="0"/>
          </w:rPr>
          <w:t xml:space="preserve">BoardCertification</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the practitioner's board certifications such as being board-certified in cardiology and cardiovascular disease.</w:t>
      </w:r>
    </w:p>
    <w:p w:rsidR="00000000" w:rsidDel="00000000" w:rsidP="00000000" w:rsidRDefault="00000000" w:rsidRPr="00000000" w14:paraId="00000036">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3">
        <w:r w:rsidDel="00000000" w:rsidR="00000000" w:rsidRPr="00000000">
          <w:rPr>
            <w:rFonts w:ascii="Salesforce Sans" w:cs="Salesforce Sans" w:eastAsia="Salesforce Sans" w:hAnsi="Salesforce Sans"/>
            <w:color w:val="1155cc"/>
            <w:sz w:val="24"/>
            <w:szCs w:val="24"/>
            <w:highlight w:val="white"/>
            <w:u w:val="single"/>
            <w:rtl w:val="0"/>
          </w:rPr>
          <w:t xml:space="preserve">BusinessLicense</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the licenses of a party role like healthcare provider or producer.</w:t>
      </w:r>
    </w:p>
    <w:p w:rsidR="00000000" w:rsidDel="00000000" w:rsidP="00000000" w:rsidRDefault="00000000" w:rsidRPr="00000000" w14:paraId="00000037">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4">
        <w:r w:rsidDel="00000000" w:rsidR="00000000" w:rsidRPr="00000000">
          <w:rPr>
            <w:rFonts w:ascii="Salesforce Sans" w:cs="Salesforce Sans" w:eastAsia="Salesforce Sans" w:hAnsi="Salesforce Sans"/>
            <w:color w:val="1155cc"/>
            <w:sz w:val="24"/>
            <w:szCs w:val="24"/>
            <w:highlight w:val="white"/>
            <w:u w:val="single"/>
            <w:rtl w:val="0"/>
          </w:rPr>
          <w:t xml:space="preserve">CareProviderFacilitySpecialty</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all the specialties that the practitioner provides at a given location. For example, a physician who is board-certified in both spine and neuro may provide spine services at one location and neuro services at another.</w:t>
      </w:r>
    </w:p>
    <w:p w:rsidR="00000000" w:rsidDel="00000000" w:rsidP="00000000" w:rsidRDefault="00000000" w:rsidRPr="00000000" w14:paraId="00000038">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5">
        <w:r w:rsidDel="00000000" w:rsidR="00000000" w:rsidRPr="00000000">
          <w:rPr>
            <w:rFonts w:ascii="Salesforce Sans" w:cs="Salesforce Sans" w:eastAsia="Salesforce Sans" w:hAnsi="Salesforce Sans"/>
            <w:color w:val="1155cc"/>
            <w:sz w:val="24"/>
            <w:szCs w:val="24"/>
            <w:highlight w:val="white"/>
            <w:u w:val="single"/>
            <w:rtl w:val="0"/>
          </w:rPr>
          <w:t xml:space="preserve">CareSpecialty</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a listing of provider specialty codes and descriptions. For example, </w:t>
      </w:r>
      <w:r w:rsidDel="00000000" w:rsidR="00000000" w:rsidRPr="00000000">
        <w:rPr>
          <w:rFonts w:ascii="Courier New" w:cs="Courier New" w:eastAsia="Courier New" w:hAnsi="Courier New"/>
          <w:color w:val="0b0b0b"/>
          <w:sz w:val="24"/>
          <w:szCs w:val="24"/>
          <w:highlight w:val="white"/>
          <w:rtl w:val="0"/>
        </w:rPr>
        <w:t xml:space="preserve">02 - Physician/General Surgery</w:t>
      </w:r>
      <w:r w:rsidDel="00000000" w:rsidR="00000000" w:rsidRPr="00000000">
        <w:rPr>
          <w:rFonts w:ascii="Salesforce Sans" w:cs="Salesforce Sans" w:eastAsia="Salesforce Sans" w:hAnsi="Salesforce Sans"/>
          <w:color w:val="0b0b0b"/>
          <w:sz w:val="24"/>
          <w:szCs w:val="24"/>
          <w:highlight w:val="white"/>
          <w:rtl w:val="0"/>
        </w:rPr>
        <w:t xml:space="preserve">.</w:t>
      </w:r>
    </w:p>
    <w:p w:rsidR="00000000" w:rsidDel="00000000" w:rsidP="00000000" w:rsidRDefault="00000000" w:rsidRPr="00000000" w14:paraId="00000039">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6">
        <w:r w:rsidDel="00000000" w:rsidR="00000000" w:rsidRPr="00000000">
          <w:rPr>
            <w:rFonts w:ascii="Salesforce Sans" w:cs="Salesforce Sans" w:eastAsia="Salesforce Sans" w:hAnsi="Salesforce Sans"/>
            <w:color w:val="1155cc"/>
            <w:sz w:val="24"/>
            <w:szCs w:val="24"/>
            <w:highlight w:val="white"/>
            <w:u w:val="single"/>
            <w:rtl w:val="0"/>
          </w:rPr>
          <w:t xml:space="preserve">CareTaxonomy</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a static list of taxonomy codes.</w:t>
      </w:r>
    </w:p>
    <w:p w:rsidR="00000000" w:rsidDel="00000000" w:rsidP="00000000" w:rsidRDefault="00000000" w:rsidRPr="00000000" w14:paraId="0000003A">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7">
        <w:r w:rsidDel="00000000" w:rsidR="00000000" w:rsidRPr="00000000">
          <w:rPr>
            <w:rFonts w:ascii="Salesforce Sans" w:cs="Salesforce Sans" w:eastAsia="Salesforce Sans" w:hAnsi="Salesforce Sans"/>
            <w:color w:val="1155cc"/>
            <w:sz w:val="24"/>
            <w:szCs w:val="24"/>
            <w:highlight w:val="white"/>
            <w:u w:val="single"/>
            <w:rtl w:val="0"/>
          </w:rPr>
          <w:t xml:space="preserve">HealthcareFacilityNetwork</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a junction object identifying the insurance network that a location or business entity is a part of.</w:t>
      </w:r>
    </w:p>
    <w:p w:rsidR="00000000" w:rsidDel="00000000" w:rsidP="00000000" w:rsidRDefault="00000000" w:rsidRPr="00000000" w14:paraId="0000003B">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8">
        <w:r w:rsidDel="00000000" w:rsidR="00000000" w:rsidRPr="00000000">
          <w:rPr>
            <w:rFonts w:ascii="Salesforce Sans" w:cs="Salesforce Sans" w:eastAsia="Salesforce Sans" w:hAnsi="Salesforce Sans"/>
            <w:color w:val="1155cc"/>
            <w:sz w:val="24"/>
            <w:szCs w:val="24"/>
            <w:highlight w:val="white"/>
            <w:u w:val="single"/>
            <w:rtl w:val="0"/>
          </w:rPr>
          <w:t xml:space="preserve">HealthcarePayerNetwork</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an insurance network group. For example, an insurance company’s exclusive provider organization (EPO) plans.</w:t>
      </w:r>
    </w:p>
    <w:p w:rsidR="00000000" w:rsidDel="00000000" w:rsidP="00000000" w:rsidRDefault="00000000" w:rsidRPr="00000000" w14:paraId="0000003C">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19">
        <w:r w:rsidDel="00000000" w:rsidR="00000000" w:rsidRPr="00000000">
          <w:rPr>
            <w:rFonts w:ascii="Salesforce Sans" w:cs="Salesforce Sans" w:eastAsia="Salesforce Sans" w:hAnsi="Salesforce Sans"/>
            <w:color w:val="1155cc"/>
            <w:sz w:val="24"/>
            <w:szCs w:val="24"/>
            <w:highlight w:val="white"/>
            <w:u w:val="single"/>
            <w:rtl w:val="0"/>
          </w:rPr>
          <w:t xml:space="preserve">HealthcarePractitionerFacility</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the different locations in which a practitioner provides services.</w:t>
      </w:r>
    </w:p>
    <w:p w:rsidR="00000000" w:rsidDel="00000000" w:rsidP="00000000" w:rsidRDefault="00000000" w:rsidRPr="00000000" w14:paraId="0000003D">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20">
        <w:r w:rsidDel="00000000" w:rsidR="00000000" w:rsidRPr="00000000">
          <w:rPr>
            <w:rFonts w:ascii="Salesforce Sans" w:cs="Salesforce Sans" w:eastAsia="Salesforce Sans" w:hAnsi="Salesforce Sans"/>
            <w:color w:val="1155cc"/>
            <w:sz w:val="24"/>
            <w:szCs w:val="24"/>
            <w:highlight w:val="white"/>
            <w:u w:val="single"/>
            <w:rtl w:val="0"/>
          </w:rPr>
          <w:t xml:space="preserve">HealthcareProvider</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business-level details about the healthcare organization or the practitioner.</w:t>
      </w:r>
    </w:p>
    <w:p w:rsidR="00000000" w:rsidDel="00000000" w:rsidP="00000000" w:rsidRDefault="00000000" w:rsidRPr="00000000" w14:paraId="0000003E">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21">
        <w:r w:rsidDel="00000000" w:rsidR="00000000" w:rsidRPr="00000000">
          <w:rPr>
            <w:rFonts w:ascii="Salesforce Sans" w:cs="Salesforce Sans" w:eastAsia="Salesforce Sans" w:hAnsi="Salesforce Sans"/>
            <w:color w:val="1155cc"/>
            <w:sz w:val="24"/>
            <w:szCs w:val="24"/>
            <w:highlight w:val="white"/>
            <w:u w:val="single"/>
            <w:rtl w:val="0"/>
          </w:rPr>
          <w:t xml:space="preserve">HealthcareProviderNpi</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identifiers from the National Provider Identifier that are assigned to every facility and licensed practitioner in the United States. Also includes NPI assigned date, primary mailing address on file, and so on.</w:t>
      </w:r>
    </w:p>
    <w:p w:rsidR="00000000" w:rsidDel="00000000" w:rsidP="00000000" w:rsidRDefault="00000000" w:rsidRPr="00000000" w14:paraId="0000003F">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22">
        <w:r w:rsidDel="00000000" w:rsidR="00000000" w:rsidRPr="00000000">
          <w:rPr>
            <w:rFonts w:ascii="Salesforce Sans" w:cs="Salesforce Sans" w:eastAsia="Salesforce Sans" w:hAnsi="Salesforce Sans"/>
            <w:color w:val="1155cc"/>
            <w:sz w:val="24"/>
            <w:szCs w:val="24"/>
            <w:highlight w:val="white"/>
            <w:u w:val="single"/>
            <w:rtl w:val="0"/>
          </w:rPr>
          <w:t xml:space="preserve">HealthcareProviderSpecialty</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specialties for a practitioner or a provider service organization. A provider can have multiple specialties such as </w:t>
      </w:r>
      <w:r w:rsidDel="00000000" w:rsidR="00000000" w:rsidRPr="00000000">
        <w:rPr>
          <w:rFonts w:ascii="Courier New" w:cs="Courier New" w:eastAsia="Courier New" w:hAnsi="Courier New"/>
          <w:color w:val="0b0b0b"/>
          <w:sz w:val="24"/>
          <w:szCs w:val="24"/>
          <w:highlight w:val="white"/>
          <w:rtl w:val="0"/>
        </w:rPr>
        <w:t xml:space="preserve">anesthesiology</w:t>
      </w:r>
      <w:r w:rsidDel="00000000" w:rsidR="00000000" w:rsidRPr="00000000">
        <w:rPr>
          <w:rFonts w:ascii="Salesforce Sans" w:cs="Salesforce Sans" w:eastAsia="Salesforce Sans" w:hAnsi="Salesforce Sans"/>
          <w:color w:val="0b0b0b"/>
          <w:sz w:val="24"/>
          <w:szCs w:val="24"/>
          <w:highlight w:val="white"/>
          <w:rtl w:val="0"/>
        </w:rPr>
        <w:t xml:space="preserve"> and </w:t>
      </w:r>
      <w:r w:rsidDel="00000000" w:rsidR="00000000" w:rsidRPr="00000000">
        <w:rPr>
          <w:rFonts w:ascii="Courier New" w:cs="Courier New" w:eastAsia="Courier New" w:hAnsi="Courier New"/>
          <w:color w:val="0b0b0b"/>
          <w:sz w:val="24"/>
          <w:szCs w:val="24"/>
          <w:highlight w:val="white"/>
          <w:rtl w:val="0"/>
        </w:rPr>
        <w:t xml:space="preserve">cardiovascular</w:t>
      </w:r>
      <w:r w:rsidDel="00000000" w:rsidR="00000000" w:rsidRPr="00000000">
        <w:rPr>
          <w:rFonts w:ascii="Salesforce Sans" w:cs="Salesforce Sans" w:eastAsia="Salesforce Sans" w:hAnsi="Salesforce Sans"/>
          <w:color w:val="0b0b0b"/>
          <w:sz w:val="24"/>
          <w:szCs w:val="24"/>
          <w:highlight w:val="white"/>
          <w:rtl w:val="0"/>
        </w:rPr>
        <w:t xml:space="preserve">.</w:t>
      </w:r>
    </w:p>
    <w:p w:rsidR="00000000" w:rsidDel="00000000" w:rsidP="00000000" w:rsidRDefault="00000000" w:rsidRPr="00000000" w14:paraId="00000040">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23">
        <w:r w:rsidDel="00000000" w:rsidR="00000000" w:rsidRPr="00000000">
          <w:rPr>
            <w:rFonts w:ascii="Salesforce Sans" w:cs="Salesforce Sans" w:eastAsia="Salesforce Sans" w:hAnsi="Salesforce Sans"/>
            <w:color w:val="1155cc"/>
            <w:sz w:val="24"/>
            <w:szCs w:val="24"/>
            <w:highlight w:val="white"/>
            <w:u w:val="single"/>
            <w:rtl w:val="0"/>
          </w:rPr>
          <w:t xml:space="preserve">HealthcareProviderTaxonomy</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taxonomy or subspecialty codes for a practitioner or facility. A provider or facility can have multiple taxonomies.</w:t>
      </w:r>
    </w:p>
    <w:p w:rsidR="00000000" w:rsidDel="00000000" w:rsidP="00000000" w:rsidRDefault="00000000" w:rsidRPr="00000000" w14:paraId="00000041">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24">
        <w:r w:rsidDel="00000000" w:rsidR="00000000" w:rsidRPr="00000000">
          <w:rPr>
            <w:rFonts w:ascii="Salesforce Sans" w:cs="Salesforce Sans" w:eastAsia="Salesforce Sans" w:hAnsi="Salesforce Sans"/>
            <w:color w:val="1155cc"/>
            <w:sz w:val="24"/>
            <w:szCs w:val="24"/>
            <w:highlight w:val="white"/>
            <w:u w:val="single"/>
            <w:rtl w:val="0"/>
          </w:rPr>
          <w:t xml:space="preserve">PersonEducation</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information about professional education for a person in a party role.</w:t>
      </w:r>
    </w:p>
    <w:p w:rsidR="00000000" w:rsidDel="00000000" w:rsidP="00000000" w:rsidRDefault="00000000" w:rsidRPr="00000000" w14:paraId="00000042">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25">
        <w:r w:rsidDel="00000000" w:rsidR="00000000" w:rsidRPr="00000000">
          <w:rPr>
            <w:rFonts w:ascii="Salesforce Sans" w:cs="Salesforce Sans" w:eastAsia="Salesforce Sans" w:hAnsi="Salesforce Sans"/>
            <w:color w:val="1155cc"/>
            <w:sz w:val="24"/>
            <w:szCs w:val="24"/>
            <w:highlight w:val="white"/>
            <w:u w:val="single"/>
            <w:rtl w:val="0"/>
          </w:rPr>
          <w:t xml:space="preserve">CareProviderAdverseAction</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This object captures adverse actions against the provider, such as malpractice lawsuits or revoked licences. This object is available in API version 47.0 and later.</w:t>
      </w:r>
    </w:p>
    <w:p w:rsidR="00000000" w:rsidDel="00000000" w:rsidP="00000000" w:rsidRDefault="00000000" w:rsidRPr="00000000" w14:paraId="00000043">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26">
        <w:r w:rsidDel="00000000" w:rsidR="00000000" w:rsidRPr="00000000">
          <w:rPr>
            <w:rFonts w:ascii="Salesforce Sans" w:cs="Salesforce Sans" w:eastAsia="Salesforce Sans" w:hAnsi="Salesforce Sans"/>
            <w:color w:val="1155cc"/>
            <w:sz w:val="24"/>
            <w:szCs w:val="24"/>
            <w:highlight w:val="white"/>
            <w:u w:val="single"/>
            <w:rtl w:val="0"/>
          </w:rPr>
          <w:t xml:space="preserve">CareProviderSearchableField</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This object holds denormalized data from certain fields in the Provider data model. Provider search APIs query this object instead of multiple objects, which improves search performance. This object is available in API version 47.0 and later.</w:t>
      </w:r>
    </w:p>
    <w:p w:rsidR="00000000" w:rsidDel="00000000" w:rsidP="00000000" w:rsidRDefault="00000000" w:rsidRPr="00000000" w14:paraId="00000044">
      <w:pPr>
        <w:numPr>
          <w:ilvl w:val="0"/>
          <w:numId w:val="8"/>
        </w:numPr>
        <w:pBdr>
          <w:top w:color="e2e8f0" w:space="0" w:sz="0" w:val="none"/>
          <w:left w:color="e2e8f0" w:space="0" w:sz="0" w:val="none"/>
          <w:bottom w:color="e2e8f0" w:space="0" w:sz="0" w:val="none"/>
          <w:right w:color="e2e8f0" w:space="0" w:sz="0" w:val="none"/>
          <w:between w:color="e2e8f0" w:space="0" w:sz="0" w:val="none"/>
        </w:pBdr>
        <w:spacing w:after="0" w:lineRule="auto"/>
        <w:ind w:firstLine="360"/>
        <w:rPr>
          <w:rFonts w:ascii="Salesforce Sans" w:cs="Salesforce Sans" w:eastAsia="Salesforce Sans" w:hAnsi="Salesforce Sans"/>
          <w:color w:val="0b0b0b"/>
          <w:sz w:val="24"/>
          <w:szCs w:val="24"/>
        </w:rPr>
      </w:pPr>
      <w:hyperlink r:id="rId27">
        <w:r w:rsidDel="00000000" w:rsidR="00000000" w:rsidRPr="00000000">
          <w:rPr>
            <w:rFonts w:ascii="Salesforce Sans" w:cs="Salesforce Sans" w:eastAsia="Salesforce Sans" w:hAnsi="Salesforce Sans"/>
            <w:color w:val="1155cc"/>
            <w:sz w:val="24"/>
            <w:szCs w:val="24"/>
            <w:highlight w:val="white"/>
            <w:u w:val="single"/>
            <w:rtl w:val="0"/>
          </w:rPr>
          <w:t xml:space="preserve">CareProviderSearchConfig</w:t>
          <w:br w:type="textWrapping"/>
        </w:r>
      </w:hyperlink>
      <w:r w:rsidDel="00000000" w:rsidR="00000000" w:rsidRPr="00000000">
        <w:rPr>
          <w:rFonts w:ascii="Salesforce Sans" w:cs="Salesforce Sans" w:eastAsia="Salesforce Sans" w:hAnsi="Salesforce Sans"/>
          <w:color w:val="0b0b0b"/>
          <w:sz w:val="24"/>
          <w:szCs w:val="24"/>
          <w:highlight w:val="white"/>
          <w:rtl w:val="0"/>
        </w:rPr>
        <w:t xml:space="preserve">Represents fields that can appear in provider search results. Use this object to specify fields in arbitrary objects (source) that are made available in the search object (target). This object is available in API version 48.0 and later.</w:t>
      </w:r>
    </w:p>
    <w:p w:rsidR="00000000" w:rsidDel="00000000" w:rsidP="00000000" w:rsidRDefault="00000000" w:rsidRPr="00000000" w14:paraId="00000045">
      <w:pPr>
        <w:spacing w:after="0" w:lineRule="auto"/>
        <w:ind w:left="0" w:firstLine="0"/>
        <w:jc w:val="both"/>
        <w:rPr>
          <w:rFonts w:ascii="Salesforce Sans" w:cs="Salesforce Sans" w:eastAsia="Salesforce Sans" w:hAnsi="Salesforce Sans"/>
          <w:color w:val="2b303b"/>
          <w:highlight w:val="white"/>
        </w:rPr>
      </w:pPr>
      <w:r w:rsidDel="00000000" w:rsidR="00000000" w:rsidRPr="00000000">
        <w:rPr>
          <w:rtl w:val="0"/>
        </w:rPr>
      </w:r>
    </w:p>
    <w:p w:rsidR="00000000" w:rsidDel="00000000" w:rsidP="00000000" w:rsidRDefault="00000000" w:rsidRPr="00000000" w14:paraId="00000046">
      <w:pPr>
        <w:spacing w:after="0" w:lineRule="auto"/>
        <w:ind w:left="0" w:firstLine="0"/>
        <w:jc w:val="both"/>
        <w:rPr>
          <w:rFonts w:ascii="Salesforce Sans" w:cs="Salesforce Sans" w:eastAsia="Salesforce Sans" w:hAnsi="Salesforce Sans"/>
          <w:color w:val="2b303b"/>
          <w:highlight w:val="white"/>
        </w:rPr>
      </w:pPr>
      <w:r w:rsidDel="00000000" w:rsidR="00000000" w:rsidRPr="00000000">
        <w:rPr>
          <w:rFonts w:ascii="Salesforce Sans" w:cs="Salesforce Sans" w:eastAsia="Salesforce Sans" w:hAnsi="Salesforce Sans"/>
          <w:color w:val="2b303b"/>
          <w:highlight w:val="white"/>
          <w:rtl w:val="0"/>
        </w:rPr>
        <w:t xml:space="preserve">The PRM box includes pre-built components leveraging the below products.</w:t>
      </w:r>
    </w:p>
    <w:p w:rsidR="00000000" w:rsidDel="00000000" w:rsidP="00000000" w:rsidRDefault="00000000" w:rsidRPr="00000000" w14:paraId="00000047">
      <w:pPr>
        <w:spacing w:after="0" w:lineRule="auto"/>
        <w:ind w:left="1440" w:firstLine="0"/>
        <w:jc w:val="both"/>
        <w:rPr>
          <w:rFonts w:ascii="Salesforce Sans" w:cs="Salesforce Sans" w:eastAsia="Salesforce Sans" w:hAnsi="Salesforce Sans"/>
          <w:color w:val="2b303b"/>
          <w:highlight w:val="white"/>
        </w:rPr>
      </w:pPr>
      <w:r w:rsidDel="00000000" w:rsidR="00000000" w:rsidRPr="00000000">
        <w:rPr>
          <w:rtl w:val="0"/>
        </w:rPr>
      </w:r>
    </w:p>
    <w:p w:rsidR="00000000" w:rsidDel="00000000" w:rsidP="00000000" w:rsidRDefault="00000000" w:rsidRPr="00000000" w14:paraId="00000048">
      <w:pPr>
        <w:spacing w:after="0" w:lineRule="auto"/>
        <w:ind w:left="1440" w:firstLine="0"/>
        <w:jc w:val="both"/>
        <w:rPr>
          <w:rFonts w:ascii="Salesforce Sans" w:cs="Salesforce Sans" w:eastAsia="Salesforce Sans" w:hAnsi="Salesforce Sans"/>
          <w:b w:val="1"/>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b w:val="1"/>
          <w:u w:val="single"/>
        </w:rPr>
      </w:pPr>
      <w:r w:rsidDel="00000000" w:rsidR="00000000" w:rsidRPr="00000000">
        <w:rPr>
          <w:rFonts w:ascii="Salesforce Sans" w:cs="Salesforce Sans" w:eastAsia="Salesforce Sans" w:hAnsi="Salesforce Sans"/>
          <w:b w:val="1"/>
          <w:color w:val="009ddc"/>
          <w:sz w:val="28"/>
          <w:szCs w:val="28"/>
          <w:rtl w:val="0"/>
        </w:rPr>
        <w:t xml:space="preserve">Included Products</w:t>
      </w:r>
      <w:r w:rsidDel="00000000" w:rsidR="00000000" w:rsidRPr="00000000">
        <w:rPr>
          <w:rtl w:val="0"/>
        </w:rPr>
      </w:r>
    </w:p>
    <w:p w:rsidR="00000000" w:rsidDel="00000000" w:rsidP="00000000" w:rsidRDefault="00000000" w:rsidRPr="00000000" w14:paraId="0000004A">
      <w:pPr>
        <w:spacing w:after="0" w:lineRule="auto"/>
        <w:ind w:left="0" w:firstLine="0"/>
        <w:jc w:val="both"/>
        <w:rPr>
          <w:rFonts w:ascii="Salesforce Sans" w:cs="Salesforce Sans" w:eastAsia="Salesforce Sans" w:hAnsi="Salesforce Sans"/>
          <w:highlight w:val="white"/>
        </w:rPr>
      </w:pPr>
      <w:r w:rsidDel="00000000" w:rsidR="00000000" w:rsidRPr="00000000">
        <w:rPr>
          <w:rtl w:val="0"/>
        </w:rPr>
      </w:r>
    </w:p>
    <w:p w:rsidR="00000000" w:rsidDel="00000000" w:rsidP="00000000" w:rsidRDefault="00000000" w:rsidRPr="00000000" w14:paraId="0000004B">
      <w:pPr>
        <w:spacing w:after="0" w:lineRule="auto"/>
        <w:ind w:left="0" w:firstLine="0"/>
        <w:jc w:val="both"/>
        <w:rPr>
          <w:rFonts w:ascii="Salesforce Sans" w:cs="Salesforce Sans" w:eastAsia="Salesforce Sans" w:hAnsi="Salesforce Sans"/>
          <w:highlight w:val="white"/>
        </w:rPr>
      </w:pPr>
      <w:r w:rsidDel="00000000" w:rsidR="00000000" w:rsidRPr="00000000">
        <w:rPr>
          <w:rFonts w:ascii="Salesforce Sans" w:cs="Salesforce Sans" w:eastAsia="Salesforce Sans" w:hAnsi="Salesforce Sans"/>
          <w:b w:val="1"/>
          <w:rtl w:val="0"/>
        </w:rPr>
        <w:t xml:space="preserve">Health Cloud - </w:t>
      </w:r>
      <w:r w:rsidDel="00000000" w:rsidR="00000000" w:rsidRPr="00000000">
        <w:rPr>
          <w:rFonts w:ascii="Salesforce Sans" w:cs="Salesforce Sans" w:eastAsia="Salesforce Sans" w:hAnsi="Salesforce Sans"/>
          <w:highlight w:val="white"/>
          <w:rtl w:val="0"/>
        </w:rPr>
        <w:t xml:space="preserve">Health </w:t>
      </w:r>
      <w:r w:rsidDel="00000000" w:rsidR="00000000" w:rsidRPr="00000000">
        <w:rPr>
          <w:rFonts w:ascii="Salesforce Sans" w:cs="Salesforce Sans" w:eastAsia="Salesforce Sans" w:hAnsi="Salesforce Sans"/>
          <w:rtl w:val="0"/>
        </w:rPr>
        <w:t xml:space="preserve">Cloud</w:t>
      </w:r>
      <w:r w:rsidDel="00000000" w:rsidR="00000000" w:rsidRPr="00000000">
        <w:rPr>
          <w:rFonts w:ascii="Salesforce Sans" w:cs="Salesforce Sans" w:eastAsia="Salesforce Sans" w:hAnsi="Salesforce Sans"/>
          <w:highlight w:val="white"/>
          <w:rtl w:val="0"/>
        </w:rPr>
        <w:t xml:space="preserve"> is a patient and provider relationship platform that harnesses </w:t>
      </w:r>
      <w:r w:rsidDel="00000000" w:rsidR="00000000" w:rsidRPr="00000000">
        <w:rPr>
          <w:rFonts w:ascii="Salesforce Sans" w:cs="Salesforce Sans" w:eastAsia="Salesforce Sans" w:hAnsi="Salesforce Sans"/>
          <w:rtl w:val="0"/>
        </w:rPr>
        <w:t xml:space="preserve">cloud</w:t>
      </w:r>
      <w:r w:rsidDel="00000000" w:rsidR="00000000" w:rsidRPr="00000000">
        <w:rPr>
          <w:rFonts w:ascii="Salesforce Sans" w:cs="Salesforce Sans" w:eastAsia="Salesforce Sans" w:hAnsi="Salesforce Sans"/>
          <w:highlight w:val="white"/>
          <w:rtl w:val="0"/>
        </w:rPr>
        <w:t xml:space="preserve">, social and mobile technologies to deliver more personalized engagement by providing a complete view of patients and providers and a connected engagement experience. </w:t>
      </w:r>
      <w:r w:rsidDel="00000000" w:rsidR="00000000" w:rsidRPr="00000000">
        <w:rPr>
          <w:rFonts w:ascii="Salesforce Sans" w:cs="Salesforce Sans" w:eastAsia="Salesforce Sans" w:hAnsi="Salesforce Sans"/>
          <w:highlight w:val="white"/>
          <w:rtl w:val="0"/>
        </w:rPr>
        <w:t xml:space="preserve">The provider management data model represents the practitioners, facilities, physician relationships, specialties, and organizational hierarchy for the network of providers.</w:t>
      </w:r>
    </w:p>
    <w:p w:rsidR="00000000" w:rsidDel="00000000" w:rsidP="00000000" w:rsidRDefault="00000000" w:rsidRPr="00000000" w14:paraId="0000004C">
      <w:pPr>
        <w:spacing w:after="0" w:lineRule="auto"/>
        <w:ind w:left="0" w:firstLine="0"/>
        <w:jc w:val="both"/>
        <w:rPr>
          <w:rFonts w:ascii="Salesforce Sans" w:cs="Salesforce Sans" w:eastAsia="Salesforce Sans" w:hAnsi="Salesforce Sans"/>
          <w:highlight w:val="white"/>
        </w:rPr>
      </w:pPr>
      <w:r w:rsidDel="00000000" w:rsidR="00000000" w:rsidRPr="00000000">
        <w:rPr>
          <w:rtl w:val="0"/>
        </w:rPr>
      </w:r>
    </w:p>
    <w:p w:rsidR="00000000" w:rsidDel="00000000" w:rsidP="00000000" w:rsidRDefault="00000000" w:rsidRPr="00000000" w14:paraId="0000004D">
      <w:pPr>
        <w:spacing w:after="0" w:lineRule="auto"/>
        <w:ind w:lef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rtl w:val="0"/>
        </w:rPr>
        <w:t xml:space="preserve">Shield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rtl w:val="0"/>
        </w:rPr>
        <w:t xml:space="preserve">Salesforce Shield is a set of security tools health systems use to comply with regulations on storing sensitive, protected health information. With Platform Encryption and Event Monitoring, health systems can monitor usage, prevent malicious activity, and protect data at rest while leveraging Health Cloud’s full functionality.</w:t>
      </w:r>
      <w:r w:rsidDel="00000000" w:rsidR="00000000" w:rsidRPr="00000000">
        <w:rPr>
          <w:rtl w:val="0"/>
        </w:rPr>
      </w:r>
    </w:p>
    <w:p w:rsidR="00000000" w:rsidDel="00000000" w:rsidP="00000000" w:rsidRDefault="00000000" w:rsidRPr="00000000" w14:paraId="0000004F">
      <w:pPr>
        <w:spacing w:after="0" w:lineRule="auto"/>
        <w:ind w:left="0" w:firstLine="0"/>
        <w:jc w:val="both"/>
        <w:rPr>
          <w:rFonts w:ascii="Salesforce Sans" w:cs="Salesforce Sans" w:eastAsia="Salesforce Sans" w:hAnsi="Salesforce Sans"/>
          <w:b w:val="1"/>
        </w:rPr>
      </w:pPr>
      <w:r w:rsidDel="00000000" w:rsidR="00000000" w:rsidRPr="00000000">
        <w:rPr>
          <w:rtl w:val="0"/>
        </w:rPr>
      </w:r>
    </w:p>
    <w:p w:rsidR="00000000" w:rsidDel="00000000" w:rsidP="00000000" w:rsidRDefault="00000000" w:rsidRPr="00000000" w14:paraId="00000050">
      <w:pPr>
        <w:spacing w:after="0" w:lineRule="auto"/>
        <w:ind w:lef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rtl w:val="0"/>
        </w:rPr>
        <w:t xml:space="preserve">Salesforce Maps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Salesforce </w:t>
      </w:r>
      <w:r w:rsidDel="00000000" w:rsidR="00000000" w:rsidRPr="00000000">
        <w:rPr>
          <w:rFonts w:ascii="Salesforce Sans" w:cs="Salesforce Sans" w:eastAsia="Salesforce Sans" w:hAnsi="Salesforce Sans"/>
          <w:rtl w:val="0"/>
        </w:rPr>
        <w:t xml:space="preserve">Maps helps healthcare organizations visualize their data, design balanced territories, and plan efficient routes, streamlining administration and reducing drive times. Customers may upgrade to Advanced Maps for planning specific provider visit windows.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4">
      <w:pPr>
        <w:ind w:left="0" w:firstLine="0"/>
        <w:rPr>
          <w:rFonts w:ascii="Salesforce Sans" w:cs="Salesforce Sans" w:eastAsia="Salesforce Sans" w:hAnsi="Salesforce Sans"/>
          <w:shd w:fill="f4f4f4" w:val="clear"/>
        </w:rPr>
      </w:pPr>
      <w:r w:rsidDel="00000000" w:rsidR="00000000" w:rsidRPr="00000000">
        <w:rPr>
          <w:rtl w:val="0"/>
        </w:rPr>
      </w:r>
    </w:p>
    <w:p w:rsidR="00000000" w:rsidDel="00000000" w:rsidP="00000000" w:rsidRDefault="00000000" w:rsidRPr="00000000" w14:paraId="00000055">
      <w:pPr>
        <w:pageBreakBefore w:val="0"/>
        <w:spacing w:after="40" w:before="200" w:lineRule="auto"/>
        <w:ind w:left="0" w:firstLine="0"/>
        <w:jc w:val="both"/>
        <w:rPr>
          <w:rFonts w:ascii="Salesforce Sans" w:cs="Salesforce Sans" w:eastAsia="Salesforce Sans" w:hAnsi="Salesforce Sans"/>
          <w:shd w:fill="f4f4f4" w:val="clear"/>
        </w:rPr>
      </w:pPr>
      <w:r w:rsidDel="00000000" w:rsidR="00000000" w:rsidRPr="00000000">
        <w:rPr>
          <w:rtl w:val="0"/>
        </w:rPr>
      </w:r>
    </w:p>
    <w:p w:rsidR="00000000" w:rsidDel="00000000" w:rsidP="00000000" w:rsidRDefault="00000000" w:rsidRPr="00000000" w14:paraId="00000056">
      <w:pPr>
        <w:pageBreakBefore w:val="0"/>
        <w:spacing w:after="40" w:before="20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7">
      <w:pPr>
        <w:pageBreakBefore w:val="0"/>
        <w:spacing w:after="40" w:before="20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8">
      <w:pPr>
        <w:pStyle w:val="Heading2"/>
        <w:pageBreakBefore w:val="0"/>
        <w:jc w:val="both"/>
        <w:rPr>
          <w:rFonts w:ascii="Salesforce Sans" w:cs="Salesforce Sans" w:eastAsia="Salesforce Sans" w:hAnsi="Salesforce Sans"/>
          <w:color w:val="808080"/>
        </w:rPr>
      </w:pPr>
      <w:bookmarkStart w:colFirst="0" w:colLast="0" w:name="_fi88iphpxnzh" w:id="6"/>
      <w:bookmarkEnd w:id="6"/>
      <w:r w:rsidDel="00000000" w:rsidR="00000000" w:rsidRPr="00000000">
        <w:rPr>
          <w:rtl w:val="0"/>
        </w:rPr>
      </w:r>
    </w:p>
    <w:p w:rsidR="00000000" w:rsidDel="00000000" w:rsidP="00000000" w:rsidRDefault="00000000" w:rsidRPr="00000000" w14:paraId="00000059">
      <w:pPr>
        <w:pStyle w:val="Heading1"/>
        <w:pageBreakBefore w:val="0"/>
        <w:numPr>
          <w:ilvl w:val="0"/>
          <w:numId w:val="11"/>
        </w:numPr>
        <w:spacing w:after="240" w:before="240" w:lineRule="auto"/>
        <w:ind w:firstLine="360"/>
        <w:jc w:val="both"/>
        <w:rPr>
          <w:rFonts w:ascii="Salesforce Sans" w:cs="Salesforce Sans" w:eastAsia="Salesforce Sans" w:hAnsi="Salesforce Sans"/>
        </w:rPr>
      </w:pPr>
      <w:bookmarkStart w:colFirst="0" w:colLast="0" w:name="_foqivplpxn5d" w:id="7"/>
      <w:bookmarkEnd w:id="7"/>
      <w:r w:rsidDel="00000000" w:rsidR="00000000" w:rsidRPr="00000000">
        <w:rPr>
          <w:rFonts w:ascii="Salesforce Sans" w:cs="Salesforce Sans" w:eastAsia="Salesforce Sans" w:hAnsi="Salesforce Sans"/>
          <w:rtl w:val="0"/>
        </w:rPr>
        <w:t xml:space="preserve">Process Flow Diagram</w:t>
      </w:r>
      <w:r w:rsidDel="00000000" w:rsidR="00000000" w:rsidRPr="00000000">
        <w:rPr>
          <w:rtl w:val="0"/>
        </w:rPr>
      </w:r>
    </w:p>
    <w:p w:rsidR="00000000" w:rsidDel="00000000" w:rsidP="00000000" w:rsidRDefault="00000000" w:rsidRPr="00000000" w14:paraId="0000005A">
      <w:pPr>
        <w:pageBreakBefore w:val="0"/>
        <w:spacing w:after="240" w:before="240" w:lineRule="auto"/>
        <w:ind w:lef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color w:val="009ddc"/>
          <w:sz w:val="28"/>
          <w:szCs w:val="28"/>
          <w:rtl w:val="0"/>
        </w:rPr>
        <w:t xml:space="preserve">Solution Overview and Architecture</w:t>
      </w:r>
      <w:r w:rsidDel="00000000" w:rsidR="00000000" w:rsidRPr="00000000">
        <w:rPr>
          <w:rtl w:val="0"/>
        </w:rPr>
      </w:r>
    </w:p>
    <w:p w:rsidR="00000000" w:rsidDel="00000000" w:rsidP="00000000" w:rsidRDefault="00000000" w:rsidRPr="00000000" w14:paraId="0000005B">
      <w:pPr>
        <w:pageBreakBefore w:val="0"/>
        <w:shd w:fill="ffffff" w:val="clear"/>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hd w:fill="ffffff" w:val="clear"/>
        <w:spacing w:after="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D">
      <w:pPr>
        <w:pageBreakBefore w:val="0"/>
        <w:shd w:fill="ffffff" w:val="clear"/>
        <w:spacing w:after="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E">
      <w:pPr>
        <w:pageBreakBefore w:val="0"/>
        <w:widowControl w:val="0"/>
        <w:spacing w:after="0" w:line="240" w:lineRule="auto"/>
        <w:ind w:left="0" w:firstLine="0"/>
        <w:jc w:val="both"/>
        <w:rPr>
          <w:rFonts w:ascii="Salesforce Sans" w:cs="Salesforce Sans" w:eastAsia="Salesforce Sans" w:hAnsi="Salesforce Sans"/>
          <w:color w:val="000000"/>
        </w:rPr>
      </w:pPr>
      <w:r w:rsidDel="00000000" w:rsidR="00000000" w:rsidRPr="00000000">
        <w:rPr>
          <w:rtl w:val="0"/>
        </w:rPr>
      </w:r>
    </w:p>
    <w:p w:rsidR="00000000" w:rsidDel="00000000" w:rsidP="00000000" w:rsidRDefault="00000000" w:rsidRPr="00000000" w14:paraId="0000005F">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60">
      <w:pPr>
        <w:pStyle w:val="Heading4"/>
        <w:spacing w:after="240" w:before="240" w:lineRule="auto"/>
        <w:ind w:left="0" w:firstLine="0"/>
        <w:jc w:val="both"/>
        <w:rPr/>
      </w:pPr>
      <w:bookmarkStart w:colFirst="0" w:colLast="0" w:name="_r8bi6fnf0qzz" w:id="8"/>
      <w:bookmarkEnd w:id="8"/>
      <w:r w:rsidDel="00000000" w:rsidR="00000000" w:rsidRPr="00000000">
        <w:rPr>
          <w:rtl w:val="0"/>
        </w:rPr>
        <w:t xml:space="preserve">Frequency of Software upgrades and Version Updates</w:t>
      </w:r>
    </w:p>
    <w:p w:rsidR="00000000" w:rsidDel="00000000" w:rsidP="00000000" w:rsidRDefault="00000000" w:rsidRPr="00000000" w14:paraId="00000061">
      <w:pPr>
        <w:pageBreakBefore w:val="0"/>
        <w:spacing w:after="240" w:before="240" w:lineRule="auto"/>
        <w:ind w:left="0" w:firstLine="0"/>
        <w:jc w:val="both"/>
        <w:rPr>
          <w:rFonts w:ascii="Salesforce Sans" w:cs="Salesforce Sans" w:eastAsia="Salesforce Sans" w:hAnsi="Salesforce Sans"/>
          <w:color w:val="000000"/>
        </w:rPr>
      </w:pPr>
      <w:r w:rsidDel="00000000" w:rsidR="00000000" w:rsidRPr="00000000">
        <w:rPr>
          <w:rFonts w:ascii="Salesforce Sans" w:cs="Salesforce Sans" w:eastAsia="Salesforce Sans" w:hAnsi="Salesforce Sans"/>
          <w:color w:val="000000"/>
          <w:rtl w:val="0"/>
        </w:rPr>
        <w:t xml:space="preserve">At Salesforce, we’re proud to deliver hundreds of innovative features to you three times a year during our seasonal releases: Spring, Summer, and Winter. With our multitenant, metadata-driven platform, we provide customers with seamless, automatic upgrades each release, delivered in real time, with no downtime. It’s all in the cloud, so there’s no worrying about updating hardware or software. Yes, you read that right: upgrades are automatic! That means all customers run the same version of Salesforce, complete with all the latest features. </w:t>
      </w:r>
    </w:p>
    <w:p w:rsidR="00000000" w:rsidDel="00000000" w:rsidP="00000000" w:rsidRDefault="00000000" w:rsidRPr="00000000" w14:paraId="00000062">
      <w:pPr>
        <w:pageBreakBefore w:val="0"/>
        <w:spacing w:after="240" w:before="240" w:lineRule="auto"/>
        <w:ind w:left="0" w:firstLine="0"/>
        <w:jc w:val="both"/>
        <w:rPr>
          <w:rFonts w:ascii="Salesforce Sans" w:cs="Salesforce Sans" w:eastAsia="Salesforce Sans" w:hAnsi="Salesforce Sans"/>
          <w:color w:val="4a86e8"/>
        </w:rPr>
      </w:pPr>
      <w:r w:rsidDel="00000000" w:rsidR="00000000" w:rsidRPr="00000000">
        <w:rPr>
          <w:rFonts w:ascii="Salesforce Sans" w:cs="Salesforce Sans" w:eastAsia="Salesforce Sans" w:hAnsi="Salesforce Sans"/>
          <w:color w:val="000000"/>
          <w:rtl w:val="0"/>
        </w:rPr>
        <w:t xml:space="preserve">TRAIL | </w:t>
      </w:r>
      <w:hyperlink r:id="rId29">
        <w:r w:rsidDel="00000000" w:rsidR="00000000" w:rsidRPr="00000000">
          <w:rPr>
            <w:rFonts w:ascii="Salesforce Sans" w:cs="Salesforce Sans" w:eastAsia="Salesforce Sans" w:hAnsi="Salesforce Sans"/>
            <w:color w:val="4a86e8"/>
            <w:u w:val="single"/>
            <w:rtl w:val="0"/>
          </w:rPr>
          <w:t xml:space="preserve">Get to know the Salesforce Releases</w:t>
        </w:r>
      </w:hyperlink>
      <w:r w:rsidDel="00000000" w:rsidR="00000000" w:rsidRPr="00000000">
        <w:rPr>
          <w:rtl w:val="0"/>
        </w:rPr>
      </w:r>
    </w:p>
    <w:p w:rsidR="00000000" w:rsidDel="00000000" w:rsidP="00000000" w:rsidRDefault="00000000" w:rsidRPr="00000000" w14:paraId="00000063">
      <w:pPr>
        <w:pageBreakBefore w:val="0"/>
        <w:spacing w:after="0" w:lineRule="auto"/>
        <w:ind w:left="0" w:firstLine="0"/>
        <w:jc w:val="both"/>
        <w:rPr>
          <w:rFonts w:ascii="Salesforce Sans" w:cs="Salesforce Sans" w:eastAsia="Salesforce Sans" w:hAnsi="Salesforce Sans"/>
          <w:b w:val="1"/>
        </w:rPr>
      </w:pPr>
      <w:r w:rsidDel="00000000" w:rsidR="00000000" w:rsidRPr="00000000">
        <w:rPr>
          <w:rtl w:val="0"/>
        </w:rPr>
      </w:r>
    </w:p>
    <w:p w:rsidR="00000000" w:rsidDel="00000000" w:rsidP="00000000" w:rsidRDefault="00000000" w:rsidRPr="00000000" w14:paraId="00000064">
      <w:pPr>
        <w:pageBreakBefore w:val="0"/>
        <w:spacing w:after="0" w:lineRule="auto"/>
        <w:ind w:left="0" w:firstLine="0"/>
        <w:jc w:val="both"/>
        <w:rPr>
          <w:rFonts w:ascii="Salesforce Sans" w:cs="Salesforce Sans" w:eastAsia="Salesforce Sans" w:hAnsi="Salesforce Sans"/>
          <w:b w:val="1"/>
          <w:color w:val="009ddc"/>
        </w:rPr>
      </w:pPr>
      <w:r w:rsidDel="00000000" w:rsidR="00000000" w:rsidRPr="00000000">
        <w:rPr>
          <w:rFonts w:ascii="Salesforce Sans" w:cs="Salesforce Sans" w:eastAsia="Salesforce Sans" w:hAnsi="Salesforce Sans"/>
          <w:b w:val="1"/>
          <w:color w:val="009ddc"/>
          <w:rtl w:val="0"/>
        </w:rPr>
        <w:t xml:space="preserve">Project Dependencies</w:t>
      </w:r>
    </w:p>
    <w:p w:rsidR="00000000" w:rsidDel="00000000" w:rsidP="00000000" w:rsidRDefault="00000000" w:rsidRPr="00000000" w14:paraId="00000065">
      <w:pPr>
        <w:pageBreakBefore w:val="0"/>
        <w:spacing w:after="0" w:lineRule="auto"/>
        <w:ind w:left="1440" w:firstLine="0"/>
        <w:jc w:val="both"/>
        <w:rPr>
          <w:rFonts w:ascii="Salesforce Sans" w:cs="Salesforce Sans" w:eastAsia="Salesforce Sans" w:hAnsi="Salesforce Sans"/>
          <w:b w:val="1"/>
          <w:u w:val="single"/>
        </w:rPr>
      </w:pPr>
      <w:r w:rsidDel="00000000" w:rsidR="00000000" w:rsidRPr="00000000">
        <w:rPr>
          <w:rtl w:val="0"/>
        </w:rPr>
      </w:r>
    </w:p>
    <w:p w:rsidR="00000000" w:rsidDel="00000000" w:rsidP="00000000" w:rsidRDefault="00000000" w:rsidRPr="00000000" w14:paraId="00000066">
      <w:pPr>
        <w:pageBreakBefore w:val="0"/>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successful implementation of the PRM solution requires a certified SI implementation approach with close partnership and resource support as necessary from the health system.</w:t>
      </w:r>
    </w:p>
    <w:p w:rsidR="00000000" w:rsidDel="00000000" w:rsidP="00000000" w:rsidRDefault="00000000" w:rsidRPr="00000000" w14:paraId="00000067">
      <w:pPr>
        <w:pageBreakBefore w:val="0"/>
        <w:spacing w:after="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68">
      <w:pPr>
        <w:pageBreakBefore w:val="0"/>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Certified SI </w:t>
      </w:r>
      <w:r w:rsidDel="00000000" w:rsidR="00000000" w:rsidRPr="00000000">
        <w:rPr>
          <w:rFonts w:ascii="Salesforce Sans" w:cs="Salesforce Sans" w:eastAsia="Salesforce Sans" w:hAnsi="Salesforce Sans"/>
          <w:rtl w:val="0"/>
        </w:rPr>
        <w:t xml:space="preserve">partners</w:t>
      </w:r>
      <w:r w:rsidDel="00000000" w:rsidR="00000000" w:rsidRPr="00000000">
        <w:rPr>
          <w:rFonts w:ascii="Salesforce Sans" w:cs="Salesforce Sans" w:eastAsia="Salesforce Sans" w:hAnsi="Salesforce Sans"/>
          <w:rtl w:val="0"/>
        </w:rPr>
        <w:t xml:space="preserve"> for this approach include:</w:t>
      </w:r>
    </w:p>
    <w:p w:rsidR="00000000" w:rsidDel="00000000" w:rsidP="00000000" w:rsidRDefault="00000000" w:rsidRPr="00000000" w14:paraId="00000069">
      <w:pPr>
        <w:pageBreakBefore w:val="0"/>
        <w:numPr>
          <w:ilvl w:val="0"/>
          <w:numId w:val="4"/>
        </w:numPr>
        <w:spacing w:after="0" w:lineRule="auto"/>
        <w:ind w:firstLine="360"/>
        <w:jc w:val="both"/>
        <w:rPr>
          <w:rFonts w:ascii="Salesforce Sans" w:cs="Salesforce Sans" w:eastAsia="Salesforce Sans" w:hAnsi="Salesforce Sans"/>
          <w:u w:val="none"/>
        </w:rPr>
      </w:pPr>
      <w:r w:rsidDel="00000000" w:rsidR="00000000" w:rsidRPr="00000000">
        <w:rPr>
          <w:rFonts w:ascii="Salesforce Sans" w:cs="Salesforce Sans" w:eastAsia="Salesforce Sans" w:hAnsi="Salesforce Sans"/>
          <w:rtl w:val="0"/>
        </w:rPr>
        <w:t xml:space="preserve">Penrod</w:t>
      </w:r>
    </w:p>
    <w:p w:rsidR="00000000" w:rsidDel="00000000" w:rsidP="00000000" w:rsidRDefault="00000000" w:rsidRPr="00000000" w14:paraId="0000006A">
      <w:pPr>
        <w:pageBreakBefore w:val="0"/>
        <w:numPr>
          <w:ilvl w:val="0"/>
          <w:numId w:val="4"/>
        </w:numPr>
        <w:spacing w:after="0" w:lineRule="auto"/>
        <w:ind w:firstLine="360"/>
        <w:jc w:val="both"/>
        <w:rPr>
          <w:rFonts w:ascii="Salesforce Sans" w:cs="Salesforce Sans" w:eastAsia="Salesforce Sans" w:hAnsi="Salesforce Sans"/>
          <w:u w:val="none"/>
        </w:rPr>
      </w:pPr>
      <w:r w:rsidDel="00000000" w:rsidR="00000000" w:rsidRPr="00000000">
        <w:rPr>
          <w:rFonts w:ascii="Salesforce Sans" w:cs="Salesforce Sans" w:eastAsia="Salesforce Sans" w:hAnsi="Salesforce Sans"/>
          <w:rtl w:val="0"/>
        </w:rPr>
        <w:t xml:space="preserve">Torrent</w:t>
      </w:r>
    </w:p>
    <w:p w:rsidR="00000000" w:rsidDel="00000000" w:rsidP="00000000" w:rsidRDefault="00000000" w:rsidRPr="00000000" w14:paraId="0000006B">
      <w:pPr>
        <w:pageBreakBefore w:val="0"/>
        <w:numPr>
          <w:ilvl w:val="0"/>
          <w:numId w:val="4"/>
        </w:numPr>
        <w:spacing w:after="0" w:lineRule="auto"/>
        <w:ind w:firstLine="360"/>
        <w:jc w:val="both"/>
        <w:rPr>
          <w:rFonts w:ascii="Salesforce Sans" w:cs="Salesforce Sans" w:eastAsia="Salesforce Sans" w:hAnsi="Salesforce Sans"/>
          <w:u w:val="none"/>
        </w:rPr>
      </w:pPr>
      <w:r w:rsidDel="00000000" w:rsidR="00000000" w:rsidRPr="00000000">
        <w:rPr>
          <w:rFonts w:ascii="Salesforce Sans" w:cs="Salesforce Sans" w:eastAsia="Salesforce Sans" w:hAnsi="Salesforce Sans"/>
          <w:rtl w:val="0"/>
        </w:rPr>
        <w:t xml:space="preserve">Coastal Cloud</w:t>
      </w:r>
    </w:p>
    <w:p w:rsidR="00000000" w:rsidDel="00000000" w:rsidP="00000000" w:rsidRDefault="00000000" w:rsidRPr="00000000" w14:paraId="0000006C">
      <w:pPr>
        <w:pageBreakBefore w:val="0"/>
        <w:numPr>
          <w:ilvl w:val="0"/>
          <w:numId w:val="4"/>
        </w:numPr>
        <w:spacing w:after="0" w:lineRule="auto"/>
        <w:ind w:firstLine="360"/>
        <w:jc w:val="both"/>
        <w:rPr>
          <w:rFonts w:ascii="Salesforce Sans" w:cs="Salesforce Sans" w:eastAsia="Salesforce Sans" w:hAnsi="Salesforce Sans"/>
          <w:u w:val="none"/>
        </w:rPr>
      </w:pPr>
      <w:r w:rsidDel="00000000" w:rsidR="00000000" w:rsidRPr="00000000">
        <w:rPr>
          <w:rFonts w:ascii="Salesforce Sans" w:cs="Salesforce Sans" w:eastAsia="Salesforce Sans" w:hAnsi="Salesforce Sans"/>
          <w:rtl w:val="0"/>
        </w:rPr>
        <w:t xml:space="preserve">CopperHill</w:t>
      </w:r>
      <w:r w:rsidDel="00000000" w:rsidR="00000000" w:rsidRPr="00000000">
        <w:rPr>
          <w:rtl w:val="0"/>
        </w:rPr>
      </w:r>
    </w:p>
    <w:p w:rsidR="00000000" w:rsidDel="00000000" w:rsidP="00000000" w:rsidRDefault="00000000" w:rsidRPr="00000000" w14:paraId="0000006D">
      <w:pPr>
        <w:pageBreakBefore w:val="0"/>
        <w:spacing w:after="240" w:before="240" w:lineRule="auto"/>
        <w:ind w:left="0" w:firstLine="0"/>
        <w:jc w:val="both"/>
        <w:rPr>
          <w:rFonts w:ascii="Salesforce Sans" w:cs="Salesforce Sans" w:eastAsia="Salesforce Sans" w:hAnsi="Salesforce Sans"/>
          <w:b w:val="1"/>
          <w:color w:val="009ddc"/>
        </w:rPr>
      </w:pPr>
      <w:r w:rsidDel="00000000" w:rsidR="00000000" w:rsidRPr="00000000">
        <w:rPr>
          <w:rFonts w:ascii="Salesforce Sans" w:cs="Salesforce Sans" w:eastAsia="Salesforce Sans" w:hAnsi="Salesforce Sans"/>
          <w:b w:val="1"/>
          <w:color w:val="009ddc"/>
          <w:rtl w:val="0"/>
        </w:rPr>
        <w:t xml:space="preserve">Solution Assumptions</w:t>
      </w:r>
    </w:p>
    <w:p w:rsidR="00000000" w:rsidDel="00000000" w:rsidP="00000000" w:rsidRDefault="00000000" w:rsidRPr="00000000" w14:paraId="0000006E">
      <w:pPr>
        <w:pageBreakBefore w:val="0"/>
        <w:spacing w:after="240" w:before="24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solution we recommend assumes the following:</w:t>
      </w:r>
    </w:p>
    <w:p w:rsidR="00000000" w:rsidDel="00000000" w:rsidP="00000000" w:rsidRDefault="00000000" w:rsidRPr="00000000" w14:paraId="0000006F">
      <w:pPr>
        <w:pageBreakBefore w:val="0"/>
        <w:numPr>
          <w:ilvl w:val="0"/>
          <w:numId w:val="5"/>
        </w:numPr>
        <w:spacing w:after="240" w:before="240" w:lineRule="auto"/>
        <w:ind w:firstLine="36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Every customer is responsible for configuring this solution in line with specific organizational policies and procedures. This includes content within email templates, parameters for assigning tasks and territories, custom fields, etc. </w:t>
      </w:r>
    </w:p>
    <w:p w:rsidR="00000000" w:rsidDel="00000000" w:rsidP="00000000" w:rsidRDefault="00000000" w:rsidRPr="00000000" w14:paraId="00000070">
      <w:pPr>
        <w:pageBreakBefore w:val="0"/>
        <w:spacing w:after="240" w:before="24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Use Health Cloud objects for the provider data model.</w:t>
      </w:r>
    </w:p>
    <w:p w:rsidR="00000000" w:rsidDel="00000000" w:rsidP="00000000" w:rsidRDefault="00000000" w:rsidRPr="00000000" w14:paraId="00000071">
      <w:pPr>
        <w:pageBreakBefore w:val="0"/>
        <w:spacing w:after="240" w:before="24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Outside of the delivered Process Builder, Flow should be used for appropriate automation functionality.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Salesforce Sans" w:cs="Salesforce Sans" w:eastAsia="Salesforce Sans" w:hAnsi="Salesforce Sans"/>
          <w:color w:val="1e1e1e"/>
        </w:rPr>
      </w:pPr>
      <w:r w:rsidDel="00000000" w:rsidR="00000000" w:rsidRPr="00000000">
        <w:rPr>
          <w:rFonts w:ascii="Salesforce Sans" w:cs="Salesforce Sans" w:eastAsia="Salesforce Sans" w:hAnsi="Salesforce Sans"/>
          <w:rtl w:val="0"/>
        </w:rPr>
        <w:t xml:space="preserve">Configure Provider Relationship Cards to </w:t>
      </w:r>
      <w:r w:rsidDel="00000000" w:rsidR="00000000" w:rsidRPr="00000000">
        <w:rPr>
          <w:rFonts w:ascii="Salesforce Sans" w:cs="Salesforce Sans" w:eastAsia="Salesforce Sans" w:hAnsi="Salesforce Sans"/>
          <w:color w:val="1e1e1e"/>
          <w:rtl w:val="0"/>
        </w:rPr>
        <w:t xml:space="preserve">visualize complex provider relationships on one page. You can use the Lightning App Builder to add the relationship card component to an Account or Contact page and specify the relationship card types to be included on that page. You can see all the objects—provider organizations, hospital locations, operating hours—and the different attributes—specialty, creds, NPIs—that are related to that account or contact. For example, on the Contact page, you can see all the accounts with which that contact has a relationship. In the case of a health care practitioner, you can see all the hospital locations with which the practitioner is affiliated. Learn more about Relationship Cards </w:t>
      </w:r>
      <w:hyperlink r:id="rId30">
        <w:r w:rsidDel="00000000" w:rsidR="00000000" w:rsidRPr="00000000">
          <w:rPr>
            <w:rFonts w:ascii="Salesforce Sans" w:cs="Salesforce Sans" w:eastAsia="Salesforce Sans" w:hAnsi="Salesforce Sans"/>
            <w:color w:val="1155cc"/>
            <w:u w:val="single"/>
            <w:rtl w:val="0"/>
          </w:rPr>
          <w:t xml:space="preserve">here</w:t>
        </w:r>
      </w:hyperlink>
      <w:r w:rsidDel="00000000" w:rsidR="00000000" w:rsidRPr="00000000">
        <w:rPr>
          <w:rFonts w:ascii="Salesforce Sans" w:cs="Salesforce Sans" w:eastAsia="Salesforce Sans" w:hAnsi="Salesforce Sans"/>
          <w:color w:val="1e1e1e"/>
          <w:rtl w:val="0"/>
        </w:rPr>
        <w:t xml:space="preserve">.</w:t>
      </w:r>
      <w:r w:rsidDel="00000000" w:rsidR="00000000" w:rsidRPr="00000000">
        <w:rPr>
          <w:rtl w:val="0"/>
        </w:rPr>
      </w:r>
    </w:p>
    <w:p w:rsidR="00000000" w:rsidDel="00000000" w:rsidP="00000000" w:rsidRDefault="00000000" w:rsidRPr="00000000" w14:paraId="00000073">
      <w:pPr>
        <w:pStyle w:val="Heading1"/>
        <w:pageBreakBefore w:val="0"/>
        <w:numPr>
          <w:ilvl w:val="0"/>
          <w:numId w:val="11"/>
        </w:numPr>
        <w:ind w:firstLine="360"/>
        <w:rPr>
          <w:rFonts w:ascii="Salesforce Sans" w:cs="Salesforce Sans" w:eastAsia="Salesforce Sans" w:hAnsi="Salesforce Sans"/>
        </w:rPr>
      </w:pPr>
      <w:bookmarkStart w:colFirst="0" w:colLast="0" w:name="_ktgwmqe2xm2q" w:id="9"/>
      <w:bookmarkEnd w:id="9"/>
      <w:r w:rsidDel="00000000" w:rsidR="00000000" w:rsidRPr="00000000">
        <w:rPr>
          <w:rFonts w:ascii="Salesforce Sans" w:cs="Salesforce Sans" w:eastAsia="Salesforce Sans" w:hAnsi="Salesforce Sans"/>
          <w:rtl w:val="0"/>
        </w:rPr>
        <w:t xml:space="preserve">Use Case Scenario</w:t>
      </w:r>
    </w:p>
    <w:p w:rsidR="00000000" w:rsidDel="00000000" w:rsidP="00000000" w:rsidRDefault="00000000" w:rsidRPr="00000000" w14:paraId="00000074">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5">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solution </w:t>
      </w:r>
      <w:r w:rsidDel="00000000" w:rsidR="00000000" w:rsidRPr="00000000">
        <w:rPr>
          <w:rFonts w:ascii="Salesforce Sans" w:cs="Salesforce Sans" w:eastAsia="Salesforce Sans" w:hAnsi="Salesforce Sans"/>
          <w:rtl w:val="0"/>
        </w:rPr>
        <w:t xml:space="preserve">follows the Business Development Representative/Liaison and manager roles in a healthcare system. The solution p</w:t>
      </w:r>
      <w:r w:rsidDel="00000000" w:rsidR="00000000" w:rsidRPr="00000000">
        <w:rPr>
          <w:rFonts w:ascii="Salesforce Sans" w:cs="Salesforce Sans" w:eastAsia="Salesforce Sans" w:hAnsi="Salesforce Sans"/>
          <w:rtl w:val="0"/>
        </w:rPr>
        <w:t xml:space="preserve">ersonalizes the experiences for the Liaison and the providers they are communicating with, and connects providers to the right information about the health system faster.</w:t>
      </w:r>
      <w:r w:rsidDel="00000000" w:rsidR="00000000" w:rsidRPr="00000000">
        <w:rPr>
          <w:rtl w:val="0"/>
        </w:rPr>
      </w:r>
    </w:p>
    <w:p w:rsidR="00000000" w:rsidDel="00000000" w:rsidP="00000000" w:rsidRDefault="00000000" w:rsidRPr="00000000" w14:paraId="00000076">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352800"/>
            <wp:effectExtent b="0" l="0" r="0" t="0"/>
            <wp:docPr id="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8">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9">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A">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B">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alesforce Sans" w:cs="Salesforce Sans" w:eastAsia="Salesforce Sans" w:hAnsi="Salesforce Sans"/>
        </w:rPr>
      </w:pPr>
      <w:bookmarkStart w:colFirst="0" w:colLast="0" w:name="_o0fquc5irnm0" w:id="10"/>
      <w:bookmarkEnd w:id="10"/>
      <w:r w:rsidDel="00000000" w:rsidR="00000000" w:rsidRPr="00000000">
        <w:rPr>
          <w:rFonts w:ascii="Salesforce Sans" w:cs="Salesforce Sans" w:eastAsia="Salesforce Sans" w:hAnsi="Salesforce Sans"/>
          <w:rtl w:val="0"/>
        </w:rPr>
        <w:t xml:space="preserve">Best Practices: Recommendations for </w:t>
      </w:r>
      <w:r w:rsidDel="00000000" w:rsidR="00000000" w:rsidRPr="00000000">
        <w:rPr>
          <w:rFonts w:ascii="Salesforce Sans" w:cs="Salesforce Sans" w:eastAsia="Salesforce Sans" w:hAnsi="Salesforce Sans"/>
          <w:color w:val="009ddc"/>
          <w:sz w:val="44"/>
          <w:szCs w:val="44"/>
          <w:rtl w:val="0"/>
        </w:rPr>
        <w:t xml:space="preserve">Configuration </w:t>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4"/>
        <w:rPr>
          <w:rFonts w:ascii="Salesforce Sans" w:cs="Salesforce Sans" w:eastAsia="Salesforce Sans" w:hAnsi="Salesforce Sans"/>
        </w:rPr>
      </w:pPr>
      <w:bookmarkStart w:colFirst="0" w:colLast="0" w:name="_mj0jajqq2u33" w:id="11"/>
      <w:bookmarkEnd w:id="11"/>
      <w:r w:rsidDel="00000000" w:rsidR="00000000" w:rsidRPr="00000000">
        <w:rPr>
          <w:rFonts w:ascii="Salesforce Sans" w:cs="Salesforce Sans" w:eastAsia="Salesforce Sans" w:hAnsi="Salesforce Sans"/>
          <w:rtl w:val="0"/>
        </w:rPr>
        <w:t xml:space="preserve">Installation Guide</w:t>
      </w:r>
      <w:r w:rsidDel="00000000" w:rsidR="00000000" w:rsidRPr="00000000">
        <w:rPr>
          <w:rtl w:val="0"/>
        </w:rPr>
      </w:r>
    </w:p>
    <w:p w:rsidR="00000000" w:rsidDel="00000000" w:rsidP="00000000" w:rsidRDefault="00000000" w:rsidRPr="00000000" w14:paraId="0000007E">
      <w:pPr>
        <w:tabs>
          <w:tab w:val="right" w:pos="9360"/>
        </w:tabs>
        <w:spacing w:after="0" w:before="80" w:line="240" w:lineRule="auto"/>
        <w:ind w:left="0" w:firstLine="0"/>
        <w:rPr>
          <w:b w:val="1"/>
          <w:color w:val="000000"/>
        </w:rPr>
      </w:pPr>
      <w:hyperlink r:id="rId32">
        <w:r w:rsidDel="00000000" w:rsidR="00000000" w:rsidRPr="00000000">
          <w:rPr>
            <w:b w:val="1"/>
            <w:color w:val="000000"/>
            <w:rtl w:val="0"/>
          </w:rPr>
          <w:t xml:space="preserve">PRM App Accelerator for Health Cloud - Component Package Installation Guide</w:t>
        </w:r>
      </w:hyperlink>
      <w:r w:rsidDel="00000000" w:rsidR="00000000" w:rsidRPr="00000000">
        <w:rPr>
          <w:b w:val="1"/>
          <w:color w:val="000000"/>
          <w:rtl w:val="0"/>
        </w:rPr>
        <w:tab/>
      </w:r>
      <w:hyperlink r:id="rId33">
        <w:r w:rsidDel="00000000" w:rsidR="00000000" w:rsidRPr="00000000">
          <w:rPr>
            <w:b w:val="1"/>
            <w:color w:val="000000"/>
            <w:rtl w:val="0"/>
          </w:rPr>
          <w:t xml:space="preserve">1</w:t>
        </w:r>
      </w:hyperlink>
      <w:r w:rsidDel="00000000" w:rsidR="00000000" w:rsidRPr="00000000">
        <w:rPr>
          <w:rtl w:val="0"/>
        </w:rPr>
      </w:r>
    </w:p>
    <w:p w:rsidR="00000000" w:rsidDel="00000000" w:rsidP="00000000" w:rsidRDefault="00000000" w:rsidRPr="00000000" w14:paraId="0000007F">
      <w:pPr>
        <w:tabs>
          <w:tab w:val="right" w:pos="9360"/>
        </w:tabs>
        <w:spacing w:after="0" w:before="60" w:line="240" w:lineRule="auto"/>
        <w:ind w:left="360" w:firstLine="0"/>
        <w:rPr>
          <w:color w:val="000000"/>
        </w:rPr>
      </w:pPr>
      <w:hyperlink r:id="rId34">
        <w:r w:rsidDel="00000000" w:rsidR="00000000" w:rsidRPr="00000000">
          <w:rPr>
            <w:color w:val="000000"/>
            <w:rtl w:val="0"/>
          </w:rPr>
          <w:t xml:space="preserve">Pre-Installation Steps:</w:t>
        </w:r>
      </w:hyperlink>
      <w:r w:rsidDel="00000000" w:rsidR="00000000" w:rsidRPr="00000000">
        <w:rPr>
          <w:color w:val="000000"/>
          <w:rtl w:val="0"/>
        </w:rPr>
        <w:tab/>
      </w:r>
      <w:hyperlink r:id="rId35">
        <w:r w:rsidDel="00000000" w:rsidR="00000000" w:rsidRPr="00000000">
          <w:rPr>
            <w:color w:val="000000"/>
            <w:rtl w:val="0"/>
          </w:rPr>
          <w:t xml:space="preserve">2</w:t>
        </w:r>
      </w:hyperlink>
      <w:r w:rsidDel="00000000" w:rsidR="00000000" w:rsidRPr="00000000">
        <w:rPr>
          <w:rtl w:val="0"/>
        </w:rPr>
      </w:r>
    </w:p>
    <w:p w:rsidR="00000000" w:rsidDel="00000000" w:rsidP="00000000" w:rsidRDefault="00000000" w:rsidRPr="00000000" w14:paraId="00000080">
      <w:pPr>
        <w:tabs>
          <w:tab w:val="right" w:pos="9360"/>
        </w:tabs>
        <w:spacing w:after="0" w:before="60" w:line="240" w:lineRule="auto"/>
        <w:ind w:left="360" w:firstLine="0"/>
        <w:rPr>
          <w:color w:val="000000"/>
        </w:rPr>
      </w:pPr>
      <w:hyperlink r:id="rId36">
        <w:r w:rsidDel="00000000" w:rsidR="00000000" w:rsidRPr="00000000">
          <w:rPr>
            <w:color w:val="000000"/>
            <w:rtl w:val="0"/>
          </w:rPr>
          <w:t xml:space="preserve">Installation Steps:</w:t>
        </w:r>
      </w:hyperlink>
      <w:r w:rsidDel="00000000" w:rsidR="00000000" w:rsidRPr="00000000">
        <w:rPr>
          <w:color w:val="000000"/>
          <w:rtl w:val="0"/>
        </w:rPr>
        <w:tab/>
      </w:r>
      <w:hyperlink r:id="rId37">
        <w:r w:rsidDel="00000000" w:rsidR="00000000" w:rsidRPr="00000000">
          <w:rPr>
            <w:color w:val="000000"/>
            <w:rtl w:val="0"/>
          </w:rPr>
          <w:t xml:space="preserve">2</w:t>
        </w:r>
      </w:hyperlink>
      <w:r w:rsidDel="00000000" w:rsidR="00000000" w:rsidRPr="00000000">
        <w:rPr>
          <w:rtl w:val="0"/>
        </w:rPr>
      </w:r>
    </w:p>
    <w:p w:rsidR="00000000" w:rsidDel="00000000" w:rsidP="00000000" w:rsidRDefault="00000000" w:rsidRPr="00000000" w14:paraId="00000081">
      <w:pPr>
        <w:tabs>
          <w:tab w:val="right" w:pos="9360"/>
        </w:tabs>
        <w:spacing w:after="0" w:before="60" w:line="240" w:lineRule="auto"/>
        <w:ind w:left="360" w:firstLine="0"/>
        <w:rPr>
          <w:color w:val="000000"/>
        </w:rPr>
      </w:pPr>
      <w:hyperlink r:id="rId38">
        <w:r w:rsidDel="00000000" w:rsidR="00000000" w:rsidRPr="00000000">
          <w:rPr>
            <w:color w:val="000000"/>
            <w:rtl w:val="0"/>
          </w:rPr>
          <w:t xml:space="preserve">Post-Installation Steps:</w:t>
        </w:r>
      </w:hyperlink>
      <w:r w:rsidDel="00000000" w:rsidR="00000000" w:rsidRPr="00000000">
        <w:rPr>
          <w:color w:val="000000"/>
          <w:rtl w:val="0"/>
        </w:rPr>
        <w:tab/>
      </w:r>
      <w:hyperlink r:id="rId39">
        <w:r w:rsidDel="00000000" w:rsidR="00000000" w:rsidRPr="00000000">
          <w:rPr>
            <w:color w:val="000000"/>
            <w:rtl w:val="0"/>
          </w:rPr>
          <w:t xml:space="preserve">3</w:t>
        </w:r>
      </w:hyperlink>
      <w:r w:rsidDel="00000000" w:rsidR="00000000" w:rsidRPr="00000000">
        <w:rPr>
          <w:rtl w:val="0"/>
        </w:rPr>
      </w:r>
    </w:p>
    <w:p w:rsidR="00000000" w:rsidDel="00000000" w:rsidP="00000000" w:rsidRDefault="00000000" w:rsidRPr="00000000" w14:paraId="00000082">
      <w:pPr>
        <w:tabs>
          <w:tab w:val="right" w:pos="9360"/>
        </w:tabs>
        <w:spacing w:after="80" w:before="60" w:line="240" w:lineRule="auto"/>
        <w:ind w:left="360" w:firstLine="0"/>
        <w:rPr>
          <w:rFonts w:ascii="Salesforce Sans" w:cs="Salesforce Sans" w:eastAsia="Salesforce Sans" w:hAnsi="Salesforce Sans"/>
        </w:rPr>
      </w:pPr>
      <w:hyperlink r:id="rId40">
        <w:r w:rsidDel="00000000" w:rsidR="00000000" w:rsidRPr="00000000">
          <w:rPr>
            <w:color w:val="000000"/>
            <w:rtl w:val="0"/>
          </w:rPr>
          <w:t xml:space="preserve">Unmanaged Package Component Inventory</w:t>
        </w:r>
      </w:hyperlink>
      <w:r w:rsidDel="00000000" w:rsidR="00000000" w:rsidRPr="00000000">
        <w:rPr>
          <w:color w:val="000000"/>
          <w:rtl w:val="0"/>
        </w:rPr>
        <w:tab/>
      </w:r>
      <w:hyperlink r:id="rId41">
        <w:r w:rsidDel="00000000" w:rsidR="00000000" w:rsidRPr="00000000">
          <w:rPr>
            <w:color w:val="000000"/>
            <w:rtl w:val="0"/>
          </w:rPr>
          <w:t xml:space="preserve">7</w:t>
        </w:r>
      </w:hyperlink>
      <w:r w:rsidDel="00000000" w:rsidR="00000000" w:rsidRPr="00000000">
        <w:rPr>
          <w:rtl w:val="0"/>
        </w:rPr>
      </w:r>
    </w:p>
    <w:p w:rsidR="00000000" w:rsidDel="00000000" w:rsidP="00000000" w:rsidRDefault="00000000" w:rsidRPr="00000000" w14:paraId="00000083">
      <w:pPr>
        <w:pStyle w:val="Heading4"/>
        <w:rPr>
          <w:rFonts w:ascii="Salesforce Sans" w:cs="Salesforce Sans" w:eastAsia="Salesforce Sans" w:hAnsi="Salesforce Sans"/>
        </w:rPr>
      </w:pPr>
      <w:bookmarkStart w:colFirst="0" w:colLast="0" w:name="_5060q7drqpp" w:id="12"/>
      <w:bookmarkEnd w:id="12"/>
      <w:r w:rsidDel="00000000" w:rsidR="00000000" w:rsidRPr="00000000">
        <w:rPr>
          <w:rFonts w:ascii="Salesforce Sans" w:cs="Salesforce Sans" w:eastAsia="Salesforce Sans" w:hAnsi="Salesforce Sans"/>
          <w:rtl w:val="0"/>
        </w:rPr>
        <w:t xml:space="preserve">Integration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Salesforce recommends leveraging scheduled automatic batch loads via SFTP weekly for provider data pulls.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Salesforce Sans" w:cs="Salesforce Sans" w:eastAsia="Salesforce Sans" w:hAnsi="Salesforce Sans"/>
          <w:rtl w:val="0"/>
        </w:rPr>
        <w:t xml:space="preserve">Salesforce Technical Architect (TA) assessments are available for healthcare organizations interested in real-time integrations to explore options such as Mulesoft, Redox, Elkay, CopperHill, or an/AppX Partner.</w:t>
      </w:r>
      <w:r w:rsidDel="00000000" w:rsidR="00000000" w:rsidRPr="00000000">
        <w:rPr>
          <w:rtl w:val="0"/>
        </w:rPr>
      </w:r>
    </w:p>
    <w:p w:rsidR="00000000" w:rsidDel="00000000" w:rsidP="00000000" w:rsidRDefault="00000000" w:rsidRPr="00000000" w14:paraId="00000086">
      <w:pPr>
        <w:pStyle w:val="Heading4"/>
        <w:ind w:left="0" w:firstLine="0"/>
        <w:rPr>
          <w:rFonts w:ascii="Salesforce Sans" w:cs="Salesforce Sans" w:eastAsia="Salesforce Sans" w:hAnsi="Salesforce Sans"/>
        </w:rPr>
      </w:pPr>
      <w:bookmarkStart w:colFirst="0" w:colLast="0" w:name="_bc4t35hycz7n" w:id="13"/>
      <w:bookmarkEnd w:id="13"/>
      <w:r w:rsidDel="00000000" w:rsidR="00000000" w:rsidRPr="00000000">
        <w:rPr>
          <w:rFonts w:ascii="Salesforce Sans" w:cs="Salesforce Sans" w:eastAsia="Salesforce Sans" w:hAnsi="Salesforce Sans"/>
          <w:rtl w:val="0"/>
        </w:rPr>
        <w:t xml:space="preserve">Modeling Providers</w:t>
      </w:r>
    </w:p>
    <w:p w:rsidR="00000000" w:rsidDel="00000000" w:rsidP="00000000" w:rsidRDefault="00000000" w:rsidRPr="00000000" w14:paraId="00000087">
      <w:pPr>
        <w:pageBreakBefore w:val="0"/>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When modeling different personas within Health Cloud, there are a lot of options available, but also best practices you should follow based on what healthcare organizations goals. Modeling practitioners, or providers, is no exception.</w:t>
      </w:r>
    </w:p>
    <w:p w:rsidR="00000000" w:rsidDel="00000000" w:rsidP="00000000" w:rsidRDefault="00000000" w:rsidRPr="00000000" w14:paraId="00000088">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89">
      <w:pPr>
        <w:pageBreakBefore w:val="0"/>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594100"/>
            <wp:effectExtent b="0" l="0" r="0" t="0"/>
            <wp:docPr id="7"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8B">
      <w:pPr>
        <w:pStyle w:val="Heading4"/>
        <w:ind w:left="0" w:firstLine="0"/>
        <w:rPr/>
      </w:pPr>
      <w:bookmarkStart w:colFirst="0" w:colLast="0" w:name="_jgonyqb2bvsw" w:id="14"/>
      <w:bookmarkEnd w:id="14"/>
      <w:r w:rsidDel="00000000" w:rsidR="00000000" w:rsidRPr="00000000">
        <w:rPr>
          <w:rtl w:val="0"/>
        </w:rPr>
        <w:t xml:space="preserve">Decision Table and Additional Considerations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How</w:t>
      </w:r>
      <w:r w:rsidDel="00000000" w:rsidR="00000000" w:rsidRPr="00000000">
        <w:rPr>
          <w:rtl w:val="0"/>
        </w:rPr>
        <w:t xml:space="preserve"> to interpret the following table:</w:t>
      </w:r>
    </w:p>
    <w:p w:rsidR="00000000" w:rsidDel="00000000" w:rsidP="00000000" w:rsidRDefault="00000000" w:rsidRPr="00000000" w14:paraId="0000008E">
      <w:pPr>
        <w:ind w:left="0" w:firstLine="0"/>
        <w:rPr/>
      </w:pPr>
      <w:r w:rsidDel="00000000" w:rsidR="00000000" w:rsidRPr="00000000">
        <w:rPr>
          <w:rtl w:val="0"/>
        </w:rPr>
        <w:t xml:space="preserve">Salesforce offers multiple ways to model providers so it’s important to understand the near-term and long-term needs of the organization to make the best choice for modeling providers. The questions below offer a guide to this decision making. Once you’ve completed answering the questions for your implementation, add which column represents more answers that align with your implementation. The column your answer appears in indicates the better choice for modeling providers, and ideally all of your answers are in the same column. For example, a New Org that will not have External Apps Licenses (Partner Licenses) for providers would typically use Person Accounts for providers, whereas an existing org that already has modeled providers as Contacts and will use External Apps Licenses for those providers would typically model providers as Contacts. A “Yes” in both columns indicate that the functionality is supported by both Contacts and Person Accounts and is usually not a factor in the decision. </w:t>
      </w:r>
    </w:p>
    <w:p w:rsidR="00000000" w:rsidDel="00000000" w:rsidP="00000000" w:rsidRDefault="00000000" w:rsidRPr="00000000" w14:paraId="0000008F">
      <w:pPr>
        <w:pageBreakBefore w:val="0"/>
        <w:ind w:left="0" w:firstLine="0"/>
        <w:rPr>
          <w:rFonts w:ascii="Salesforce Sans" w:cs="Salesforce Sans" w:eastAsia="Salesforce Sans" w:hAnsi="Salesforce Sans"/>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45"/>
        <w:gridCol w:w="1350"/>
        <w:gridCol w:w="2265"/>
        <w:tblGridChange w:id="0">
          <w:tblGrid>
            <w:gridCol w:w="5745"/>
            <w:gridCol w:w="1350"/>
            <w:gridCol w:w="2265"/>
          </w:tblGrid>
        </w:tblGridChange>
      </w:tblGrid>
      <w:tr>
        <w:trPr>
          <w:cantSplit w:val="0"/>
          <w:trHeight w:val="515.52" w:hRule="atLeast"/>
          <w:tblHeader w:val="1"/>
        </w:trPr>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4f4f4"/>
              </w:rPr>
            </w:pPr>
            <w:r w:rsidDel="00000000" w:rsidR="00000000" w:rsidRPr="00000000">
              <w:rPr>
                <w:rFonts w:ascii="Salesforce Sans" w:cs="Salesforce Sans" w:eastAsia="Salesforce Sans" w:hAnsi="Salesforce Sans"/>
                <w:b w:val="1"/>
                <w:color w:val="f4f4f4"/>
                <w:rtl w:val="0"/>
              </w:rPr>
              <w:t xml:space="preserve">Question</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91">
            <w:pPr>
              <w:ind w:left="0" w:firstLine="0"/>
              <w:jc w:val="center"/>
              <w:rPr>
                <w:rFonts w:ascii="Salesforce Sans" w:cs="Salesforce Sans" w:eastAsia="Salesforce Sans" w:hAnsi="Salesforce Sans"/>
                <w:color w:val="f4f4f4"/>
              </w:rPr>
            </w:pPr>
            <w:r w:rsidDel="00000000" w:rsidR="00000000" w:rsidRPr="00000000">
              <w:rPr>
                <w:rFonts w:ascii="Salesforce Sans" w:cs="Salesforce Sans" w:eastAsia="Salesforce Sans" w:hAnsi="Salesforce Sans"/>
                <w:b w:val="1"/>
                <w:color w:val="f4f4f4"/>
                <w:rtl w:val="0"/>
              </w:rPr>
              <w:t xml:space="preserve">Contacts</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92">
            <w:pPr>
              <w:ind w:left="0" w:firstLine="0"/>
              <w:jc w:val="center"/>
              <w:rPr>
                <w:rFonts w:ascii="Salesforce Sans" w:cs="Salesforce Sans" w:eastAsia="Salesforce Sans" w:hAnsi="Salesforce Sans"/>
                <w:color w:val="f4f4f4"/>
              </w:rPr>
            </w:pPr>
            <w:r w:rsidDel="00000000" w:rsidR="00000000" w:rsidRPr="00000000">
              <w:rPr>
                <w:rFonts w:ascii="Salesforce Sans" w:cs="Salesforce Sans" w:eastAsia="Salesforce Sans" w:hAnsi="Salesforce Sans"/>
                <w:b w:val="1"/>
                <w:color w:val="f4f4f4"/>
                <w:rtl w:val="0"/>
              </w:rPr>
              <w:t xml:space="preserve">Person Accounts</w:t>
            </w: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3">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Is this a net new implementation? (New Org)</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4">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5">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6">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currently have providers modeled in your system as Contacts?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7">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8">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9">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Are you using, or planning, to use Experience Cloud with Partner Licenses or External Apps Licenses?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A">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B">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C">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leverage Timeline for Physicians?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D">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E">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F">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connect to Marketing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0">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1">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2">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leverage Life Events for Physicians?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3">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4">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5">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treat providers as independent entities?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6">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7">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8">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associate Providers with Care Programs?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9">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A">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B">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manage Territory Management via Providers, rather than at a facility level?</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C">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D">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E">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leverage the OOTB "Create Provider" API with Health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F">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0">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1">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plan on using PNM's Network Participation flow / component?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2">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3">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4">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Are you planning on using Intelligent Appointment Management?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5">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6">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7">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Are you fully mapping to the 'Practitioner' FHIR resource?</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8">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9">
            <w:pPr>
              <w:ind w:left="0" w:firstLine="0"/>
              <w:jc w:val="center"/>
              <w:rPr>
                <w:rFonts w:ascii="Salesforce Sans" w:cs="Salesforce Sans" w:eastAsia="Salesforce Sans" w:hAnsi="Salesforce Sans"/>
              </w:rPr>
            </w:pPr>
            <w:hyperlink r:id="rId43">
              <w:r w:rsidDel="00000000" w:rsidR="00000000" w:rsidRPr="00000000">
                <w:rPr>
                  <w:rFonts w:ascii="Salesforce Sans" w:cs="Salesforce Sans" w:eastAsia="Salesforce Sans" w:hAnsi="Salesforce Sans"/>
                  <w:color w:val="1155cc"/>
                  <w:u w:val="single"/>
                  <w:rtl w:val="0"/>
                </w:rPr>
                <w:t xml:space="preserve">Yes</w:t>
              </w:r>
            </w:hyperlink>
            <w:r w:rsidDel="00000000" w:rsidR="00000000" w:rsidRPr="00000000">
              <w:rPr>
                <w:rtl w:val="0"/>
              </w:rPr>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A">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leverage delegated access within Experience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B">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C">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r>
    </w:tbl>
    <w:p w:rsidR="00000000" w:rsidDel="00000000" w:rsidP="00000000" w:rsidRDefault="00000000" w:rsidRPr="00000000" w14:paraId="000000BD">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BE">
      <w:pPr>
        <w:pStyle w:val="Heading4"/>
        <w:keepNext w:val="0"/>
        <w:keepLines w:val="0"/>
        <w:spacing w:after="80" w:before="280" w:lineRule="auto"/>
        <w:ind w:left="0" w:firstLine="0"/>
        <w:rPr/>
      </w:pPr>
      <w:bookmarkStart w:colFirst="0" w:colLast="0" w:name="_icihym10e4e8" w:id="15"/>
      <w:bookmarkEnd w:id="15"/>
      <w:r w:rsidDel="00000000" w:rsidR="00000000" w:rsidRPr="00000000">
        <w:rPr>
          <w:rtl w:val="0"/>
        </w:rPr>
        <w:t xml:space="preserve">Previous Modeling of Providers</w:t>
      </w:r>
    </w:p>
    <w:p w:rsidR="00000000" w:rsidDel="00000000" w:rsidP="00000000" w:rsidRDefault="00000000" w:rsidRPr="00000000" w14:paraId="000000BF">
      <w:pPr>
        <w:numPr>
          <w:ilvl w:val="0"/>
          <w:numId w:val="6"/>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In the past, providers were only recommended to be modeled as Contacts. With that, a number of legacy orgs have providers modeled that way. If a customer is apprehensive to the change, be aware of some of the features they may not have access to if they model as Contacts.</w:t>
      </w:r>
    </w:p>
    <w:p w:rsidR="00000000" w:rsidDel="00000000" w:rsidP="00000000" w:rsidRDefault="00000000" w:rsidRPr="00000000" w14:paraId="000000C0">
      <w:pPr>
        <w:numPr>
          <w:ilvl w:val="0"/>
          <w:numId w:val="6"/>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You can migrate providers from Contacts to Person Accounts but the work involved can be significant, depending on the code and configuration involving Accounts and Contacts. All will need to be evaluated for potential changes to accommodate the new Person Account Record Type and data will need to be exported and reimported.</w:t>
      </w:r>
    </w:p>
    <w:p w:rsidR="00000000" w:rsidDel="00000000" w:rsidP="00000000" w:rsidRDefault="00000000" w:rsidRPr="00000000" w14:paraId="000000C1">
      <w:pPr>
        <w:pStyle w:val="Heading4"/>
        <w:keepNext w:val="0"/>
        <w:keepLines w:val="0"/>
        <w:spacing w:after="80" w:before="280" w:lineRule="auto"/>
        <w:ind w:left="0" w:firstLine="0"/>
        <w:rPr/>
      </w:pPr>
      <w:bookmarkStart w:colFirst="0" w:colLast="0" w:name="_cxc2vzur9pxk" w:id="16"/>
      <w:bookmarkEnd w:id="16"/>
      <w:r w:rsidDel="00000000" w:rsidR="00000000" w:rsidRPr="00000000">
        <w:rPr>
          <w:rtl w:val="0"/>
        </w:rPr>
        <w:t xml:space="preserve">Timeline</w:t>
      </w:r>
    </w:p>
    <w:p w:rsidR="00000000" w:rsidDel="00000000" w:rsidP="00000000" w:rsidRDefault="00000000" w:rsidRPr="00000000" w14:paraId="000000C2">
      <w:pPr>
        <w:numPr>
          <w:ilvl w:val="0"/>
          <w:numId w:val="1"/>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1d1c1d"/>
          <w:rtl w:val="0"/>
        </w:rPr>
        <w:t xml:space="preserve">While this component is generally used for Patient Management, it can also be leveraged to chronologically display events for a Provider, if modeled as Person Accounts.</w:t>
      </w:r>
    </w:p>
    <w:p w:rsidR="00000000" w:rsidDel="00000000" w:rsidP="00000000" w:rsidRDefault="00000000" w:rsidRPr="00000000" w14:paraId="000000C3">
      <w:pPr>
        <w:numPr>
          <w:ilvl w:val="1"/>
          <w:numId w:val="1"/>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color w:val="1d1c1d"/>
          <w:rtl w:val="0"/>
        </w:rPr>
        <w:t xml:space="preserve">If the provider is a Contact, then the timeline on the provider contact page will lookup to the business account and will display all events related to the business account (such as the Hospital or clinic). Any events related to the Contact won’t work.</w:t>
      </w:r>
    </w:p>
    <w:p w:rsidR="00000000" w:rsidDel="00000000" w:rsidP="00000000" w:rsidRDefault="00000000" w:rsidRPr="00000000" w14:paraId="000000C4">
      <w:pPr>
        <w:numPr>
          <w:ilvl w:val="0"/>
          <w:numId w:val="1"/>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1d1c1d"/>
          <w:rtl w:val="0"/>
        </w:rPr>
        <w:t xml:space="preserve">The Timeline component works on an object page which is related to an Account and displays the timeline events associated to that account.</w:t>
      </w:r>
    </w:p>
    <w:p w:rsidR="00000000" w:rsidDel="00000000" w:rsidP="00000000" w:rsidRDefault="00000000" w:rsidRPr="00000000" w14:paraId="000000C5">
      <w:pPr>
        <w:numPr>
          <w:ilvl w:val="0"/>
          <w:numId w:val="1"/>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Setup unique Timeline View Configurations for the Provider (compared to the Patient) making sure you’re looking up to the Account side of the Provider relationship for the data you want to show. </w:t>
      </w:r>
    </w:p>
    <w:p w:rsidR="00000000" w:rsidDel="00000000" w:rsidP="00000000" w:rsidRDefault="00000000" w:rsidRPr="00000000" w14:paraId="000000C6">
      <w:pPr>
        <w:pStyle w:val="Heading4"/>
        <w:keepNext w:val="0"/>
        <w:keepLines w:val="0"/>
        <w:spacing w:after="80" w:before="280" w:lineRule="auto"/>
        <w:ind w:left="0" w:firstLine="0"/>
        <w:rPr/>
      </w:pPr>
      <w:bookmarkStart w:colFirst="0" w:colLast="0" w:name="_9a2xvpfpoh5m" w:id="17"/>
      <w:bookmarkEnd w:id="17"/>
      <w:r w:rsidDel="00000000" w:rsidR="00000000" w:rsidRPr="00000000">
        <w:rPr>
          <w:rtl w:val="0"/>
        </w:rPr>
        <w:t xml:space="preserve">Providers as Individual Entities</w:t>
      </w:r>
    </w:p>
    <w:p w:rsidR="00000000" w:rsidDel="00000000" w:rsidP="00000000" w:rsidRDefault="00000000" w:rsidRPr="00000000" w14:paraId="000000C7">
      <w:pPr>
        <w:numPr>
          <w:ilvl w:val="0"/>
          <w:numId w:val="3"/>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Many times, Providers are looked at as individual, independent entities, who have practicing rights at a number of locations. They have their own unique identification number, such as a NPI, which follows them regardless of where they work. They also may not have a primary location, the way traditional Business Accounts and Contacts are modeled.</w:t>
      </w:r>
    </w:p>
    <w:p w:rsidR="00000000" w:rsidDel="00000000" w:rsidP="00000000" w:rsidRDefault="00000000" w:rsidRPr="00000000" w14:paraId="000000C8">
      <w:pPr>
        <w:numPr>
          <w:ilvl w:val="0"/>
          <w:numId w:val="3"/>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This reasoning alone would drive a company towards a Person Account model if no other considerations are being looked at.</w:t>
      </w:r>
    </w:p>
    <w:p w:rsidR="00000000" w:rsidDel="00000000" w:rsidP="00000000" w:rsidRDefault="00000000" w:rsidRPr="00000000" w14:paraId="000000C9">
      <w:pPr>
        <w:pStyle w:val="Heading4"/>
        <w:keepNext w:val="0"/>
        <w:keepLines w:val="0"/>
        <w:spacing w:after="80" w:before="280" w:lineRule="auto"/>
        <w:ind w:left="0" w:firstLine="0"/>
        <w:rPr/>
      </w:pPr>
      <w:bookmarkStart w:colFirst="0" w:colLast="0" w:name="_x4ip4cots1sz" w:id="18"/>
      <w:bookmarkEnd w:id="18"/>
      <w:r w:rsidDel="00000000" w:rsidR="00000000" w:rsidRPr="00000000">
        <w:rPr>
          <w:rtl w:val="0"/>
        </w:rPr>
        <w:t xml:space="preserve">Providers and Care Programs</w:t>
      </w:r>
    </w:p>
    <w:p w:rsidR="00000000" w:rsidDel="00000000" w:rsidP="00000000" w:rsidRDefault="00000000" w:rsidRPr="00000000" w14:paraId="000000CA">
      <w:pPr>
        <w:numPr>
          <w:ilvl w:val="0"/>
          <w:numId w:val="7"/>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The Care Program functionality has a supporting object called ‘Care Program Provider’. This object is also referenced in the out of the box guided flow template (Program Enrollment Flow) from Health Cloud.</w:t>
      </w:r>
    </w:p>
    <w:p w:rsidR="00000000" w:rsidDel="00000000" w:rsidP="00000000" w:rsidRDefault="00000000" w:rsidRPr="00000000" w14:paraId="000000CB">
      <w:pPr>
        <w:numPr>
          <w:ilvl w:val="1"/>
          <w:numId w:val="7"/>
        </w:numPr>
        <w:spacing w:after="24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Care Program Provider object has two options to build a relationship with a provider. You can leverage the AccountID field (Account Lookup) OR the CareProgramContactId (Contact Lookup) to appropriately make the relationship.</w:t>
      </w:r>
    </w:p>
    <w:p w:rsidR="00000000" w:rsidDel="00000000" w:rsidP="00000000" w:rsidRDefault="00000000" w:rsidRPr="00000000" w14:paraId="000000CC">
      <w:pPr>
        <w:pStyle w:val="Heading4"/>
        <w:keepNext w:val="0"/>
        <w:keepLines w:val="0"/>
        <w:spacing w:after="80" w:before="280" w:lineRule="auto"/>
        <w:ind w:left="0" w:firstLine="0"/>
        <w:rPr/>
      </w:pPr>
      <w:bookmarkStart w:colFirst="0" w:colLast="0" w:name="_5skdbhmsm61p" w:id="19"/>
      <w:bookmarkEnd w:id="19"/>
      <w:r w:rsidDel="00000000" w:rsidR="00000000" w:rsidRPr="00000000">
        <w:rPr>
          <w:rtl w:val="0"/>
        </w:rPr>
        <w:t xml:space="preserve">Territory Management Usage</w:t>
      </w:r>
    </w:p>
    <w:p w:rsidR="00000000" w:rsidDel="00000000" w:rsidP="00000000" w:rsidRDefault="00000000" w:rsidRPr="00000000" w14:paraId="000000CD">
      <w:pPr>
        <w:numPr>
          <w:ilvl w:val="0"/>
          <w:numId w:val="9"/>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platform-level Territory Management functionality is Account-driven. If you need to manage territories at the provider level, instead of at the traditional facility (or Account) level, you will need to model providers as Person Accounts. Territory Management </w:t>
      </w:r>
      <w:r w:rsidDel="00000000" w:rsidR="00000000" w:rsidRPr="00000000">
        <w:rPr>
          <w:rFonts w:ascii="Salesforce Sans" w:cs="Salesforce Sans" w:eastAsia="Salesforce Sans" w:hAnsi="Salesforce Sans"/>
          <w:u w:val="single"/>
          <w:rtl w:val="0"/>
        </w:rPr>
        <w:t xml:space="preserve">does not</w:t>
      </w:r>
      <w:r w:rsidDel="00000000" w:rsidR="00000000" w:rsidRPr="00000000">
        <w:rPr>
          <w:rFonts w:ascii="Salesforce Sans" w:cs="Salesforce Sans" w:eastAsia="Salesforce Sans" w:hAnsi="Salesforce Sans"/>
          <w:rtl w:val="0"/>
        </w:rPr>
        <w:t xml:space="preserve"> support Contacts.</w:t>
      </w:r>
    </w:p>
    <w:p w:rsidR="00000000" w:rsidDel="00000000" w:rsidP="00000000" w:rsidRDefault="00000000" w:rsidRPr="00000000" w14:paraId="000000CE">
      <w:pPr>
        <w:numPr>
          <w:ilvl w:val="0"/>
          <w:numId w:val="9"/>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Territory requirements need to be heavily analyzed as often Providers are commonly at different locations during the week. Because of this, it may be useful to leverage the facilities (Accounts) in territories to line up with rep visits/virtual calls, and therefore Providers at the facility on a given day and the associated Leads/Opps for those Accounts. </w:t>
      </w:r>
    </w:p>
    <w:p w:rsidR="00000000" w:rsidDel="00000000" w:rsidP="00000000" w:rsidRDefault="00000000" w:rsidRPr="00000000" w14:paraId="000000CF">
      <w:pPr>
        <w:numPr>
          <w:ilvl w:val="0"/>
          <w:numId w:val="9"/>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Advanced Maps has capabilities for Visit Windows which can be helpful with route planning for those Providers.</w:t>
      </w:r>
    </w:p>
    <w:p w:rsidR="00000000" w:rsidDel="00000000" w:rsidP="00000000" w:rsidRDefault="00000000" w:rsidRPr="00000000" w14:paraId="000000D0">
      <w:pPr>
        <w:numPr>
          <w:ilvl w:val="1"/>
          <w:numId w:val="9"/>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Maps Advanced would help with the scenario where a Provider is related to multiple accounts and to plan a route you need to know there is a visit window Mondays &amp; Wednesdays from 1-5 at Account #1 (and therefore the rep won't be sent to that location on Tuesdays and Thursdays when the Provider works at a different location).</w:t>
      </w:r>
    </w:p>
    <w:p w:rsidR="00000000" w:rsidDel="00000000" w:rsidP="00000000" w:rsidRDefault="00000000" w:rsidRPr="00000000" w14:paraId="000000D1">
      <w:pPr>
        <w:numPr>
          <w:ilvl w:val="1"/>
          <w:numId w:val="9"/>
        </w:numPr>
        <w:spacing w:after="24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If Visit Windows aren't needed, standard Maps can be used.</w:t>
      </w:r>
    </w:p>
    <w:p w:rsidR="00000000" w:rsidDel="00000000" w:rsidP="00000000" w:rsidRDefault="00000000" w:rsidRPr="00000000" w14:paraId="000000D2">
      <w:pPr>
        <w:pStyle w:val="Heading4"/>
        <w:keepNext w:val="0"/>
        <w:keepLines w:val="0"/>
        <w:spacing w:after="80" w:before="280" w:lineRule="auto"/>
        <w:ind w:left="0" w:firstLine="0"/>
        <w:rPr/>
      </w:pPr>
      <w:bookmarkStart w:colFirst="0" w:colLast="0" w:name="_7p4uxovsj0wm" w:id="20"/>
      <w:bookmarkEnd w:id="20"/>
      <w:r w:rsidDel="00000000" w:rsidR="00000000" w:rsidRPr="00000000">
        <w:rPr>
          <w:rtl w:val="0"/>
        </w:rPr>
        <w:t xml:space="preserve">Security + Data Storage</w:t>
      </w:r>
    </w:p>
    <w:p w:rsidR="00000000" w:rsidDel="00000000" w:rsidP="00000000" w:rsidRDefault="00000000" w:rsidRPr="00000000" w14:paraId="000000D3">
      <w:pPr>
        <w:numPr>
          <w:ilvl w:val="0"/>
          <w:numId w:val="10"/>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If person accounts are enabled, the organization-wide default sharing must be set in one of the following ways:</w:t>
      </w:r>
    </w:p>
    <w:p w:rsidR="00000000" w:rsidDel="00000000" w:rsidP="00000000" w:rsidRDefault="00000000" w:rsidRPr="00000000" w14:paraId="000000D4">
      <w:pPr>
        <w:numPr>
          <w:ilvl w:val="1"/>
          <w:numId w:val="10"/>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Contacts are set to Controlled by Parent, </w:t>
      </w:r>
    </w:p>
    <w:p w:rsidR="00000000" w:rsidDel="00000000" w:rsidP="00000000" w:rsidRDefault="00000000" w:rsidRPr="00000000" w14:paraId="000000D5">
      <w:pPr>
        <w:numPr>
          <w:ilvl w:val="1"/>
          <w:numId w:val="10"/>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or accounts and contacts are both set to Private.</w:t>
      </w:r>
    </w:p>
    <w:p w:rsidR="00000000" w:rsidDel="00000000" w:rsidP="00000000" w:rsidRDefault="00000000" w:rsidRPr="00000000" w14:paraId="000000D6">
      <w:pPr>
        <w:numPr>
          <w:ilvl w:val="0"/>
          <w:numId w:val="10"/>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Data storage is higher with Person Accounts as there is both an underlying Contact and Account record.</w:t>
      </w:r>
    </w:p>
    <w:p w:rsidR="00000000" w:rsidDel="00000000" w:rsidP="00000000" w:rsidRDefault="00000000" w:rsidRPr="00000000" w14:paraId="000000D7">
      <w:pPr>
        <w:pStyle w:val="Heading4"/>
        <w:keepNext w:val="0"/>
        <w:keepLines w:val="0"/>
        <w:spacing w:after="80" w:before="280" w:lineRule="auto"/>
        <w:ind w:left="0" w:firstLine="0"/>
        <w:rPr/>
      </w:pPr>
      <w:bookmarkStart w:colFirst="0" w:colLast="0" w:name="_yi823imesjqs" w:id="21"/>
      <w:bookmarkEnd w:id="21"/>
      <w:r w:rsidDel="00000000" w:rsidR="00000000" w:rsidRPr="00000000">
        <w:rPr>
          <w:rtl w:val="0"/>
        </w:rPr>
        <w:t xml:space="preserve">Managing Relationships</w:t>
      </w:r>
    </w:p>
    <w:p w:rsidR="00000000" w:rsidDel="00000000" w:rsidP="00000000" w:rsidRDefault="00000000" w:rsidRPr="00000000" w14:paraId="000000D8">
      <w:pPr>
        <w:numPr>
          <w:ilvl w:val="0"/>
          <w:numId w:val="2"/>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Healthcare Practitioner Facility</w:t>
      </w:r>
    </w:p>
    <w:p w:rsidR="00000000" w:rsidDel="00000000" w:rsidP="00000000" w:rsidRDefault="00000000" w:rsidRPr="00000000" w14:paraId="000000D9">
      <w:pPr>
        <w:numPr>
          <w:ilvl w:val="1"/>
          <w:numId w:val="2"/>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Regardless of how providers are modeled, leverage this object to manage relationships between providers and the facilities or clinics they work at</w:t>
      </w:r>
    </w:p>
    <w:p w:rsidR="00000000" w:rsidDel="00000000" w:rsidP="00000000" w:rsidRDefault="00000000" w:rsidRPr="00000000" w14:paraId="000000DA">
      <w:pPr>
        <w:numPr>
          <w:ilvl w:val="1"/>
          <w:numId w:val="2"/>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Using this object is important for a number of downstream features, such as Provider Search and Intelligent Appointment Scheduling</w:t>
      </w:r>
    </w:p>
    <w:p w:rsidR="00000000" w:rsidDel="00000000" w:rsidP="00000000" w:rsidRDefault="00000000" w:rsidRPr="00000000" w14:paraId="000000DB">
      <w:pPr>
        <w:numPr>
          <w:ilvl w:val="0"/>
          <w:numId w:val="2"/>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Account to Contact</w:t>
      </w:r>
    </w:p>
    <w:p w:rsidR="00000000" w:rsidDel="00000000" w:rsidP="00000000" w:rsidRDefault="00000000" w:rsidRPr="00000000" w14:paraId="000000DC">
      <w:pPr>
        <w:numPr>
          <w:ilvl w:val="1"/>
          <w:numId w:val="2"/>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Leverage this object to manage relationships between non-clinical staff and non-primary facilities or clinics that support</w:t>
      </w:r>
    </w:p>
    <w:p w:rsidR="00000000" w:rsidDel="00000000" w:rsidP="00000000" w:rsidRDefault="00000000" w:rsidRPr="00000000" w14:paraId="000000DD">
      <w:pPr>
        <w:numPr>
          <w:ilvl w:val="2"/>
          <w:numId w:val="2"/>
        </w:numPr>
        <w:spacing w:after="0" w:afterAutospacing="0" w:before="0" w:beforeAutospacing="0" w:lineRule="auto"/>
        <w:ind w:left="216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Non-Primary due to the fact that non-clinical staff are modeled as Contacts and will have a standard Business Account to Contact relationship for primary relationships</w:t>
      </w:r>
    </w:p>
    <w:p w:rsidR="00000000" w:rsidDel="00000000" w:rsidP="00000000" w:rsidRDefault="00000000" w:rsidRPr="00000000" w14:paraId="000000DE">
      <w:pPr>
        <w:numPr>
          <w:ilvl w:val="1"/>
          <w:numId w:val="2"/>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Regardless of how providers are modeled, leverage this object to track non-working affiliations for providers, such as being members of the American Medical Association or American Academy of Family Physicians</w:t>
      </w:r>
    </w:p>
    <w:p w:rsidR="00000000" w:rsidDel="00000000" w:rsidP="00000000" w:rsidRDefault="00000000" w:rsidRPr="00000000" w14:paraId="000000DF">
      <w:pPr>
        <w:numPr>
          <w:ilvl w:val="0"/>
          <w:numId w:val="2"/>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Contact to Contact</w:t>
      </w:r>
    </w:p>
    <w:p w:rsidR="00000000" w:rsidDel="00000000" w:rsidP="00000000" w:rsidRDefault="00000000" w:rsidRPr="00000000" w14:paraId="000000E0">
      <w:pPr>
        <w:numPr>
          <w:ilvl w:val="1"/>
          <w:numId w:val="2"/>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When Providers are modeled as Person Accounts or Contacts, leverage this object to manage relationships between providers and non-clinical staff</w:t>
      </w:r>
    </w:p>
    <w:p w:rsidR="00000000" w:rsidDel="00000000" w:rsidP="00000000" w:rsidRDefault="00000000" w:rsidRPr="00000000" w14:paraId="000000E1">
      <w:pPr>
        <w:numPr>
          <w:ilvl w:val="2"/>
          <w:numId w:val="2"/>
        </w:numPr>
        <w:spacing w:after="0" w:afterAutospacing="0" w:before="0" w:beforeAutospacing="0" w:lineRule="auto"/>
        <w:ind w:left="216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Note for this setup - You have to edit the Contact-Contact Relationship Page Layout to add all relevant fields. You also should create a tab for Reciprocal Roles and their respective inverse relationship to be able to associate the roles (ex. Mentor/Mentee)</w:t>
      </w:r>
    </w:p>
    <w:p w:rsidR="00000000" w:rsidDel="00000000" w:rsidP="00000000" w:rsidRDefault="00000000" w:rsidRPr="00000000" w14:paraId="000000E2">
      <w:pPr>
        <w:numPr>
          <w:ilvl w:val="1"/>
          <w:numId w:val="2"/>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When Providers are modeled as Person Accounts or Contacts, leverage this relationship to manage provider to provider relationships (ex. mentor / mentee)</w:t>
      </w:r>
    </w:p>
    <w:p w:rsidR="00000000" w:rsidDel="00000000" w:rsidP="00000000" w:rsidRDefault="00000000" w:rsidRPr="00000000" w14:paraId="000000E3">
      <w:pPr>
        <w:numPr>
          <w:ilvl w:val="0"/>
          <w:numId w:val="2"/>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Account to Account</w:t>
      </w:r>
    </w:p>
    <w:p w:rsidR="00000000" w:rsidDel="00000000" w:rsidP="00000000" w:rsidRDefault="00000000" w:rsidRPr="00000000" w14:paraId="000000E4">
      <w:pPr>
        <w:numPr>
          <w:ilvl w:val="1"/>
          <w:numId w:val="2"/>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Leverage this object to track business account to business account relationships, such as affiliations</w:t>
      </w:r>
    </w:p>
    <w:p w:rsidR="00000000" w:rsidDel="00000000" w:rsidP="00000000" w:rsidRDefault="00000000" w:rsidRPr="00000000" w14:paraId="000000E5">
      <w:pPr>
        <w:numPr>
          <w:ilvl w:val="2"/>
          <w:numId w:val="2"/>
        </w:numPr>
        <w:spacing w:after="0" w:afterAutospacing="0" w:before="0" w:beforeAutospacing="0" w:lineRule="auto"/>
        <w:ind w:left="216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Note that there are specific objects for functionality, like Purchaser Group, available with Health Cloud</w:t>
      </w:r>
    </w:p>
    <w:p w:rsidR="00000000" w:rsidDel="00000000" w:rsidP="00000000" w:rsidRDefault="00000000" w:rsidRPr="00000000" w14:paraId="000000E6">
      <w:pPr>
        <w:numPr>
          <w:ilvl w:val="0"/>
          <w:numId w:val="2"/>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Person Accounts can be related to Accounts and Contacts but that said, Parent Account, Reports to and View Hierarchy fields are not available.</w:t>
      </w:r>
    </w:p>
    <w:p w:rsidR="00000000" w:rsidDel="00000000" w:rsidP="00000000" w:rsidRDefault="00000000" w:rsidRPr="00000000" w14:paraId="000000E7">
      <w:pPr>
        <w:spacing w:after="240" w:before="240" w:lineRule="auto"/>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E8">
      <w:pPr>
        <w:pStyle w:val="Heading4"/>
        <w:spacing w:after="240" w:before="240" w:lineRule="auto"/>
        <w:ind w:left="0" w:firstLine="0"/>
        <w:rPr>
          <w:rFonts w:ascii="Salesforce Sans" w:cs="Salesforce Sans" w:eastAsia="Salesforce Sans" w:hAnsi="Salesforce Sans"/>
        </w:rPr>
      </w:pPr>
      <w:bookmarkStart w:colFirst="0" w:colLast="0" w:name="_eo5uma2g4swn" w:id="22"/>
      <w:bookmarkEnd w:id="22"/>
      <w:r w:rsidDel="00000000" w:rsidR="00000000" w:rsidRPr="00000000">
        <w:rPr>
          <w:rFonts w:ascii="Salesforce Sans" w:cs="Salesforce Sans" w:eastAsia="Salesforce Sans" w:hAnsi="Salesforce Sans"/>
          <w:rtl w:val="0"/>
        </w:rPr>
        <w:t xml:space="preserve">Assessments Considerations</w:t>
      </w:r>
    </w:p>
    <w:p w:rsidR="00000000" w:rsidDel="00000000" w:rsidP="00000000" w:rsidRDefault="00000000" w:rsidRPr="00000000" w14:paraId="000000E9">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Health Cloud includes unlimited survey responses and assessment functionality leveraging Salesforce Surveys. There are additional ways to capture assessments within Health Cloud as well.</w:t>
      </w:r>
    </w:p>
    <w:p w:rsidR="00000000" w:rsidDel="00000000" w:rsidP="00000000" w:rsidRDefault="00000000" w:rsidRPr="00000000" w14:paraId="000000EA">
      <w:pPr>
        <w:ind w:left="0" w:firstLine="0"/>
        <w:rPr>
          <w:rFonts w:ascii="Salesforce Sans" w:cs="Salesforce Sans" w:eastAsia="Salesforce Sans" w:hAnsi="Salesforce Sans"/>
        </w:rPr>
      </w:pPr>
      <w:r w:rsidDel="00000000" w:rsidR="00000000" w:rsidRPr="00000000">
        <w:rPr>
          <w:rtl w:val="0"/>
        </w:rPr>
      </w:r>
    </w:p>
    <w:tbl>
      <w:tblPr>
        <w:tblStyle w:val="Table2"/>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4.814814814815"/>
        <w:gridCol w:w="3413.7037037037035"/>
        <w:gridCol w:w="3471.4814814814818"/>
        <w:tblGridChange w:id="0">
          <w:tblGrid>
            <w:gridCol w:w="2474.814814814815"/>
            <w:gridCol w:w="3413.7037037037035"/>
            <w:gridCol w:w="3471.4814814814818"/>
          </w:tblGrid>
        </w:tblGridChange>
      </w:tblGrid>
      <w:tr>
        <w:trPr>
          <w:cantSplit w:val="0"/>
          <w:trHeight w:val="515.52" w:hRule="atLeast"/>
          <w:tblHeader w:val="1"/>
        </w:trPr>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Option</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Advantages</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Considerations</w:t>
            </w:r>
            <w:r w:rsidDel="00000000" w:rsidR="00000000" w:rsidRPr="00000000">
              <w:rPr>
                <w:rtl w:val="0"/>
              </w:rPr>
            </w:r>
          </w:p>
        </w:tc>
      </w:tr>
      <w:tr>
        <w:trPr>
          <w:cantSplit w:val="0"/>
          <w:trHeight w:val="753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rtl w:val="0"/>
              </w:rPr>
              <w:t xml:space="preserve">Salesforce Surveys (Assessments)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Pre-built to allow for scale in the number of surveys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Versioning of Surveys / Question Response Data Model</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Can gather via Authenticated or Unauthenticated Site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for simple branching at a section and question level</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integrate with WhatsApp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Supports 10 question types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Supports Merge Fields (Additional License Type)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Supports Versioning</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Auto-Send on triggers / events in with Invitation Rules or Process Builder</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Pause and resume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Branding Customizations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Built-in analytics on survey responses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Unlimited responses included with Health Cloud licenses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export responses to CSV easily</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send via WhatsApp (Winter ’21)</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Limited reporting model</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Experience Cloud Site Setup Required</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offline mobile format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Inability to invert scales on responses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Unauthenticated surveys require customization to associate -with the submitter (workaround)</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OOTB scoring / risk analysis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access to "Question Bank"</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ability to embed interactive images (ex. image of body to -select area of pain)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Can only complete each survey one time. A new invitation -must be sent using the Survey Invitation API if you want users to take a survey multiple times (ex: wellness attestation)</w:t>
            </w:r>
          </w:p>
        </w:tc>
      </w:tr>
      <w:tr>
        <w:trPr>
          <w:cantSplit w:val="0"/>
          <w:trHeight w:val="32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Screen Flows + Parsing Out Data</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branching and decisions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UI / can incorporate LWC</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Respective answers available in FHIR-standard objects related to the patient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leverage SubFlows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additional cost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expose in Experience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Need custom object or something to junction the initial assessment - content is coming from</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offline mobile format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Flows were not created for complex assessments with a lot of questions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Limited for complex / dynamic forms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Scale issues potentially</w:t>
            </w:r>
          </w:p>
        </w:tc>
      </w:tr>
      <w:tr>
        <w:trPr>
          <w:cantSplit w:val="0"/>
          <w:trHeight w:val="294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Screen Flows + Clinical Assessment Response Object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branching and decisions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UI / can incorporate LWC</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Leverage existing HC object for responses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leverage SubFlows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additional cost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expose in Experience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Limitations on 500 custom fields per object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offline mobile format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Flows were not created for complex assessments with a lot of questions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Limited for complex / dynamic forms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Scale issues potentially</w:t>
            </w:r>
          </w:p>
        </w:tc>
      </w:tr>
      <w:tr>
        <w:trPr>
          <w:cantSplit w:val="0"/>
          <w:trHeight w:val="375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OmniScript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branching and decisions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run in a LWC container</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expose in Experience Cloud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UI-first designer; higher flexibility in screen design (near pixel perfect)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offline mobile format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Add-on SKU required</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DPA SKU is not HIPAA compliant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HINS/PNM SKU is HIPAA compliant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Need to data model to support responses (see flow object solutions above for options)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Doesn't leverage Health Cloud Data model natively</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Unable to deploy leveraging Change Sets</w:t>
            </w:r>
          </w:p>
        </w:tc>
      </w:tr>
    </w:tbl>
    <w:p w:rsidR="00000000" w:rsidDel="00000000" w:rsidP="00000000" w:rsidRDefault="00000000" w:rsidRPr="00000000" w14:paraId="0000012C">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2D">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There are two  Feedback Management add-ons for surveys which provide additional functionality. Learn more about those </w:t>
      </w:r>
      <w:hyperlink r:id="rId44">
        <w:r w:rsidDel="00000000" w:rsidR="00000000" w:rsidRPr="00000000">
          <w:rPr>
            <w:rFonts w:ascii="Salesforce Sans" w:cs="Salesforce Sans" w:eastAsia="Salesforce Sans" w:hAnsi="Salesforce Sans"/>
            <w:color w:val="1155cc"/>
            <w:u w:val="single"/>
            <w:rtl w:val="0"/>
          </w:rPr>
          <w:t xml:space="preserve">here</w:t>
        </w:r>
      </w:hyperlink>
      <w:r w:rsidDel="00000000" w:rsidR="00000000" w:rsidRPr="00000000">
        <w:rPr>
          <w:rFonts w:ascii="Salesforce Sans" w:cs="Salesforce Sans" w:eastAsia="Salesforce Sans" w:hAnsi="Salesforce Sans"/>
          <w:rtl w:val="0"/>
        </w:rPr>
        <w:t xml:space="preserve">. </w:t>
      </w:r>
    </w:p>
    <w:p w:rsidR="00000000" w:rsidDel="00000000" w:rsidP="00000000" w:rsidRDefault="00000000" w:rsidRPr="00000000" w14:paraId="0000012E">
      <w:pPr>
        <w:pStyle w:val="Heading4"/>
        <w:ind w:left="0" w:firstLine="0"/>
        <w:rPr/>
      </w:pPr>
      <w:bookmarkStart w:colFirst="0" w:colLast="0" w:name="_3i6onj5varn2" w:id="23"/>
      <w:bookmarkEnd w:id="23"/>
      <w:r w:rsidDel="00000000" w:rsidR="00000000" w:rsidRPr="00000000">
        <w:rPr>
          <w:rtl w:val="0"/>
        </w:rPr>
        <w:t xml:space="preserve">Assessment Feature Matrix</w:t>
      </w:r>
    </w:p>
    <w:p w:rsidR="00000000" w:rsidDel="00000000" w:rsidP="00000000" w:rsidRDefault="00000000" w:rsidRPr="00000000" w14:paraId="0000012F">
      <w:pPr>
        <w:ind w:left="0" w:firstLine="0"/>
        <w:rPr>
          <w:rFonts w:ascii="Salesforce Sans" w:cs="Salesforce Sans" w:eastAsia="Salesforce Sans" w:hAnsi="Salesforce Sans"/>
        </w:rPr>
      </w:pPr>
      <w:r w:rsidDel="00000000" w:rsidR="00000000" w:rsidRPr="00000000">
        <w:rPr>
          <w:rtl w:val="0"/>
        </w:rPr>
      </w:r>
    </w:p>
    <w:tbl>
      <w:tblPr>
        <w:tblStyle w:val="Table3"/>
        <w:tblW w:w="9363.4688489968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2580"/>
        <w:gridCol w:w="1324.4350580781415"/>
        <w:gridCol w:w="1784.0337909186906"/>
        <w:tblGridChange w:id="0">
          <w:tblGrid>
            <w:gridCol w:w="3675"/>
            <w:gridCol w:w="2580"/>
            <w:gridCol w:w="1324.4350580781415"/>
            <w:gridCol w:w="1784.0337909186906"/>
          </w:tblGrid>
        </w:tblGridChange>
      </w:tblGrid>
      <w:tr>
        <w:trPr>
          <w:cantSplit w:val="0"/>
          <w:trHeight w:val="764.64" w:hRule="atLeast"/>
          <w:tblHeader w:val="1"/>
        </w:trPr>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b w:val="1"/>
                <w:color w:val="f5f5f5"/>
              </w:rPr>
            </w:pPr>
            <w:r w:rsidDel="00000000" w:rsidR="00000000" w:rsidRPr="00000000">
              <w:rPr>
                <w:rFonts w:ascii="Salesforce Sans" w:cs="Salesforce Sans" w:eastAsia="Salesforce Sans" w:hAnsi="Salesforce Sans"/>
                <w:b w:val="1"/>
                <w:color w:val="f5f5f5"/>
                <w:rtl w:val="0"/>
              </w:rPr>
              <w:t xml:space="preserve">Option</w:t>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31">
            <w:pPr>
              <w:ind w:left="0" w:firstLine="0"/>
              <w:jc w:val="center"/>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Salesforce Surveys</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32">
            <w:pPr>
              <w:ind w:left="0" w:firstLine="0"/>
              <w:jc w:val="center"/>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Flows</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33">
            <w:pPr>
              <w:ind w:left="0" w:firstLine="0"/>
              <w:jc w:val="center"/>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OmniScript</w:t>
            </w: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4">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Included with Health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Add-On</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Complex Branching/Logic (by section)</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Basic Branching/Logic (by question)</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Offline?</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Mobile Support?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Limited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Experience Cloud Support?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Syncs to Custom Objects?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Works with Person Accounts?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105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Pause and Resume? </w:t>
            </w:r>
            <w:r w:rsidDel="00000000" w:rsidR="00000000" w:rsidRPr="00000000">
              <w:rPr>
                <w:rFonts w:ascii="Salesforce Sans" w:cs="Salesforce Sans" w:eastAsia="Salesforce Sans" w:hAnsi="Salesforce Sans"/>
                <w:i w:val="1"/>
                <w:rtl w:val="0"/>
              </w:rPr>
              <w:t xml:space="preserve">(save)</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 </w:t>
            </w:r>
            <w:r w:rsidDel="00000000" w:rsidR="00000000" w:rsidRPr="00000000">
              <w:rPr>
                <w:rFonts w:ascii="Salesforce Sans" w:cs="Salesforce Sans" w:eastAsia="Salesforce Sans" w:hAnsi="Salesforce Sans"/>
                <w:i w:val="1"/>
                <w:rtl w:val="0"/>
              </w:rPr>
              <w:t xml:space="preserve">(authenticated surveys only)</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105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Pre-Populate Data from Patient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i w:val="1"/>
                <w:rtl w:val="0"/>
              </w:rPr>
              <w:t xml:space="preserve">(basic merge field)</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Pre-Populate Data from Previous Assessments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Reporting</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Question Library</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Calculate Scoring</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HIPAA Compliance</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via Shield Encryption</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via Shield Encryption</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via DPA - No</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via HINS - Yes</w:t>
            </w:r>
          </w:p>
        </w:tc>
      </w:tr>
    </w:tbl>
    <w:p w:rsidR="00000000" w:rsidDel="00000000" w:rsidP="00000000" w:rsidRDefault="00000000" w:rsidRPr="00000000" w14:paraId="00000172">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73">
      <w:pPr>
        <w:pStyle w:val="Heading1"/>
        <w:numPr>
          <w:ilvl w:val="0"/>
          <w:numId w:val="11"/>
        </w:numPr>
        <w:ind w:firstLine="360"/>
        <w:rPr>
          <w:rFonts w:ascii="Salesforce Sans" w:cs="Salesforce Sans" w:eastAsia="Salesforce Sans" w:hAnsi="Salesforce Sans"/>
          <w:u w:val="none"/>
        </w:rPr>
      </w:pPr>
      <w:bookmarkStart w:colFirst="0" w:colLast="0" w:name="_iy5ftg7g35lv" w:id="24"/>
      <w:bookmarkEnd w:id="24"/>
      <w:r w:rsidDel="00000000" w:rsidR="00000000" w:rsidRPr="00000000">
        <w:rPr>
          <w:rFonts w:ascii="Salesforce Sans" w:cs="Salesforce Sans" w:eastAsia="Salesforce Sans" w:hAnsi="Salesforce Sans"/>
          <w:rtl w:val="0"/>
        </w:rPr>
        <w:t xml:space="preserve">Supporting Documentation</w:t>
      </w:r>
    </w:p>
    <w:p w:rsidR="00000000" w:rsidDel="00000000" w:rsidP="00000000" w:rsidRDefault="00000000" w:rsidRPr="00000000" w14:paraId="00000174">
      <w:pPr>
        <w:rPr>
          <w:rFonts w:ascii="Salesforce Sans" w:cs="Salesforce Sans" w:eastAsia="Salesforce Sans" w:hAnsi="Salesforce Sans"/>
        </w:rPr>
      </w:pPr>
      <w:r w:rsidDel="00000000" w:rsidR="00000000" w:rsidRPr="00000000">
        <w:rPr>
          <w:rtl w:val="0"/>
        </w:rPr>
      </w:r>
    </w:p>
    <w:tbl>
      <w:tblPr>
        <w:tblStyle w:val="Table4"/>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5655"/>
        <w:tblGridChange w:id="0">
          <w:tblGrid>
            <w:gridCol w:w="3675"/>
            <w:gridCol w:w="5655"/>
          </w:tblGrid>
        </w:tblGridChange>
      </w:tblGrid>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Asset</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Description</w:t>
            </w:r>
            <w:r w:rsidDel="00000000" w:rsidR="00000000" w:rsidRPr="00000000">
              <w:rPr>
                <w:rtl w:val="0"/>
              </w:rPr>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hyperlink r:id="rId45">
              <w:r w:rsidDel="00000000" w:rsidR="00000000" w:rsidRPr="00000000">
                <w:rPr>
                  <w:rFonts w:ascii="Salesforce Sans" w:cs="Salesforce Sans" w:eastAsia="Salesforce Sans" w:hAnsi="Salesforce Sans"/>
                  <w:color w:val="1155cc"/>
                  <w:u w:val="single"/>
                  <w:rtl w:val="0"/>
                </w:rPr>
                <w:t xml:space="preserve">Health Cloud Release Notes</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Dive deeper into the latest Health Cloud release and learn how customers can access the new features.</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Rule="auto"/>
              <w:ind w:left="0" w:firstLine="0"/>
              <w:rPr>
                <w:rFonts w:ascii="Salesforce Sans" w:cs="Salesforce Sans" w:eastAsia="Salesforce Sans" w:hAnsi="Salesforce Sans"/>
              </w:rPr>
            </w:pPr>
            <w:hyperlink r:id="rId46">
              <w:r w:rsidDel="00000000" w:rsidR="00000000" w:rsidRPr="00000000">
                <w:rPr>
                  <w:rFonts w:ascii="Salesforce Sans" w:cs="Salesforce Sans" w:eastAsia="Salesforce Sans" w:hAnsi="Salesforce Sans"/>
                  <w:color w:val="1155cc"/>
                  <w:u w:val="single"/>
                  <w:rtl w:val="0"/>
                </w:rPr>
                <w:t xml:space="preserve">Setting up Health Cloud</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Learn how to install the managed package</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Rule="auto"/>
              <w:ind w:left="0" w:firstLine="0"/>
              <w:rPr>
                <w:rFonts w:ascii="Salesforce Sans" w:cs="Salesforce Sans" w:eastAsia="Salesforce Sans" w:hAnsi="Salesforce Sans"/>
              </w:rPr>
            </w:pPr>
            <w:hyperlink r:id="rId47">
              <w:r w:rsidDel="00000000" w:rsidR="00000000" w:rsidRPr="00000000">
                <w:rPr>
                  <w:rFonts w:ascii="Salesforce Sans" w:cs="Salesforce Sans" w:eastAsia="Salesforce Sans" w:hAnsi="Salesforce Sans"/>
                  <w:color w:val="1155cc"/>
                  <w:u w:val="single"/>
                  <w:rtl w:val="0"/>
                </w:rPr>
                <w:t xml:space="preserve">Health Cloud Data Model</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More information on Health Cloud's data model in Salesforce Developers</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Rule="auto"/>
              <w:ind w:left="0" w:firstLine="0"/>
              <w:rPr>
                <w:rFonts w:ascii="Salesforce Sans" w:cs="Salesforce Sans" w:eastAsia="Salesforce Sans" w:hAnsi="Salesforce Sans"/>
              </w:rPr>
            </w:pPr>
            <w:hyperlink r:id="rId48">
              <w:r w:rsidDel="00000000" w:rsidR="00000000" w:rsidRPr="00000000">
                <w:rPr>
                  <w:rFonts w:ascii="Salesforce Sans" w:cs="Salesforce Sans" w:eastAsia="Salesforce Sans" w:hAnsi="Salesforce Sans"/>
                  <w:color w:val="1155cc"/>
                  <w:u w:val="single"/>
                  <w:rtl w:val="0"/>
                </w:rPr>
                <w:t xml:space="preserve">Health Cloud Objects</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Learn about the rich set of standard and custom objects to store and access specialized health information.</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Rule="auto"/>
              <w:ind w:left="0" w:firstLine="0"/>
              <w:rPr>
                <w:rFonts w:ascii="Salesforce Sans" w:cs="Salesforce Sans" w:eastAsia="Salesforce Sans" w:hAnsi="Salesforce Sans"/>
              </w:rPr>
            </w:pPr>
            <w:hyperlink r:id="rId49">
              <w:r w:rsidDel="00000000" w:rsidR="00000000" w:rsidRPr="00000000">
                <w:rPr>
                  <w:rFonts w:ascii="Salesforce Sans" w:cs="Salesforce Sans" w:eastAsia="Salesforce Sans" w:hAnsi="Salesforce Sans"/>
                  <w:color w:val="1155cc"/>
                  <w:u w:val="single"/>
                  <w:rtl w:val="0"/>
                </w:rPr>
                <w:t xml:space="preserve">FHIR R4 FAQ</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Learn about R4, aka Release 4, of HL7 FHIR (Fast Healthcare Interoperability Resources) through FAQs, customer questions, demo resources, etc.</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center"/>
          </w:tcPr>
          <w:p w:rsidR="00000000" w:rsidDel="00000000" w:rsidP="00000000" w:rsidRDefault="00000000" w:rsidRPr="00000000" w14:paraId="00000181">
            <w:pPr>
              <w:widowControl w:val="0"/>
              <w:spacing w:after="0" w:lineRule="auto"/>
              <w:ind w:left="0" w:firstLine="0"/>
              <w:rPr>
                <w:rFonts w:ascii="Salesforce Sans" w:cs="Salesforce Sans" w:eastAsia="Salesforce Sans" w:hAnsi="Salesforce Sans"/>
              </w:rPr>
            </w:pPr>
            <w:hyperlink r:id="rId50">
              <w:r w:rsidDel="00000000" w:rsidR="00000000" w:rsidRPr="00000000">
                <w:rPr>
                  <w:rFonts w:ascii="Salesforce Sans" w:cs="Salesforce Sans" w:eastAsia="Salesforce Sans" w:hAnsi="Salesforce Sans"/>
                  <w:color w:val="1155cc"/>
                  <w:u w:val="single"/>
                  <w:rtl w:val="0"/>
                </w:rPr>
                <w:t xml:space="preserve">Salesforce Health Cloud Datasheet</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center"/>
          </w:tcPr>
          <w:p w:rsidR="00000000" w:rsidDel="00000000" w:rsidP="00000000" w:rsidRDefault="00000000" w:rsidRPr="00000000" w14:paraId="00000182">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Datasheet for Health Cloud for Providers</w:t>
            </w:r>
          </w:p>
        </w:tc>
      </w:tr>
    </w:tbl>
    <w:p w:rsidR="00000000" w:rsidDel="00000000" w:rsidP="00000000" w:rsidRDefault="00000000" w:rsidRPr="00000000" w14:paraId="00000183">
      <w:pP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4">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5">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6">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7">
      <w:pPr>
        <w:pageBreakBefore w:val="0"/>
        <w:jc w:val="left"/>
        <w:rPr>
          <w:rFonts w:ascii="Salesforce Sans" w:cs="Salesforce Sans" w:eastAsia="Salesforce Sans" w:hAnsi="Salesforc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5943600" cy="33401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188">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9">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A">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B">
      <w:pPr>
        <w:pageBreakBefore w:val="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C">
      <w:pPr>
        <w:pageBreakBefore w:val="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D">
      <w:pPr>
        <w:pageBreakBefore w:val="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E">
      <w:pPr>
        <w:pageBreakBefore w:val="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jc w:val="center"/>
        <w:rPr>
          <w:rFonts w:ascii="Salesforce Sans" w:cs="Salesforce Sans" w:eastAsia="Salesforce Sans" w:hAnsi="Salesforce Sans"/>
        </w:rPr>
      </w:pPr>
      <w:r w:rsidDel="00000000" w:rsidR="00000000" w:rsidRPr="00000000">
        <w:rPr>
          <w:rtl w:val="0"/>
        </w:rPr>
      </w:r>
    </w:p>
    <w:sectPr>
      <w:headerReference r:id="rId52" w:type="default"/>
      <w:headerReference r:id="rId53" w:type="first"/>
      <w:footerReference r:id="rId54" w:type="default"/>
      <w:footerReference r:id="rId55" w:type="first"/>
      <w:pgSz w:h="15840" w:w="12240" w:orient="portrait"/>
      <w:pgMar w:bottom="1440" w:top="180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alesforce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tabs>
        <w:tab w:val="right" w:pos="9360"/>
      </w:tabs>
      <w:spacing w:after="734" w:before="0" w:line="276" w:lineRule="auto"/>
      <w:ind w:left="0" w:firstLine="0"/>
      <w:jc w:val="right"/>
      <w:rPr>
        <w:color w:val="666666"/>
      </w:rPr>
    </w:pPr>
    <w:r w:rsidDel="00000000" w:rsidR="00000000" w:rsidRPr="00000000">
      <w:pict>
        <v:rect style="width:0.0pt;height:1.5pt" o:hr="t" o:hrstd="t" o:hralign="center" fillcolor="#A0A0A0" stroked="f"/>
      </w:pict>
    </w:r>
    <w:r w:rsidDel="00000000" w:rsidR="00000000" w:rsidRPr="00000000">
      <w:rPr>
        <w:color w:val="666666"/>
        <w:rtl w:val="0"/>
      </w:rPr>
      <w:t xml:space="preserve">Confidential </w:t>
    </w:r>
    <w:r w:rsidDel="00000000" w:rsidR="00000000" w:rsidRPr="00000000">
      <w:rPr>
        <w:rFonts w:ascii="Arial" w:cs="Arial" w:eastAsia="Arial" w:hAnsi="Arial"/>
        <w:b w:val="0"/>
        <w:color w:val="666666"/>
        <w:sz w:val="20"/>
        <w:szCs w:val="20"/>
        <w:rtl w:val="0"/>
      </w:rPr>
      <w:tab/>
      <w:t xml:space="preserve">Salesforce | </w:t>
    </w:r>
    <w:r w:rsidDel="00000000" w:rsidR="00000000" w:rsidRPr="00000000">
      <w:rPr>
        <w:rFonts w:ascii="Arial" w:cs="Arial" w:eastAsia="Arial" w:hAnsi="Arial"/>
        <w:b w:val="0"/>
        <w:color w:val="666666"/>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tabs>
        <w:tab w:val="right" w:pos="9360"/>
      </w:tabs>
      <w:spacing w:after="734" w:before="0" w:line="276"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pageBreakBefore w:val="0"/>
      <w:shd w:fill="ffffff" w:val="clear"/>
      <w:tabs>
        <w:tab w:val="center" w:pos="4320"/>
        <w:tab w:val="right" w:pos="8640"/>
      </w:tabs>
      <w:spacing w:after="0" w:lineRule="auto"/>
      <w:jc w:val="both"/>
      <w:rPr/>
    </w:pPr>
    <w:bookmarkStart w:colFirst="0" w:colLast="0" w:name="_1fob9te" w:id="25"/>
    <w:bookmarkEnd w:id="2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5067300</wp:posOffset>
          </wp:positionH>
          <wp:positionV relativeFrom="paragraph">
            <wp:posOffset>304800</wp:posOffset>
          </wp:positionV>
          <wp:extent cx="1193800" cy="88074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93800" cy="88074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14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22222"/>
        <w:sz w:val="22"/>
        <w:szCs w:val="22"/>
        <w:lang w:val="en-US"/>
      </w:rPr>
    </w:rPrDefault>
    <w:pPrDefault>
      <w:pPr>
        <w:spacing w:after="200"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1260"/>
      </w:tabs>
      <w:spacing w:after="0" w:before="0" w:line="240" w:lineRule="auto"/>
    </w:pPr>
    <w:rPr>
      <w:rFonts w:ascii="Arial" w:cs="Arial" w:eastAsia="Arial" w:hAnsi="Arial"/>
      <w:b w:val="1"/>
      <w:color w:val="009ddc"/>
      <w:sz w:val="44"/>
      <w:szCs w:val="44"/>
    </w:rPr>
  </w:style>
  <w:style w:type="paragraph" w:styleId="Heading2">
    <w:name w:val="heading 2"/>
    <w:basedOn w:val="Normal"/>
    <w:next w:val="Normal"/>
    <w:pPr>
      <w:keepNext w:val="1"/>
      <w:keepLines w:val="1"/>
      <w:pageBreakBefore w:val="0"/>
      <w:spacing w:after="40" w:before="200" w:lineRule="auto"/>
      <w:ind w:left="0" w:firstLine="0"/>
    </w:pPr>
    <w:rPr>
      <w:b w:val="1"/>
      <w:sz w:val="32"/>
      <w:szCs w:val="32"/>
    </w:rPr>
  </w:style>
  <w:style w:type="paragraph" w:styleId="Heading3">
    <w:name w:val="heading 3"/>
    <w:basedOn w:val="Normal"/>
    <w:next w:val="Normal"/>
    <w:pPr>
      <w:keepNext w:val="1"/>
      <w:keepLines w:val="1"/>
      <w:pageBreakBefore w:val="0"/>
      <w:spacing w:after="40" w:before="200" w:line="276" w:lineRule="auto"/>
    </w:pPr>
    <w:rPr>
      <w:b w:val="1"/>
      <w:color w:val="808080"/>
      <w:sz w:val="28"/>
      <w:szCs w:val="28"/>
    </w:rPr>
  </w:style>
  <w:style w:type="paragraph" w:styleId="Heading4">
    <w:name w:val="heading 4"/>
    <w:basedOn w:val="Normal"/>
    <w:next w:val="Normal"/>
    <w:pPr>
      <w:keepNext w:val="1"/>
      <w:keepLines w:val="1"/>
      <w:pageBreakBefore w:val="0"/>
      <w:spacing w:after="160" w:before="240" w:line="276" w:lineRule="auto"/>
      <w:ind w:left="0" w:firstLine="0"/>
      <w:jc w:val="both"/>
    </w:pPr>
    <w:rPr>
      <w:b w:val="1"/>
      <w:color w:val="009ddc"/>
      <w:sz w:val="24"/>
      <w:szCs w:val="24"/>
    </w:rPr>
  </w:style>
  <w:style w:type="paragraph" w:styleId="Heading5">
    <w:name w:val="heading 5"/>
    <w:basedOn w:val="Normal"/>
    <w:next w:val="Normal"/>
    <w:pPr>
      <w:keepNext w:val="1"/>
      <w:keepLines w:val="1"/>
      <w:pageBreakBefore w:val="0"/>
      <w:tabs>
        <w:tab w:val="left" w:pos="720"/>
      </w:tabs>
      <w:spacing w:after="60" w:before="240" w:line="276" w:lineRule="auto"/>
      <w:ind w:left="1008" w:hanging="1008"/>
      <w:jc w:val="both"/>
    </w:pPr>
    <w:rPr>
      <w:rFonts w:ascii="Arial" w:cs="Arial" w:eastAsia="Arial" w:hAnsi="Arial"/>
      <w:b w:val="1"/>
      <w:sz w:val="22"/>
      <w:szCs w:val="22"/>
    </w:rPr>
  </w:style>
  <w:style w:type="paragraph" w:styleId="Heading6">
    <w:name w:val="heading 6"/>
    <w:basedOn w:val="Normal"/>
    <w:next w:val="Normal"/>
    <w:pPr>
      <w:keepNext w:val="1"/>
      <w:keepLines w:val="1"/>
      <w:pageBreakBefore w:val="0"/>
      <w:tabs>
        <w:tab w:val="left" w:pos="720"/>
      </w:tabs>
      <w:spacing w:after="60" w:before="240" w:line="276" w:lineRule="auto"/>
      <w:ind w:left="1152" w:hanging="1152"/>
      <w:jc w:val="both"/>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tabs>
        <w:tab w:val="left" w:pos="720"/>
      </w:tabs>
      <w:spacing w:after="0" w:before="0" w:line="276" w:lineRule="auto"/>
      <w:ind w:left="1166" w:firstLine="0"/>
    </w:pPr>
    <w:rPr>
      <w:rFonts w:ascii="Arial" w:cs="Arial" w:eastAsia="Arial" w:hAnsi="Arial"/>
      <w:b w:val="0"/>
      <w:sz w:val="20"/>
      <w:szCs w:val="20"/>
    </w:rPr>
  </w:style>
  <w:style w:type="paragraph" w:styleId="Subtitle">
    <w:name w:val="Subtitle"/>
    <w:basedOn w:val="Normal"/>
    <w:next w:val="Normal"/>
    <w:pPr>
      <w:keepNext w:val="1"/>
      <w:keepLines w:val="1"/>
      <w:pageBreakBefore w:val="0"/>
      <w:spacing w:after="0" w:lineRule="auto"/>
    </w:pPr>
    <w:rPr>
      <w:i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_NWoeJFZNqKmq6IrOPgLKANTKXOnpk6xF5770Llx_XI/edit#heading=h.cp04meiiosu7" TargetMode="External"/><Relationship Id="rId42" Type="http://schemas.openxmlformats.org/officeDocument/2006/relationships/image" Target="media/image6.png"/><Relationship Id="rId41" Type="http://schemas.openxmlformats.org/officeDocument/2006/relationships/hyperlink" Target="https://docs.google.com/document/d/1_NWoeJFZNqKmq6IrOPgLKANTKXOnpk6xF5770Llx_XI/edit#heading=h.cp04meiiosu7" TargetMode="External"/><Relationship Id="rId44" Type="http://schemas.openxmlformats.org/officeDocument/2006/relationships/hyperlink" Target="https://help.salesforce.com/s/articleView?id=sf.concept_add_on_license.htm&amp;type=5" TargetMode="External"/><Relationship Id="rId43" Type="http://schemas.openxmlformats.org/officeDocument/2006/relationships/hyperlink" Target="https://developer.salesforce.com/docs/atlas.en-us.health_cloud_object_reference.meta/health_cloud_object_reference/map_fhir_practitioner.htm" TargetMode="External"/><Relationship Id="rId46" Type="http://schemas.openxmlformats.org/officeDocument/2006/relationships/hyperlink" Target="https://developer.salesforce.com/docs/atlas.en-us.health_cloud.meta/health_cloud/admin_planning.htm" TargetMode="External"/><Relationship Id="rId45" Type="http://schemas.openxmlformats.org/officeDocument/2006/relationships/hyperlink" Target="https://help.salesforce.com/articleView?id=release-notes.salesforce_release_notes.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alesforce.com/docs/atlas.en-us.230.0.health_cloud_object_reference.meta/health_cloud_object_reference/hc_provider_data_model_overview.htm" TargetMode="External"/><Relationship Id="rId48" Type="http://schemas.openxmlformats.org/officeDocument/2006/relationships/hyperlink" Target="https://developer.salesforce.com/docs/atlas.en-us.health_cloud_object_reference.meta/health_cloud_object_reference/sforce_api_objects.htm" TargetMode="External"/><Relationship Id="rId47" Type="http://schemas.openxmlformats.org/officeDocument/2006/relationships/hyperlink" Target="https://developer.salesforce.com/docs/atlas.en-us.health_cloud.meta/health_cloud/admin_data_model.htm" TargetMode="External"/><Relationship Id="rId49" Type="http://schemas.openxmlformats.org/officeDocument/2006/relationships/hyperlink" Target="https://salesforce.quip.com/QOIPAbuuGHM7"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image" Target="media/image8.png"/><Relationship Id="rId30" Type="http://schemas.openxmlformats.org/officeDocument/2006/relationships/hyperlink" Target="https://trailhead.salesforce.com/en/content/learn/modules/health-cloud-provider-relationships-search/configure-provider-relationship-cards" TargetMode="External"/><Relationship Id="rId33" Type="http://schemas.openxmlformats.org/officeDocument/2006/relationships/hyperlink" Target="https://docs.google.com/document/d/1_NWoeJFZNqKmq6IrOPgLKANTKXOnpk6xF5770Llx_XI/edit#heading=h.tpshq9ys5868" TargetMode="External"/><Relationship Id="rId32" Type="http://schemas.openxmlformats.org/officeDocument/2006/relationships/hyperlink" Target="https://docs.google.com/document/d/1_NWoeJFZNqKmq6IrOPgLKANTKXOnpk6xF5770Llx_XI/edit#heading=h.tpshq9ys5868" TargetMode="External"/><Relationship Id="rId35" Type="http://schemas.openxmlformats.org/officeDocument/2006/relationships/hyperlink" Target="https://docs.google.com/document/d/1_NWoeJFZNqKmq6IrOPgLKANTKXOnpk6xF5770Llx_XI/edit#heading=h.t96unt60g0bn" TargetMode="External"/><Relationship Id="rId34" Type="http://schemas.openxmlformats.org/officeDocument/2006/relationships/hyperlink" Target="https://docs.google.com/document/d/1_NWoeJFZNqKmq6IrOPgLKANTKXOnpk6xF5770Llx_XI/edit#heading=h.t96unt60g0bn" TargetMode="External"/><Relationship Id="rId37" Type="http://schemas.openxmlformats.org/officeDocument/2006/relationships/hyperlink" Target="https://docs.google.com/document/d/1_NWoeJFZNqKmq6IrOPgLKANTKXOnpk6xF5770Llx_XI/edit#heading=h.ot794ite4v8l" TargetMode="External"/><Relationship Id="rId36" Type="http://schemas.openxmlformats.org/officeDocument/2006/relationships/hyperlink" Target="https://docs.google.com/document/d/1_NWoeJFZNqKmq6IrOPgLKANTKXOnpk6xF5770Llx_XI/edit#heading=h.ot794ite4v8l" TargetMode="External"/><Relationship Id="rId39" Type="http://schemas.openxmlformats.org/officeDocument/2006/relationships/hyperlink" Target="https://docs.google.com/document/d/1_NWoeJFZNqKmq6IrOPgLKANTKXOnpk6xF5770Llx_XI/edit#heading=h.l287isqezljb" TargetMode="External"/><Relationship Id="rId38" Type="http://schemas.openxmlformats.org/officeDocument/2006/relationships/hyperlink" Target="https://docs.google.com/document/d/1_NWoeJFZNqKmq6IrOPgLKANTKXOnpk6xF5770Llx_XI/edit#heading=h.l287isqezljb" TargetMode="External"/><Relationship Id="rId20" Type="http://schemas.openxmlformats.org/officeDocument/2006/relationships/hyperlink" Target="https://developer.salesforce.com/docs/atlas.en-us.230.0.health_cloud_object_reference.meta/health_cloud_object_reference/sforce_api_objects_healthcareprovider.htm" TargetMode="External"/><Relationship Id="rId22" Type="http://schemas.openxmlformats.org/officeDocument/2006/relationships/hyperlink" Target="https://developer.salesforce.com/docs/atlas.en-us.230.0.health_cloud_object_reference.meta/health_cloud_object_reference/sforce_api_objects_healthcareproviderspecialty.htm" TargetMode="External"/><Relationship Id="rId21" Type="http://schemas.openxmlformats.org/officeDocument/2006/relationships/hyperlink" Target="https://developer.salesforce.com/docs/atlas.en-us.230.0.health_cloud_object_reference.meta/health_cloud_object_reference/sforce_api_objects_healthcareprovidernpi.htm" TargetMode="External"/><Relationship Id="rId24" Type="http://schemas.openxmlformats.org/officeDocument/2006/relationships/hyperlink" Target="https://developer.salesforce.com/docs/atlas.en-us.230.0.health_cloud_object_reference.meta/health_cloud_object_reference/sforce_api_objects_personeducation.htm" TargetMode="External"/><Relationship Id="rId23" Type="http://schemas.openxmlformats.org/officeDocument/2006/relationships/hyperlink" Target="https://developer.salesforce.com/docs/atlas.en-us.230.0.health_cloud_object_reference.meta/health_cloud_object_reference/sforce_api_objects_healthcareprovidertaxonomy.htm" TargetMode="External"/><Relationship Id="rId26" Type="http://schemas.openxmlformats.org/officeDocument/2006/relationships/hyperlink" Target="https://developer.salesforce.com/docs/atlas.en-us.230.0.health_cloud_object_reference.meta/health_cloud_object_reference/sforce_api_objects_careprovidersearchablefield.htm" TargetMode="External"/><Relationship Id="rId25" Type="http://schemas.openxmlformats.org/officeDocument/2006/relationships/hyperlink" Target="https://developer.salesforce.com/docs/atlas.en-us.230.0.health_cloud_object_reference.meta/health_cloud_object_reference/sforce_api_objects_careprovideradverseaction.htm" TargetMode="External"/><Relationship Id="rId28" Type="http://schemas.openxmlformats.org/officeDocument/2006/relationships/image" Target="media/image7.png"/><Relationship Id="rId27" Type="http://schemas.openxmlformats.org/officeDocument/2006/relationships/hyperlink" Target="https://developer.salesforce.com/docs/atlas.en-us.230.0.health_cloud_object_reference.meta/health_cloud_object_reference/sforce_api_objects_careprovidersearchconfig.htm" TargetMode="External"/><Relationship Id="rId29" Type="http://schemas.openxmlformats.org/officeDocument/2006/relationships/hyperlink" Target="https://trailhead.salesforce.com/content/learn/modules/sf_releases/sf_releases_start" TargetMode="External"/><Relationship Id="rId51" Type="http://schemas.openxmlformats.org/officeDocument/2006/relationships/image" Target="media/image4.png"/><Relationship Id="rId50" Type="http://schemas.openxmlformats.org/officeDocument/2006/relationships/hyperlink" Target="https://c1.sfdcstatic.com/content/dam/web/en_us/www/assets/pdf/datasheets/healthcloud-datasheet.pdf" TargetMode="External"/><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hyperlink" Target="https://developer.salesforce.com/docs/atlas.en-us.230.0.health_cloud_object_reference.meta/health_cloud_object_reference/sforce_api_objects_award.htm" TargetMode="External"/><Relationship Id="rId55" Type="http://schemas.openxmlformats.org/officeDocument/2006/relationships/footer" Target="footer2.xml"/><Relationship Id="rId10" Type="http://schemas.openxmlformats.org/officeDocument/2006/relationships/hyperlink" Target="https://developer.salesforce.com/docs/atlas.en-us.230.0.health_cloud_object_reference.meta/health_cloud_object_reference/sforce_api_objects_accreditation.htm" TargetMode="External"/><Relationship Id="rId54" Type="http://schemas.openxmlformats.org/officeDocument/2006/relationships/footer" Target="footer1.xml"/><Relationship Id="rId13" Type="http://schemas.openxmlformats.org/officeDocument/2006/relationships/hyperlink" Target="https://developer.salesforce.com/docs/atlas.en-us.230.0.health_cloud_object_reference.meta/health_cloud_object_reference/sforce_api_objects_businesslicense.htm" TargetMode="External"/><Relationship Id="rId12" Type="http://schemas.openxmlformats.org/officeDocument/2006/relationships/hyperlink" Target="https://developer.salesforce.com/docs/atlas.en-us.230.0.health_cloud_object_reference.meta/health_cloud_object_reference/sforce_api_objects_boardcertification.htm" TargetMode="External"/><Relationship Id="rId15" Type="http://schemas.openxmlformats.org/officeDocument/2006/relationships/hyperlink" Target="https://developer.salesforce.com/docs/atlas.en-us.230.0.health_cloud_object_reference.meta/health_cloud_object_reference/sforce_api_objects_carespecialty.htm" TargetMode="External"/><Relationship Id="rId14" Type="http://schemas.openxmlformats.org/officeDocument/2006/relationships/hyperlink" Target="https://developer.salesforce.com/docs/atlas.en-us.230.0.health_cloud_object_reference.meta/health_cloud_object_reference/sforce_api_objects_careproviderfacilityspecialty.htm" TargetMode="External"/><Relationship Id="rId17" Type="http://schemas.openxmlformats.org/officeDocument/2006/relationships/hyperlink" Target="https://developer.salesforce.com/docs/atlas.en-us.230.0.health_cloud_object_reference.meta/health_cloud_object_reference/sforce_api_objects_healthcarefacilitynetwork.htm" TargetMode="External"/><Relationship Id="rId16" Type="http://schemas.openxmlformats.org/officeDocument/2006/relationships/hyperlink" Target="https://developer.salesforce.com/docs/atlas.en-us.230.0.health_cloud_object_reference.meta/health_cloud_object_reference/sforce_api_objects_caretaxonomy.htm" TargetMode="External"/><Relationship Id="rId19" Type="http://schemas.openxmlformats.org/officeDocument/2006/relationships/hyperlink" Target="https://developer.salesforce.com/docs/atlas.en-us.230.0.health_cloud_object_reference.meta/health_cloud_object_reference/sforce_api_objects_healthcarepractitionerfacility.htm" TargetMode="External"/><Relationship Id="rId18" Type="http://schemas.openxmlformats.org/officeDocument/2006/relationships/hyperlink" Target="https://developer.salesforce.com/docs/atlas.en-us.230.0.health_cloud_object_reference.meta/health_cloud_object_reference/sforce_api_objects_healthcarepayernetwork.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