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AeroForge — Final Report</w:t>
      </w:r>
    </w:p>
    <w:p>
      <w:pPr>
        <w:jc w:val="center"/>
      </w:pPr>
      <w:r>
        <w:rPr>
          <w:color w:val="52514E"/>
          <w:sz w:val="22"/>
        </w:rPr>
        <w:t>Business Simulation Capstone — Marketplace® Conscious Capitalism (Bikes) · July 2026</w:t>
      </w:r>
    </w:p>
    <w:p>
      <w:pPr>
        <w:jc w:val="center"/>
      </w:pPr>
      <w:r>
        <w:rPr>
          <w:color w:val="52514E"/>
          <w:sz w:val="20"/>
        </w:rPr>
        <w:t>Team: Aaron Rainier (President) · Luna Carballo (VP Marketing) · Justine Pellier (VP Analytics) · Patrick Yang (VP Finance) · Sarah Baraket (VP Sales) · Teysnim Abichou (VP HR)</w:t>
      </w:r>
    </w:p>
    <w:p>
      <w:pPr>
        <w:spacing w:after="80"/>
      </w:pPr>
      <w:r>
        <w:rPr>
          <w:b w:val="0"/>
          <w:i w:val="0"/>
          <w:sz w:val="21"/>
        </w:rPr>
      </w:r>
    </w:p>
    <w:p>
      <w:pPr>
        <w:pStyle w:val="Heading1"/>
      </w:pPr>
      <w:r>
        <w:t>1. Mission Statement and Vision</w:t>
      </w:r>
    </w:p>
    <w:p>
      <w:pPr>
        <w:spacing w:after="120"/>
      </w:pPr>
      <w:r>
        <w:rPr>
          <w:b w:val="0"/>
          <w:i/>
          <w:sz w:val="21"/>
        </w:rPr>
        <w:t>AeroForge exists to put elite carbon performance within everyone's reach. We forge custom-fitted, 3D-printed carbon fiber bikes that empower riders to conquer any trail and win any race — while creating value for our employees, our communities, and the planet we ride through.</w:t>
      </w:r>
    </w:p>
    <w:p>
      <w:pPr>
        <w:spacing w:after="120"/>
      </w:pPr>
      <w:r>
        <w:rPr>
          <w:b w:val="0"/>
          <w:i w:val="0"/>
          <w:sz w:val="21"/>
        </w:rPr>
        <w:t>Did the mission actually guide us? Partly at first, fully at the end. In quarters 1–2 it was a statement; from quarter 3 onward it became an operating rule with measurable consequences: we never entered a price war (premium positioning held even when we were last in market share); we kept investing in employees and the environment during loss-making quarters (clean-room air filtration, chemical containment, top-of-market compensation); and when the industry's safety crisis hit — standard carbon fiber frames injuring mountain riders — the mission made the decision for us: we invested $1.02M in enriched carbon fiber, the largest single bet of our game, to sell a bike that is actually safe to ride. By Q6, our entire range was built on it.</w:t>
      </w:r>
    </w:p>
    <w:p>
      <w:pPr>
        <w:pStyle w:val="Heading1"/>
      </w:pPr>
      <w:r>
        <w:t>2. Business Strategy Summary</w:t>
      </w:r>
    </w:p>
    <w:p>
      <w:pPr>
        <w:spacing w:after="120"/>
      </w:pPr>
      <w:r>
        <w:rPr>
          <w:b w:val="0"/>
          <w:i w:val="0"/>
          <w:sz w:val="21"/>
        </w:rPr>
        <w:t>Target segments: Mountain (primary) and Speed (secondary), with an opportunistic Recreation extension (AeroForgeComfy) added by the team in Q4 at marginal cost. Positioning: premium, value-driven, conscious-capitalism — win on product quality and integrity, never on price. Distribution: New York City, then Amsterdam (opened Q4 — the game's largest market at 3,789 units/quarter when we committed), then Bangalore (opened Q5). Funding: $1.5M founding equity plus $1.0M team tranches, then a $2.5M venture round obtained on our business plan and deployed exactly as promised (R&amp;D, production capacity, stores).</w:t>
      </w:r>
    </w:p>
    <w:p>
      <w:pPr>
        <w:spacing w:after="120"/>
      </w:pPr>
      <w:r>
        <w:rPr>
          <w:b w:val="0"/>
          <w:i w:val="0"/>
          <w:sz w:val="21"/>
        </w:rPr>
        <w:t>The strategy unfolded in five phases: (1) Q1–Q2 set-up and test market — where we failed, by designing on intuition; (2) Q3 repair — rebuilt the Bolt from the revealed data, #1 Speed product within one quarter; (3) Q4 investment — VC funds into R&amp;D features, capacity ×1.5, Amsterdam, compensation catch-up; (4) Q5 expansion — 13→21 salespeople planned across three cities, proprietary tire features shipped, and the enriched-carbon bet placed; (5) Q6 harvest — the whole range relaunched on enriched carbon, first profitable quarter of the company's history (+$708k net income on $3.0M revenue).</w:t>
      </w:r>
    </w:p>
    <w:p>
      <w:pPr>
        <w:pStyle w:val="Heading1"/>
      </w:pPr>
      <w:r>
        <w:t>3. Performance Review: Financial, Market, Operational, HR and CSR</w:t>
      </w:r>
    </w:p>
    <w:p>
      <w:pPr>
        <w:pStyle w:val="Heading2"/>
      </w:pPr>
      <w:r>
        <w:t>3.1 Financial performance</w:t>
      </w:r>
    </w:p>
    <w:p>
      <w:pPr>
        <w:spacing w:after="120"/>
      </w:pPr>
      <w:r>
        <w:rPr>
          <w:b w:val="0"/>
          <w:i w:val="0"/>
          <w:sz w:val="21"/>
        </w:rPr>
        <w:t>Revenue grew ×13 from the test market to Q6 (226k → 373k → 740k → 1,440k → 3,018k). Net income traced the strategy: −257k, −151k, −106k (repair), −849k (Q4: planned VC deployment), −1,246k (Q5: enriched carbon R&amp;D $1.08M plus $561k of system improvements), then +708k in Q6 — the first profitable quarter, at a 62.5% gross margin (up from 53% in Q2). We financed the entire game with equity: zero conventional loans, zero emergency loans, ending with $2.06M cash and a Financial Risk score of 1.000 — the class maximum, every single quarter. Why we still scored last on cumulative Financial Performance (14.4 vs class average 40.0): the index rewards accumulated profit, and our profits arrived one quarter before the game ended. Our Wealth score (0.620, class minimum) tells the same story — $2.6M of accumulated losses against $5.0M of paid-in equity. This was the accounting shadow of a deliberate long-term strategy plus one genuinely failed quarter.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94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in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94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8"/>
        </w:rPr>
        <w:t>Figure 1 — Revenue and operating cash flow by quarter ($ thousands). The Q4–Q5 troughs are the planned deployment of the $2.5M venture round.</w:t>
      </w:r>
    </w:p>
    <w:p>
      <w:pPr>
        <w:pStyle w:val="Heading2"/>
      </w:pPr>
      <w:r>
        <w:t>3.2 Market performance</w:t>
      </w:r>
    </w:p>
    <w:p>
      <w:pPr>
        <w:spacing w:after="120"/>
      </w:pPr>
      <w:r>
        <w:rPr>
          <w:b w:val="0"/>
          <w:i w:val="0"/>
          <w:sz w:val="21"/>
        </w:rPr>
        <w:t>Market share went 7.0% (Q3) → 7.1% (Q4) → 5.4% (Q5, as the whole market tripled) → 8.9% (Q6). Cumulative Market Performance finished last (0.071 vs average 0.159). The root causes are documented and split cleanly in two: first, two quarters of unrecommended product (our Mountain bike sat below the Customer Union's minimum rating until Q4, so the largest distribution channel of demand simply ignored us); second, chronic under-capacity — we lost sales to stock-outs in every single quarter (42, 88, 79, then 1,083 units in Q6). The product itself ended the game top-tier: brand judgments rose from 53/62/65 (Q2–Q3) to 87 Speed, 83 Mountain (top-2), 78 Recreation (top-2) in Q6; our ads scored 80–81 after the Q3 rebuild; price judgments were at or near 100 throughout. Q6 demand of 3,318 units — 84% above our own projection — proves the offer was right; we could manufacture only 2,235. We finished the game demand-rich and capacity-poor, the exact mirror of how we started.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ix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8"/>
        </w:rPr>
        <w:t>Figure 2 — Diagnose → fix → measure: every metric we corrected moved.</w:t>
      </w:r>
    </w:p>
    <w:p>
      <w:pPr>
        <w:pStyle w:val="Heading2"/>
      </w:pPr>
      <w:r>
        <w:t>3.3 Operations</w:t>
      </w:r>
    </w:p>
    <w:p>
      <w:pPr>
        <w:spacing w:after="120"/>
      </w:pPr>
      <w:r>
        <w:rPr>
          <w:b w:val="0"/>
          <w:i w:val="0"/>
          <w:sz w:val="21"/>
        </w:rPr>
        <w:t>Production capacity scaled 6 → 11 → 16 → 32 units/day across Q3–Q6 (two 3D-printer purchases, $960k), with worker productivity up from 68.6% to 82.4% and unit labour cost down from $108 to $84. Quality investments (SPC, operator training, supplier programs) raised reliability steadily. Our recurring operational failure was demand planning: after every product fix, demand responded non-linearly and we projected linearly — four consecutive quarters of stock-outs, culminating in 1,083 lost sales in Q6 (≈$1.4M of revenue left on the table). We treated capacity as a cost to be minimised when it was in fact our binding constraint.</w:t>
      </w:r>
    </w:p>
    <w:p>
      <w:pPr>
        <w:pStyle w:val="Heading2"/>
      </w:pPr>
      <w:r>
        <w:t>3.4 Human resources</w:t>
      </w:r>
    </w:p>
    <w:p>
      <w:pPr>
        <w:spacing w:after="120"/>
      </w:pPr>
      <w:r>
        <w:rPr>
          <w:b w:val="0"/>
          <w:i w:val="0"/>
          <w:sz w:val="21"/>
        </w:rPr>
        <w:t>In Q2–Q3 we paid below market (worker satisfaction 71.9%, turnover 32%/quarter, productivity falling) — a false economy that starved the factory. From Q4 we moved every package to the top of the market (workers $13.2k + expanded health + 3 weeks vacation + 5% pension; equivalent upgrades for supervisors and the sales force). Results: satisfaction 88%, turnover 11%, productivity +14 points, and the sales force among the best-compensated in the industry. Cumulative HR Management finished at 0.790 vs a 0.801 average — the two cheap early quarters cost us an above-average final score.</w:t>
      </w:r>
    </w:p>
    <w:p>
      <w:pPr>
        <w:pStyle w:val="Heading2"/>
      </w:pPr>
      <w:r>
        <w:t>3.5 CSR / Conscious Capitalism</w:t>
      </w:r>
    </w:p>
    <w:p>
      <w:pPr>
        <w:spacing w:after="120"/>
      </w:pPr>
      <w:r>
        <w:rPr>
          <w:b w:val="0"/>
          <w:i w:val="0"/>
          <w:sz w:val="21"/>
        </w:rPr>
        <w:t>We ran sixteen system-improvement programs by Q6: chemical collection and containment, a clean-room reverse-flow air-filtration facility (a direct response to worker memos about carbon dust and epoxy vapour — our people told us before any metric did), protective equipment, air-filtering plants, a carbon-recycling consortium, cross-training, SPC, supplier quality programs, a fitness centre, daycare, school grants and community bike trails. AeroForge was the only firm in the industry never cited for toxic leaks — the newsletter repeatedly named four of our five competitors. Ethics showed up in small decisions too: we withdrew two advertising claims the moment the truth-in-advertising check flagged them, and we declined to buy a licence for technology we already owned rather than burn shareholder cash. Cumulative Reputation finished at 0.679 vs a 0.690 average — the cost of investing nothing in improvements before Q4.</w:t>
      </w:r>
    </w:p>
    <w:p>
      <w:pPr>
        <w:pStyle w:val="Heading1"/>
      </w:pPr>
      <w:r>
        <w:t>4. Main Results vs. Other Teams</w:t>
      </w:r>
    </w:p>
    <w:p>
      <w:pPr>
        <w:spacing w:after="120"/>
      </w:pPr>
      <w:r>
        <w:rPr>
          <w:b w:val="0"/>
          <w:i w:val="0"/>
          <w:sz w:val="21"/>
        </w:rPr>
        <w:t>Final cumulative balanced scorecard (end of Q6), AeroForge vs class: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Cumulative metric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Class min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Class avg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Class max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AeroForge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Total Performance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0.703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14.920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54.121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0.703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Financial Performance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14.380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39.963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74.217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14.380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Market Performance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0.071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0.071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Marketing Effectiveness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0.619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0.743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0.799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0.745 — above avg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Investment in Future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4.228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5.223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7.874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7.874 — 1st in class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Wealth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1.053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1.460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0.620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HR Management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0.766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0.801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0.854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Asset Management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0.487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0.771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1.185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0.487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Manufacturing Productivity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0.636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0.701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0.738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0.720 — above avg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Financial Risk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0.914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0.986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1.000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1.000 — 1st (tied)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Reputation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0.635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0.690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0.752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0.679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Quarterly Total Performance — the trajectory behind the cumulative number: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Q2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Q3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Q4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Q5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AeroForge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0.013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0.094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0.266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0.957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3.494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Class average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0.229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0.943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4.190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n/a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83.7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3700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totalper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370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8"/>
        </w:rPr>
        <w:t>Figure 3 — AeroForge quarterly Total Performance: ×269 in four quarters, from 6% of the class average in Q2 to a level that would have been mid-pack two quarters earlier.</w:t>
      </w:r>
    </w:p>
    <w:p>
      <w:pPr>
        <w:spacing w:after="120"/>
      </w:pPr>
      <w:r>
        <w:rPr>
          <w:b w:val="0"/>
          <w:i w:val="0"/>
          <w:sz w:val="21"/>
        </w:rPr>
        <w:t>Q6 market share by company: WBB 36.0%, NatuRide 21.3%, Spe3d 17.0%, Carbon-Ride 9.8%, AeroForge 8.9%, The Bike Yard 7.0%. Reading the two tables together explains our final ranking honestly: the cumulative index is dominated by accumulated financial performance, and a 17× gap to the class average in Q2, compounded quarterly, is mathematically unrecoverable in four quarters — even while posting the steepest relative improvement in the class and finishing first on the two metrics that were winnable from any starting position: Investment in Future and Financial Risk.</w:t>
      </w:r>
    </w:p>
    <w:p>
      <w:pPr>
        <w:pStyle w:val="Heading1"/>
      </w:pPr>
      <w:r>
        <w:t>5. Lessons Learnt</w:t>
      </w:r>
    </w:p>
    <w:p>
      <w:pPr>
        <w:spacing w:after="160"/>
      </w:pPr>
      <w:r>
        <w:rPr>
          <w:b w:val="0"/>
          <w:i w:val="0"/>
          <w:sz w:val="21"/>
        </w:rPr>
        <w:t>Lesson 1 — Under uncertainty, intuition is a hypothesis, not a decision. Our Q2 failure had three specific, avoidable causes: a Speed advertisement built on Mountain imagery and claims (scored 35/100 — it actually rated higher with Mountain customers than Speed customers); 'comfort' components on a mountain bike that felt logical and scored 62, below the Customer Union's recommendation threshold; and a brand architecture chosen before buying the market research that would have falsified all of it. The ~$45k of studies we skipped cost us two quarters of momentum and, through the cumulative scorecard, the game.</w:t>
      </w:r>
    </w:p>
    <w:p>
      <w:pPr>
        <w:spacing w:after="160"/>
      </w:pPr>
      <w:r>
        <w:rPr>
          <w:b w:val="0"/>
          <w:i w:val="0"/>
          <w:sz w:val="21"/>
        </w:rPr>
        <w:t>Lesson 2 — The business disciplines are one system. A 35-point ad starved the factory; below-market pay cut productivity, which capped output, which turned marketing wins into stock-outs. We never lost money 'in finance' — every financial loss originated upstream in a marketing or HR decision. The pro forma only reported it.</w:t>
      </w:r>
    </w:p>
    <w:p>
      <w:pPr>
        <w:spacing w:after="160"/>
      </w:pPr>
      <w:r>
        <w:rPr>
          <w:b w:val="0"/>
          <w:i w:val="0"/>
          <w:sz w:val="21"/>
        </w:rPr>
        <w:t>Lesson 3 — Learn how the scorecard computes before playing, not after. Metrics winnable from day one regardless of sales volume — Investment in Future, Financial Risk — we eventually won, but only started managing deliberately from Q4. The cumulative Total Performance metric punishes one bad quarter forever; protecting the floor matters more than raising the ceiling.</w:t>
      </w:r>
    </w:p>
    <w:p>
      <w:pPr>
        <w:spacing w:after="160"/>
      </w:pPr>
      <w:r>
        <w:rPr>
          <w:b w:val="0"/>
          <w:i w:val="0"/>
          <w:sz w:val="21"/>
        </w:rPr>
        <w:t>Lesson 4 — When product quality jumps, demand responds non-linearly. We under-projected demand in all four post-repair quarters (Q6: 3,318 actual vs 1,800 projected) because we extrapolated linearly from the previous quarter. Capacity should be built ahead of proven product quality, not behind realised sales.</w:t>
      </w:r>
    </w:p>
    <w:p>
      <w:pPr>
        <w:spacing w:after="160"/>
      </w:pPr>
      <w:r>
        <w:rPr>
          <w:b w:val="0"/>
          <w:i w:val="0"/>
          <w:sz w:val="21"/>
        </w:rPr>
        <w:t>Lesson 5 — People signal problems before metrics do. Worker memos about carbon dust preceded any measurable morale drop; acting on them (clean room, protective equipment) preceded the productivity and satisfaction gains. The in-basket was our cheapest and fastest market research.</w:t>
      </w:r>
    </w:p>
    <w:p>
      <w:pPr>
        <w:spacing w:after="120"/>
      </w:pPr>
      <w:r>
        <w:rPr>
          <w:b w:val="0"/>
          <w:i w:val="0"/>
          <w:sz w:val="21"/>
        </w:rPr>
        <w:t>How we changed our working methods mid-week: from Q3 every decision required a number from a purchased study or a revealed competitor matrix; every advertisement passed the truth-in-advertising check before submission; every quarter ended with the same discipline — Final Check, then the pro forma recomputed last; and each VP owned one function with the President arbitrating trade-offs. The rhythm turned a failing start-up into a machine that improved every metric it touched, every quarter, for four consecutive quarters.</w:t>
      </w:r>
    </w:p>
    <w:p>
      <w:pPr>
        <w:pStyle w:val="Heading1"/>
      </w:pPr>
      <w:r>
        <w:t>6. Preparing the Firm to Compete in the Future</w:t>
      </w:r>
    </w:p>
    <w:p>
      <w:pPr>
        <w:spacing w:after="120"/>
      </w:pPr>
      <w:r>
        <w:rPr>
          <w:b w:val="0"/>
          <w:i w:val="0"/>
          <w:sz w:val="21"/>
        </w:rPr>
        <w:t>The game's own metric answers this: AeroForge finished first in class on cumulative Investment in Future. Concretely, a hypothetical Q7 would open with: (1) the industry's only fully enriched-carbon range, rated 87/83/78, one quarter after competitors began converting theirs; (2) proprietary R&amp;D in the pipeline — hybrid comfort tires paid for and ready in Q7 for the Recreation line; (3) a modern factory at 32 units/day of fixed capacity with an 82% productive, 88%-satisfied, 11%-turnover workforce; (4) three stores covering the three largest markets with 21 trained sales and service people; (5) $2.06M of cash, a $200k certificate of deposit, zero debt and an intact borrowing capacity; and (6) sixteen running system improvements protecting quality, the environment and the community. Proven Q6 demand of 3,318 units against 2,235 produced means the first Q7 decision is already written: one more printer and a third production shift.</w:t>
      </w:r>
    </w:p>
    <w:p>
      <w:pPr>
        <w:pStyle w:val="Heading1"/>
      </w:pPr>
      <w:r>
        <w:t>7. Top Recommendations If We Were to Start Over</w:t>
      </w:r>
    </w:p>
    <w:p>
      <w:pPr>
        <w:spacing w:after="120"/>
      </w:pPr>
      <w:r>
        <w:rPr>
          <w:b w:val="0"/>
          <w:i w:val="0"/>
          <w:sz w:val="21"/>
        </w:rPr>
        <w:t>1. Spend the first dollar on information. Buy every market study from the test market onward and design brands, ads and prices from the component matrices and revealed leader structures — never from instinct. One failed quarter costs fifty times the price of the studies.</w:t>
      </w:r>
    </w:p>
    <w:p>
      <w:pPr>
        <w:spacing w:after="120"/>
      </w:pPr>
      <w:r>
        <w:rPr>
          <w:b w:val="0"/>
          <w:i w:val="0"/>
          <w:sz w:val="21"/>
        </w:rPr>
        <w:t>2. Benchmark everything before shipping — an ad against the truth-check, a salary against the industry tables, a price against willingness-to-pay. The market has usually already published the right answer.</w:t>
      </w:r>
    </w:p>
    <w:p>
      <w:pPr>
        <w:spacing w:after="120"/>
      </w:pPr>
      <w:r>
        <w:rPr>
          <w:b w:val="0"/>
          <w:i w:val="0"/>
          <w:sz w:val="21"/>
        </w:rPr>
        <w:t>3. Build capacity ahead of product quality, not behind sales. Once judgments are top-tier, demand arrives non-linearly; four quarters of stock-outs converted our best marketing into our competitors' revenue.</w:t>
      </w:r>
    </w:p>
    <w:p>
      <w:pPr>
        <w:spacing w:after="120"/>
      </w:pPr>
      <w:r>
        <w:rPr>
          <w:b w:val="0"/>
          <w:i w:val="0"/>
          <w:sz w:val="21"/>
        </w:rPr>
        <w:t>4. Pay people at the top of the market from quarter one. The morale→productivity→output loop compounds slowly; started late, it cannot catch up.</w:t>
      </w:r>
    </w:p>
    <w:p>
      <w:pPr>
        <w:spacing w:after="120"/>
      </w:pPr>
      <w:r>
        <w:rPr>
          <w:b w:val="0"/>
          <w:i w:val="0"/>
          <w:sz w:val="21"/>
        </w:rPr>
        <w:t>5. Read the scorecard's formulas on day one and protect the cumulative floor: never let a single quarter crater, because the index never forgets.</w:t>
      </w:r>
    </w:p>
    <w:p>
      <w:pPr>
        <w:spacing w:after="120"/>
      </w:pPr>
      <w:r>
        <w:rPr>
          <w:b w:val="0"/>
          <w:i w:val="0"/>
          <w:sz w:val="21"/>
        </w:rPr>
        <w:t>6. Keep the financial discipline we kept: no emergency borrowing, investments financed by equity actually raised on a credible plan. Financial Risk was the one perfect score available to everyone; most teams dropped it.</w:t>
      </w:r>
    </w:p>
    <w:p>
      <w:pPr>
        <w:spacing w:after="120"/>
      </w:pPr>
      <w:r>
        <w:rPr>
          <w:b w:val="0"/>
          <w:i/>
          <w:sz w:val="21"/>
        </w:rPr>
        <w:t>We lost the race, and we know precisely why — which is the one outcome this simulation is designed to produce. Given a seventh quarter, the machine we built in the last four would have been the most dangerous company in the industry.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0B0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0B0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