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AeroForge — Business Plan &amp; Funds Request</w:t>
      </w:r>
    </w:p>
    <w:p>
      <w:pPr>
        <w:jc w:val="center"/>
      </w:pPr>
      <w:r>
        <w:t>Prepared for the Venture Capital Committee  |  Business Simulation, July 2026</w:t>
      </w:r>
    </w:p>
    <w:p>
      <w:pPr>
        <w:jc w:val="center"/>
      </w:pPr>
      <w:r>
        <w:t>Executive team: Aaron Rainier (President), Luna Carballo (VP Marketing), Sarah Baraket (VP Sales), Patrick Yang (VP Accounting &amp; Finance), Justine Pellier (VP Business Analytics), Teysnim Abichou (VP Human Resources)</w:t>
      </w:r>
    </w:p>
    <w:p>
      <w:pPr>
        <w:pStyle w:val="Heading1"/>
      </w:pPr>
      <w:r>
        <w:t>1. Executive Summary</w:t>
      </w:r>
    </w:p>
    <w:p>
      <w:r>
        <w:t>AeroForge designs, builds and sells custom-fitted, 3D-printed carbon fiber bicycles for the two most profitable segments of the market: Mountain and Speed riders. Our six-person executive team combines marketing, sales, finance, analytics and HR leadership under a Conscious Capitalism charter: we aim to win by creating value for customers, employees, the community and our investors at the same time. In our first year we invested 1.5M of founding capital to open our flagship store in New York City — the largest market for both target segments — build a lean 3D-printing facility (1,040 units/quarter), and test the market with two brands, AeroForge Sumit (Mountain) and AeroForge Bolt (Speed). The test market taught us a hard but valuable lesson: our first brand designs under-delivered against customer needs (brand judgments of 62 and 53 vs. a target of 75+), which held Q2 sales to 161 units despite industry-leading employee productivity policies and a debt-free balance sheet. We responded immediately: in Q3 we re-engineered both bikes around premium carbon and performance components, re-designed our advertising, and re-priced to competitive levels [UPDATE Q3: insert Q3 brand judgments, units sold and revenue when available]. AeroForge is now positioned to scale: we request 2,500,000 from the venture capital committee to open two new stores (Amsterdam, Bangalore), launch R&amp;D-based product upgrades, expand production capacity and fund the marketing push that will carry the company to profitability by Q5 and a strong, sustainable position at the end of Q6.</w:t>
      </w:r>
    </w:p>
    <w:p>
      <w:pPr>
        <w:pStyle w:val="Heading1"/>
      </w:pPr>
      <w:r>
        <w:t>2. Assessment of the Current Situation</w:t>
      </w:r>
    </w:p>
    <w:p>
      <w:pPr>
        <w:pStyle w:val="Heading2"/>
      </w:pPr>
      <w:r>
        <w:t>2.1 Competition</w:t>
      </w:r>
    </w:p>
    <w:p>
      <w:r>
        <w:t>Five competitors operate in our world market: WBB, The Bike Yard, Spe3d, Carbon-Ride and NatuRide. Market research shows that (i) several teams under-price us in our own target segments — a 5% price gap is enough to shift demand between comparable bikes; and (ii) the best ads on the market are rated significantly above ours. Low brand judgment is an industry-wide problem this early in the product life cycle (4 of 6 teams are flagged), which means the first team to pass the 75+ brand-judgment threshold will capture disproportionate share. Our Q3 redesign is aimed exactly at that window. [UPDATE Q3: add 1-2 lines comparing Q3 prices/market share vs. named competitors]</w:t>
      </w:r>
    </w:p>
    <w:p>
      <w:pPr>
        <w:pStyle w:val="Heading2"/>
      </w:pPr>
      <w:r>
        <w:t>2.2 Customers</w:t>
      </w:r>
    </w:p>
    <w:p>
      <w:r>
        <w:t>We target the two premium segments identified in our market opportunity analysis. Mountain riders (primary target) value the ability to handle steep inclines (need importance 131), rough terrain (128), durability (127) and quick braking (123), and will pay up to ~1,365. Speed riders (secondary) want pure speed (134), light weight (133) and aerodynamics (122), and will pay up to ~1,580 — the highest willingness-to-pay in the market. Both segments demand nearby service and support (importance 120+), which our staffed, service-trained store delivers, and both respond to environmentally responsible products, which fits our conscious positioning. New York City alone represents 8,583 units of 12-month potential across the two segments, and demand is expected to accelerate as the world economy exits recession — led by Asia, then North America and Western Europe, which is precisely our expansion path.</w:t>
      </w:r>
    </w:p>
    <w:p>
      <w:pPr>
        <w:pStyle w:val="Heading2"/>
      </w:pPr>
      <w:r>
        <w:t>2.3 Strengths &amp; Weaknesses (SWOT)</w:t>
      </w:r>
    </w:p>
    <w:tbl>
      <w:tblPr>
        <w:tblStyle w:val="TableGrid"/>
        <w:tblW w:type="auto" w:w="0"/>
        <w:tblLook w:firstColumn="1" w:firstRow="1" w:lastColumn="0" w:lastRow="0" w:noHBand="0" w:noVBand="1" w:val="04A0"/>
      </w:tblPr>
      <w:tblGrid>
        <w:gridCol w:w="4320"/>
        <w:gridCol w:w="4320"/>
      </w:tblGrid>
      <w:tr>
        <w:tc>
          <w:tcPr>
            <w:tcW w:type="dxa" w:w="4320"/>
          </w:tcPr>
          <w:p>
            <w:r>
              <w:t>STRENGTHS</w:t>
              <w:br/>
              <w:t>• People: top-quartile compensation → 90% projected workforce productivity; HR score 0.691 vs 0.677 industry avg</w:t>
              <w:br/>
              <w:t>• Finance: zero debt, Financial Risk score 1.000, disciplined cash management</w:t>
              <w:br/>
              <w:t>• Future-oriented: Investment-in-Future score 15.2 vs 13.4 avg</w:t>
              <w:br/>
              <w:t>• Flagship store in the #1 city for both target segments</w:t>
              <w:br/>
              <w:t>• Lean make-to-order production (no inventory risk)</w:t>
            </w:r>
          </w:p>
        </w:tc>
        <w:tc>
          <w:tcPr>
            <w:tcW w:type="dxa" w:w="4320"/>
          </w:tcPr>
          <w:p>
            <w:r>
              <w:t>WEAKNESSES</w:t>
              <w:br/>
              <w:t>• Q2 brand judgments below par: Sumit 62, Bolt 53 (target 75+) → root cause of low sales (161 units)</w:t>
              <w:br/>
              <w:t>• Ad judgments (70/65) behind the best ads in the market</w:t>
              <w:br/>
              <w:t>• Priced above aggressive competitors in Q2</w:t>
              <w:br/>
              <w:t>• 59% capacity utilization → 32k of excess-capacity cost in Q2</w:t>
            </w:r>
          </w:p>
        </w:tc>
      </w:tr>
      <w:tr>
        <w:tc>
          <w:tcPr>
            <w:tcW w:type="dxa" w:w="4320"/>
          </w:tcPr>
          <w:p>
            <w:r>
              <w:t>OPPORTUNITIES</w:t>
              <w:br/>
              <w:t>• Whole industry still below 75 brand judgment → first mover wins</w:t>
              <w:br/>
              <w:t>• Untapped cities: Amsterdam (7,106 units potential in our segments), Bangalore (cheapest entry, fastest-growing region)</w:t>
              <w:br/>
              <w:t>• R&amp;D features not yet introduced by anyone</w:t>
              <w:br/>
              <w:t>• Recreation segment demand exceeds current industry supply (volume option)</w:t>
            </w:r>
          </w:p>
        </w:tc>
        <w:tc>
          <w:tcPr>
            <w:tcW w:type="dxa" w:w="4320"/>
          </w:tcPr>
          <w:p>
            <w:r>
              <w:t>THREATS</w:t>
              <w:br/>
              <w:t>• Price-aggressive competitors compressing margins</w:t>
              <w:br/>
              <w:t>• Competitors may reach 75+ brand judgment first</w:t>
              <w:br/>
              <w:t>• Demand still concentrated in one store (NYC) until we expand</w:t>
            </w:r>
          </w:p>
        </w:tc>
      </w:tr>
    </w:tbl>
    <w:p>
      <w:pPr>
        <w:pStyle w:val="Heading2"/>
      </w:pPr>
      <w:r>
        <w:t>2.4 Major Problems &amp; Opportunities for Q4–Q6</w:t>
      </w:r>
    </w:p>
    <w:p>
      <w:pPr>
        <w:pStyle w:val="ListBullet"/>
      </w:pPr>
      <w:r>
        <w:t>Close the brand-judgment gap and keep both brands above 75 (Q3 redesign already in motion; R&amp;D features in Q4 push scores further).</w:t>
      </w:r>
    </w:p>
    <w:p>
      <w:pPr>
        <w:pStyle w:val="ListBullet"/>
      </w:pPr>
      <w:r>
        <w:t>Rebuild advertising effectiveness (claim ranking + frequency) to convert awareness into demand.</w:t>
      </w:r>
    </w:p>
    <w:p>
      <w:pPr>
        <w:pStyle w:val="ListBullet"/>
      </w:pPr>
      <w:r>
        <w:t>Expand distribution beyond NYC to Amsterdam (Q4) and Bangalore (Q5) to triple our addressable demand.</w:t>
      </w:r>
    </w:p>
    <w:p>
      <w:pPr>
        <w:pStyle w:val="ListBullet"/>
      </w:pPr>
      <w:r>
        <w:t>Match capacity and production to real demand to eliminate excess-capacity costs while avoiding stock-outs.</w:t>
      </w:r>
    </w:p>
    <w:p>
      <w:pPr>
        <w:pStyle w:val="ListBullet"/>
      </w:pPr>
      <w:r>
        <w:t>Maintain our Conscious Capitalism edge (employee wellbeing, product reliability, environmental design) as a differentiator and scorecard asset.</w:t>
      </w:r>
    </w:p>
    <w:p>
      <w:pPr>
        <w:pStyle w:val="Heading1"/>
      </w:pPr>
      <w:r>
        <w:t>3. Plans for Quarters 4–6</w:t>
      </w:r>
    </w:p>
    <w:p>
      <w:r>
        <w:t>Our strategy is unchanged — premium performance bikes for Mountain and Speed riders, sold through our own service-led stores — but Year 2 shifts from testing to scaling, funded by the requested venture capital:</w:t>
      </w:r>
    </w:p>
    <w:p>
      <w:pPr>
        <w:pStyle w:val="ListBullet"/>
      </w:pPr>
      <w:r>
        <w:t>Q4 — Invest: launch R&amp;D on new brand features (Mountain terrain package, Speed aero package); open the Amsterdam store (#2 market for both segments); add production capacity ahead of Q5 demand; relaunch both brands with upgraded designs and refreshed, higher-frequency advertising; grow the sales force with service-trained specialists.</w:t>
      </w:r>
    </w:p>
    <w:p>
      <w:pPr>
        <w:pStyle w:val="ListBullet"/>
      </w:pPr>
      <w:r>
        <w:t>Q5 — Expand: introduce the R&amp;D features to the market (targeting brand judgments of 85+); open the Bangalore store to ride the Asian recovery — the fastest-growing region; scale advertising and web marketing across three cities; reach operating profitability.</w:t>
      </w:r>
    </w:p>
    <w:p>
      <w:pPr>
        <w:pStyle w:val="ListBullet"/>
      </w:pPr>
      <w:r>
        <w:t>Q6 — Refine &amp; sustain: optimize prices, media and production against live data; continue investing in R&amp;D and capacity for life after Q6; maximize balanced-scorecard performance across all ten dimensions, including the Conscious scorecard.</w:t>
      </w:r>
    </w:p>
    <w:p>
      <w:pPr>
        <w:pStyle w:val="Heading1"/>
      </w:pPr>
      <w:r>
        <w:t>4. Financial Documents — Pro Forma Income Statement (Q4–Q6)</w:t>
      </w:r>
    </w:p>
    <w:p>
      <w:r>
        <w:t>Assumptions: average realized price ~1,400 (Sumit 1,300 / Bolt 1,500, richer Bolt mix as Speed demand grows); unit production cost declining from 640 to 580 with volume; unit sales of 600 (Q4), 950 (Q5) and 1,300 (Q6) across three stores — a deliberately prudent trajectory equal to roughly 15–20% of the 12-month potential of our target segments in the three cities. [UPDATE Q3: recalibrate volumes/prices to Q3 actuals before submitting]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 $)</w:t>
            </w:r>
          </w:p>
        </w:tc>
        <w:tc>
          <w:tcPr>
            <w:tcW w:type="dxa" w:w="2160"/>
          </w:tcPr>
          <w:p>
            <w:r>
              <w:rPr>
                <w:b/>
              </w:rPr>
              <w:t>Q4</w:t>
            </w:r>
          </w:p>
        </w:tc>
        <w:tc>
          <w:tcPr>
            <w:tcW w:type="dxa" w:w="2160"/>
          </w:tcPr>
          <w:p>
            <w:r>
              <w:rPr>
                <w:b/>
              </w:rPr>
              <w:t>Q5</w:t>
            </w:r>
          </w:p>
        </w:tc>
        <w:tc>
          <w:tcPr>
            <w:tcW w:type="dxa" w:w="2160"/>
          </w:tcPr>
          <w:p>
            <w:r>
              <w:rPr>
                <w:b/>
              </w:rPr>
              <w:t>Q6</w:t>
            </w:r>
          </w:p>
        </w:tc>
      </w:tr>
      <w:tr>
        <w:tc>
          <w:tcPr>
            <w:tcW w:type="dxa" w:w="2160"/>
          </w:tcPr>
          <w:p>
            <w:r>
              <w:t>Unit sales (bikes)</w:t>
            </w:r>
          </w:p>
        </w:tc>
        <w:tc>
          <w:tcPr>
            <w:tcW w:type="dxa" w:w="2160"/>
          </w:tcPr>
          <w:p>
            <w:r>
              <w:t>600</w:t>
            </w:r>
          </w:p>
        </w:tc>
        <w:tc>
          <w:tcPr>
            <w:tcW w:type="dxa" w:w="2160"/>
          </w:tcPr>
          <w:p>
            <w:r>
              <w:t>950</w:t>
            </w:r>
          </w:p>
        </w:tc>
        <w:tc>
          <w:tcPr>
            <w:tcW w:type="dxa" w:w="2160"/>
          </w:tcPr>
          <w:p>
            <w:r>
              <w:t>1,300</w:t>
            </w:r>
          </w:p>
        </w:tc>
      </w:tr>
      <w:tr>
        <w:tc>
          <w:tcPr>
            <w:tcW w:type="dxa" w:w="2160"/>
          </w:tcPr>
          <w:p>
            <w:r>
              <w:t>Revenues</w:t>
            </w:r>
          </w:p>
        </w:tc>
        <w:tc>
          <w:tcPr>
            <w:tcW w:type="dxa" w:w="2160"/>
          </w:tcPr>
          <w:p>
            <w:r>
              <w:t>840,000</w:t>
            </w:r>
          </w:p>
        </w:tc>
        <w:tc>
          <w:tcPr>
            <w:tcW w:type="dxa" w:w="2160"/>
          </w:tcPr>
          <w:p>
            <w:r>
              <w:t>1,330,000</w:t>
            </w:r>
          </w:p>
        </w:tc>
        <w:tc>
          <w:tcPr>
            <w:tcW w:type="dxa" w:w="2160"/>
          </w:tcPr>
          <w:p>
            <w:r>
              <w:t>1,820,000</w:t>
            </w:r>
          </w:p>
        </w:tc>
      </w:tr>
      <w:tr>
        <w:tc>
          <w:tcPr>
            <w:tcW w:type="dxa" w:w="2160"/>
          </w:tcPr>
          <w:p>
            <w:r>
              <w:t>- Cost of goods sold</w:t>
            </w:r>
          </w:p>
        </w:tc>
        <w:tc>
          <w:tcPr>
            <w:tcW w:type="dxa" w:w="2160"/>
          </w:tcPr>
          <w:p>
            <w:r>
              <w:t>384,000</w:t>
            </w:r>
          </w:p>
        </w:tc>
        <w:tc>
          <w:tcPr>
            <w:tcW w:type="dxa" w:w="2160"/>
          </w:tcPr>
          <w:p>
            <w:r>
              <w:t>590,000</w:t>
            </w:r>
          </w:p>
        </w:tc>
        <w:tc>
          <w:tcPr>
            <w:tcW w:type="dxa" w:w="2160"/>
          </w:tcPr>
          <w:p>
            <w:r>
              <w:t>754,000</w:t>
            </w:r>
          </w:p>
        </w:tc>
      </w:tr>
      <w:tr>
        <w:tc>
          <w:tcPr>
            <w:tcW w:type="dxa" w:w="2160"/>
          </w:tcPr>
          <w:p>
            <w:r>
              <w:rPr>
                <w:b/>
              </w:rPr>
              <w:t>= Gross profit</w:t>
            </w:r>
          </w:p>
        </w:tc>
        <w:tc>
          <w:tcPr>
            <w:tcW w:type="dxa" w:w="2160"/>
          </w:tcPr>
          <w:p>
            <w:r>
              <w:rPr>
                <w:b/>
              </w:rPr>
              <w:t>456,000</w:t>
            </w:r>
          </w:p>
        </w:tc>
        <w:tc>
          <w:tcPr>
            <w:tcW w:type="dxa" w:w="2160"/>
          </w:tcPr>
          <w:p>
            <w:r>
              <w:rPr>
                <w:b/>
              </w:rPr>
              <w:t>740,000</w:t>
            </w:r>
          </w:p>
        </w:tc>
        <w:tc>
          <w:tcPr>
            <w:tcW w:type="dxa" w:w="2160"/>
          </w:tcPr>
          <w:p>
            <w:r>
              <w:rPr>
                <w:b/>
              </w:rPr>
              <w:t>1,066,000</w:t>
            </w:r>
          </w:p>
        </w:tc>
      </w:tr>
      <w:tr>
        <w:tc>
          <w:tcPr>
            <w:tcW w:type="dxa" w:w="2160"/>
          </w:tcPr>
          <w:p>
            <w:r>
              <w:t>R&amp;D</w:t>
            </w:r>
          </w:p>
        </w:tc>
        <w:tc>
          <w:tcPr>
            <w:tcW w:type="dxa" w:w="2160"/>
          </w:tcPr>
          <w:p>
            <w:r>
              <w:t>300,000</w:t>
            </w:r>
          </w:p>
        </w:tc>
        <w:tc>
          <w:tcPr>
            <w:tcW w:type="dxa" w:w="2160"/>
          </w:tcPr>
          <w:p>
            <w:r>
              <w:t>100,000</w:t>
            </w:r>
          </w:p>
        </w:tc>
        <w:tc>
          <w:tcPr>
            <w:tcW w:type="dxa" w:w="2160"/>
          </w:tcPr>
          <w:p>
            <w:r>
              <w:t>50,000</w:t>
            </w:r>
          </w:p>
        </w:tc>
      </w:tr>
      <w:tr>
        <w:tc>
          <w:tcPr>
            <w:tcW w:type="dxa" w:w="2160"/>
          </w:tcPr>
          <w:p>
            <w:r>
              <w:t>Advertising &amp; web marketing</w:t>
            </w:r>
          </w:p>
        </w:tc>
        <w:tc>
          <w:tcPr>
            <w:tcW w:type="dxa" w:w="2160"/>
          </w:tcPr>
          <w:p>
            <w:r>
              <w:t>90,000</w:t>
            </w:r>
          </w:p>
        </w:tc>
        <w:tc>
          <w:tcPr>
            <w:tcW w:type="dxa" w:w="2160"/>
          </w:tcPr>
          <w:p>
            <w:r>
              <w:t>110,000</w:t>
            </w:r>
          </w:p>
        </w:tc>
        <w:tc>
          <w:tcPr>
            <w:tcW w:type="dxa" w:w="2160"/>
          </w:tcPr>
          <w:p>
            <w:r>
              <w:t>120,000</w:t>
            </w:r>
          </w:p>
        </w:tc>
      </w:tr>
      <w:tr>
        <w:tc>
          <w:tcPr>
            <w:tcW w:type="dxa" w:w="2160"/>
          </w:tcPr>
          <w:p>
            <w:r>
              <w:t>Sales force expense</w:t>
            </w:r>
          </w:p>
        </w:tc>
        <w:tc>
          <w:tcPr>
            <w:tcW w:type="dxa" w:w="2160"/>
          </w:tcPr>
          <w:p>
            <w:r>
              <w:t>90,000</w:t>
            </w:r>
          </w:p>
        </w:tc>
        <w:tc>
          <w:tcPr>
            <w:tcW w:type="dxa" w:w="2160"/>
          </w:tcPr>
          <w:p>
            <w:r>
              <w:t>130,000</w:t>
            </w:r>
          </w:p>
        </w:tc>
        <w:tc>
          <w:tcPr>
            <w:tcW w:type="dxa" w:w="2160"/>
          </w:tcPr>
          <w:p>
            <w:r>
              <w:t>150,000</w:t>
            </w:r>
          </w:p>
        </w:tc>
      </w:tr>
      <w:tr>
        <w:tc>
          <w:tcPr>
            <w:tcW w:type="dxa" w:w="2160"/>
          </w:tcPr>
          <w:p>
            <w:r>
              <w:t>Store expense (leases + openings)</w:t>
            </w:r>
          </w:p>
        </w:tc>
        <w:tc>
          <w:tcPr>
            <w:tcW w:type="dxa" w:w="2160"/>
          </w:tcPr>
          <w:p>
            <w:r>
              <w:t>242,000</w:t>
            </w:r>
          </w:p>
        </w:tc>
        <w:tc>
          <w:tcPr>
            <w:tcW w:type="dxa" w:w="2160"/>
          </w:tcPr>
          <w:p>
            <w:r>
              <w:t>203,000</w:t>
            </w:r>
          </w:p>
        </w:tc>
        <w:tc>
          <w:tcPr>
            <w:tcW w:type="dxa" w:w="2160"/>
          </w:tcPr>
          <w:p>
            <w:r>
              <w:t>119,000</w:t>
            </w:r>
          </w:p>
        </w:tc>
      </w:tr>
      <w:tr>
        <w:tc>
          <w:tcPr>
            <w:tcW w:type="dxa" w:w="2160"/>
          </w:tcPr>
          <w:p>
            <w:r>
              <w:t>Marketing research</w:t>
            </w:r>
          </w:p>
        </w:tc>
        <w:tc>
          <w:tcPr>
            <w:tcW w:type="dxa" w:w="2160"/>
          </w:tcPr>
          <w:p>
            <w:r>
              <w:t>15,000</w:t>
            </w:r>
          </w:p>
        </w:tc>
        <w:tc>
          <w:tcPr>
            <w:tcW w:type="dxa" w:w="2160"/>
          </w:tcPr>
          <w:p>
            <w:r>
              <w:t>15,000</w:t>
            </w:r>
          </w:p>
        </w:tc>
        <w:tc>
          <w:tcPr>
            <w:tcW w:type="dxa" w:w="2160"/>
          </w:tcPr>
          <w:p>
            <w:r>
              <w:t>15,000</w:t>
            </w:r>
          </w:p>
        </w:tc>
      </w:tr>
      <w:tr>
        <w:tc>
          <w:tcPr>
            <w:tcW w:type="dxa" w:w="2160"/>
          </w:tcPr>
          <w:p>
            <w:r>
              <w:t>Quality &amp; system improvement</w:t>
            </w:r>
          </w:p>
        </w:tc>
        <w:tc>
          <w:tcPr>
            <w:tcW w:type="dxa" w:w="2160"/>
          </w:tcPr>
          <w:p>
            <w:r>
              <w:t>60,000</w:t>
            </w:r>
          </w:p>
        </w:tc>
        <w:tc>
          <w:tcPr>
            <w:tcW w:type="dxa" w:w="2160"/>
          </w:tcPr>
          <w:p>
            <w:r>
              <w:t>70,000</w:t>
            </w:r>
          </w:p>
        </w:tc>
        <w:tc>
          <w:tcPr>
            <w:tcW w:type="dxa" w:w="2160"/>
          </w:tcPr>
          <w:p>
            <w:r>
              <w:t>80,000</w:t>
            </w:r>
          </w:p>
        </w:tc>
      </w:tr>
      <w:tr>
        <w:tc>
          <w:tcPr>
            <w:tcW w:type="dxa" w:w="2160"/>
          </w:tcPr>
          <w:p>
            <w:r>
              <w:t>Shipping</w:t>
            </w:r>
          </w:p>
        </w:tc>
        <w:tc>
          <w:tcPr>
            <w:tcW w:type="dxa" w:w="2160"/>
          </w:tcPr>
          <w:p>
            <w:r>
              <w:t>20,000</w:t>
            </w:r>
          </w:p>
        </w:tc>
        <w:tc>
          <w:tcPr>
            <w:tcW w:type="dxa" w:w="2160"/>
          </w:tcPr>
          <w:p>
            <w:r>
              <w:t>35,000</w:t>
            </w:r>
          </w:p>
        </w:tc>
        <w:tc>
          <w:tcPr>
            <w:tcW w:type="dxa" w:w="2160"/>
          </w:tcPr>
          <w:p>
            <w:r>
              <w:t>45,000</w:t>
            </w:r>
          </w:p>
        </w:tc>
      </w:tr>
      <w:tr>
        <w:tc>
          <w:tcPr>
            <w:tcW w:type="dxa" w:w="2160"/>
          </w:tcPr>
          <w:p>
            <w:r>
              <w:t>Depreciation &amp; other</w:t>
            </w:r>
          </w:p>
        </w:tc>
        <w:tc>
          <w:tcPr>
            <w:tcW w:type="dxa" w:w="2160"/>
          </w:tcPr>
          <w:p>
            <w:r>
              <w:t>30,000</w:t>
            </w:r>
          </w:p>
        </w:tc>
        <w:tc>
          <w:tcPr>
            <w:tcW w:type="dxa" w:w="2160"/>
          </w:tcPr>
          <w:p>
            <w:r>
              <w:t>25,000</w:t>
            </w:r>
          </w:p>
        </w:tc>
        <w:tc>
          <w:tcPr>
            <w:tcW w:type="dxa" w:w="2160"/>
          </w:tcPr>
          <w:p>
            <w:r>
              <w:t>20,000</w:t>
            </w:r>
          </w:p>
        </w:tc>
      </w:tr>
      <w:tr>
        <w:tc>
          <w:tcPr>
            <w:tcW w:type="dxa" w:w="2160"/>
          </w:tcPr>
          <w:p>
            <w:r>
              <w:rPr>
                <w:b/>
              </w:rPr>
              <w:t>= Total expenses</w:t>
            </w:r>
          </w:p>
        </w:tc>
        <w:tc>
          <w:tcPr>
            <w:tcW w:type="dxa" w:w="2160"/>
          </w:tcPr>
          <w:p>
            <w:r>
              <w:rPr>
                <w:b/>
              </w:rPr>
              <w:t>847,000</w:t>
            </w:r>
          </w:p>
        </w:tc>
        <w:tc>
          <w:tcPr>
            <w:tcW w:type="dxa" w:w="2160"/>
          </w:tcPr>
          <w:p>
            <w:r>
              <w:rPr>
                <w:b/>
              </w:rPr>
              <w:t>688,000</w:t>
            </w:r>
          </w:p>
        </w:tc>
        <w:tc>
          <w:tcPr>
            <w:tcW w:type="dxa" w:w="2160"/>
          </w:tcPr>
          <w:p>
            <w:r>
              <w:rPr>
                <w:b/>
              </w:rPr>
              <w:t>599,000</w:t>
            </w:r>
          </w:p>
        </w:tc>
      </w:tr>
      <w:tr>
        <w:tc>
          <w:tcPr>
            <w:tcW w:type="dxa" w:w="2160"/>
          </w:tcPr>
          <w:p>
            <w:r>
              <w:rPr>
                <w:b/>
              </w:rPr>
              <w:t>Operating profit</w:t>
            </w:r>
          </w:p>
        </w:tc>
        <w:tc>
          <w:tcPr>
            <w:tcW w:type="dxa" w:w="2160"/>
          </w:tcPr>
          <w:p>
            <w:r>
              <w:rPr>
                <w:b/>
              </w:rPr>
              <w:t>-391,000</w:t>
            </w:r>
          </w:p>
        </w:tc>
        <w:tc>
          <w:tcPr>
            <w:tcW w:type="dxa" w:w="2160"/>
          </w:tcPr>
          <w:p>
            <w:r>
              <w:rPr>
                <w:b/>
              </w:rPr>
              <w:t>52,000</w:t>
            </w:r>
          </w:p>
        </w:tc>
        <w:tc>
          <w:tcPr>
            <w:tcW w:type="dxa" w:w="2160"/>
          </w:tcPr>
          <w:p>
            <w:r>
              <w:rPr>
                <w:b/>
              </w:rPr>
              <w:t>467,000</w:t>
            </w:r>
          </w:p>
        </w:tc>
      </w:tr>
    </w:tbl>
    <w:p>
      <w:r>
        <w:t>The plan turns operating-profitable in Q5 and generates 467k of operating profit in Q6 — a cumulative +128k over the three quarters despite fully expensing the expansion. Ending the year with three stores, R&amp;D-upgraded brands and expanded capacity, AeroForge enters Year 3 with a durable, profitable platform.</w:t>
      </w:r>
    </w:p>
    <w:p>
      <w:pPr>
        <w:pStyle w:val="Heading1"/>
      </w:pPr>
      <w:r>
        <w:t>5. Financial Request</w:t>
      </w:r>
    </w:p>
    <w:p>
      <w:r>
        <w:t>We request 2,500,000 from the venture capital committee. Every dollar maps to the growth plan above:</w:t>
      </w:r>
    </w:p>
    <w:tbl>
      <w:tblPr>
        <w:tblStyle w:val="TableGrid"/>
        <w:tblW w:type="auto" w:w="0"/>
        <w:tblLook w:firstColumn="1" w:firstRow="1" w:lastColumn="0" w:lastRow="0" w:noHBand="0" w:noVBand="1" w:val="04A0"/>
      </w:tblPr>
      <w:tblGrid>
        <w:gridCol w:w="4320"/>
        <w:gridCol w:w="4320"/>
      </w:tblGrid>
      <w:tr>
        <w:tc>
          <w:tcPr>
            <w:tcW w:type="dxa" w:w="4320"/>
          </w:tcPr>
          <w:p>
            <w:r>
              <w:rPr>
                <w:b/>
              </w:rPr>
              <w:t>Use of funds</w:t>
            </w:r>
          </w:p>
        </w:tc>
        <w:tc>
          <w:tcPr>
            <w:tcW w:type="dxa" w:w="4320"/>
          </w:tcPr>
          <w:p>
            <w:r>
              <w:rPr>
                <w:b/>
              </w:rPr>
              <w:t>Amount ($)</w:t>
            </w:r>
          </w:p>
        </w:tc>
      </w:tr>
      <w:tr>
        <w:tc>
          <w:tcPr>
            <w:tcW w:type="dxa" w:w="4320"/>
          </w:tcPr>
          <w:p>
            <w:r>
              <w:t>New sales outlets — Amsterdam (Q4) &amp; Bangalore (Q5): setup + first leases</w:t>
            </w:r>
          </w:p>
        </w:tc>
        <w:tc>
          <w:tcPr>
            <w:tcW w:type="dxa" w:w="4320"/>
          </w:tcPr>
          <w:p>
            <w:r>
              <w:t>520,000</w:t>
            </w:r>
          </w:p>
        </w:tc>
      </w:tr>
      <w:tr>
        <w:tc>
          <w:tcPr>
            <w:tcW w:type="dxa" w:w="4320"/>
          </w:tcPr>
          <w:p>
            <w:r>
              <w:t>Production capacity expansion (2 additional 3D printers)</w:t>
            </w:r>
          </w:p>
        </w:tc>
        <w:tc>
          <w:tcPr>
            <w:tcW w:type="dxa" w:w="4320"/>
          </w:tcPr>
          <w:p>
            <w:r>
              <w:t>480,000</w:t>
            </w:r>
          </w:p>
        </w:tc>
      </w:tr>
      <w:tr>
        <w:tc>
          <w:tcPr>
            <w:tcW w:type="dxa" w:w="4320"/>
          </w:tcPr>
          <w:p>
            <w:r>
              <w:t>R&amp;D — new brand features (terrain &amp; aero packages)</w:t>
            </w:r>
          </w:p>
        </w:tc>
        <w:tc>
          <w:tcPr>
            <w:tcW w:type="dxa" w:w="4320"/>
          </w:tcPr>
          <w:p>
            <w:r>
              <w:t>450,000</w:t>
            </w:r>
          </w:p>
        </w:tc>
      </w:tr>
      <w:tr>
        <w:tc>
          <w:tcPr>
            <w:tcW w:type="dxa" w:w="4320"/>
          </w:tcPr>
          <w:p>
            <w:r>
              <w:t>Advertising &amp; web marketing ramp-up (3 cities)</w:t>
            </w:r>
          </w:p>
        </w:tc>
        <w:tc>
          <w:tcPr>
            <w:tcW w:type="dxa" w:w="4320"/>
          </w:tcPr>
          <w:p>
            <w:r>
              <w:t>320,000</w:t>
            </w:r>
          </w:p>
        </w:tc>
      </w:tr>
      <w:tr>
        <w:tc>
          <w:tcPr>
            <w:tcW w:type="dxa" w:w="4320"/>
          </w:tcPr>
          <w:p>
            <w:r>
              <w:t>Sales force expansion, training &amp; service staffing</w:t>
            </w:r>
          </w:p>
        </w:tc>
        <w:tc>
          <w:tcPr>
            <w:tcW w:type="dxa" w:w="4320"/>
          </w:tcPr>
          <w:p>
            <w:r>
              <w:t>370,000</w:t>
            </w:r>
          </w:p>
        </w:tc>
      </w:tr>
      <w:tr>
        <w:tc>
          <w:tcPr>
            <w:tcW w:type="dxa" w:w="4320"/>
          </w:tcPr>
          <w:p>
            <w:r>
              <w:t>Working capital &amp; contingency buffer</w:t>
            </w:r>
          </w:p>
        </w:tc>
        <w:tc>
          <w:tcPr>
            <w:tcW w:type="dxa" w:w="4320"/>
          </w:tcPr>
          <w:p>
            <w:r>
              <w:t>360,000</w:t>
            </w:r>
          </w:p>
        </w:tc>
      </w:tr>
      <w:tr>
        <w:tc>
          <w:tcPr>
            <w:tcW w:type="dxa" w:w="4320"/>
          </w:tcPr>
          <w:p>
            <w:r>
              <w:rPr>
                <w:b/>
              </w:rPr>
              <w:t>TOTAL</w:t>
            </w:r>
          </w:p>
        </w:tc>
        <w:tc>
          <w:tcPr>
            <w:tcW w:type="dxa" w:w="4320"/>
          </w:tcPr>
          <w:p>
            <w:r>
              <w:rPr>
                <w:b/>
              </w:rPr>
              <w:t>2,500,000</w:t>
            </w:r>
          </w:p>
        </w:tc>
      </w:tr>
    </w:tbl>
    <w:p>
      <w:r>
        <w:t>Return for investors: this funding converts a validated test market into a three-city, R&amp;D-differentiated business that is operating-profitable within two quarters. Our track record shows we manage capital prudently (no debt, 1.000 financial-risk score, cash always above the 300k safety floor) and people consciously (top-quartile compensation, highest projected productivity). We learn fast from data — the Q2 test market findings were diagnosed and corrected within one quarter — and we will apply the same discipline to every dollar you invest.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