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Caso de uso CU01: Registrar Usuarios.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sz w:val="24"/>
          <w:szCs w:val="24"/>
          <w:rtl w:val="0"/>
        </w:rPr>
        <w:t xml:space="preserve">Usuario no registrado.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involucrado e intereses: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no registrado: quiere registrarse en la aplicación para tener acceso a otras funcionalidades como comprar artículos en línea y realizar comentarios sobre artículos.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El usuario ingresa a la aplicación mediante una URL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Garantías de éxito (postcondiciones): </w:t>
      </w:r>
      <w:r w:rsidDel="00000000" w:rsidR="00000000" w:rsidRPr="00000000">
        <w:rPr>
          <w:sz w:val="24"/>
          <w:szCs w:val="24"/>
          <w:rtl w:val="0"/>
        </w:rPr>
        <w:t xml:space="preserve">El usuario se registra.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principal de éxito (o flujo básico):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de registro.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pide los datos del usuario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los datos: Nombre, número de teléfono, domicilio, fecha de nacimiento, correo y contraseña en cada uno de los campos correspondientes.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el registro del usuario y le asignará un id. de usuario.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Extensiones (o flujo alternativos):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3a. Los campos no fueron llenados correctamente..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que campos falta llenar correctamente.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los datos correctos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el registro del usuario y le asignará un id. de usuario.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3b. El usuario ya existe.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notifica al usuario que el correo proporcionado ya existe.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tecnologías y variaciones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de caso de uso: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se cumplirá si guarda los datos correctos del usuario, ninguno de los campos permite valores nulos.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