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aps/>
          <w:color w:val="2A78D6"/>
          <w:sz w:val="22"/>
          <w:szCs w:val="22"/>
        </w:rPr>
        <w:t xml:space="preserve">Project documentation</w:t>
      </w:r>
    </w:p>
    <w:p>
      <w:pPr>
        <w:spacing w:after="160"/>
      </w:pPr>
      <w:r>
        <w:rPr>
          <w:rFonts w:ascii="Cambria" w:cs="Cambria" w:eastAsia="Cambria" w:hAnsi="Cambria"/>
          <w:b/>
          <w:bCs/>
          <w:color w:val="12355B"/>
          <w:sz w:val="52"/>
          <w:szCs w:val="52"/>
        </w:rPr>
        <w:t xml:space="preserve">HyperSpatial: A Local-First Parallel and Distributed Hyperspectral Analytics Suite for QGIS</w:t>
      </w:r>
    </w:p>
    <w:p>
      <w:pPr>
        <w:spacing w:after="480"/>
      </w:pPr>
      <w:r>
        <w:rPr>
          <w:rFonts w:ascii="Calibri" w:cs="Calibri" w:eastAsia="Calibri" w:hAnsi="Calibri"/>
          <w:color w:val="52514E"/>
          <w:sz w:val="26"/>
          <w:szCs w:val="26"/>
        </w:rPr>
        <w:t xml:space="preserve">EnMAP hyperspectral imagery processed by a C++ OpenMP/OpenCL engine and analysed with Apache Spark, Apache Sedona and Spark MLlib — all inside QGIS, on one's own computer</w:t>
      </w:r>
    </w:p>
    <w:p>
      <w:pPr>
        <w:spacing w:after="360"/>
        <w:jc w:val="left"/>
      </w:pPr>
      <w:r>
        <w:drawing>
          <wp:inline distT="0" distB="0" distL="0" distR="0">
            <wp:extent cx="5019675" cy="3609975"/>
            <wp:effectExtent t="0" r="0" b="0" l="0"/>
            <wp:docPr id="10" name="cover" descr="map_kmeans.png"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19675" cy="36099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13"/>
        <w:gridCol w:w="7325"/>
      </w:tblGrid>
      <w:tr>
        <w:tc>
          <w:tcPr>
            <w:tcW w:type="dxa" w:w="2313"/>
            <w:tcMar>
              <w:top w:type="dxa" w:w="60"/>
              <w:left w:type="dxa" w:w="90"/>
              <w:bottom w:type="dxa" w:w="60"/>
              <w:right w:type="dxa" w:w="90"/>
            </w:tcMar>
            <w:vAlign w:val="center"/>
          </w:tcPr>
          <w:p>
            <w:pPr>
              <w:spacing w:after="20" w:line="250"/>
            </w:pPr>
            <w:r>
              <w:rPr>
                <w:b/>
                <w:bCs/>
                <w:color w:val="12355B"/>
                <w:sz w:val="18"/>
                <w:szCs w:val="18"/>
              </w:rPr>
              <w:t xml:space="preserve">Document</w:t>
            </w:r>
          </w:p>
        </w:tc>
        <w:tc>
          <w:tcPr>
            <w:tcW w:type="dxa" w:w="7325"/>
            <w:tcMar>
              <w:top w:type="dxa" w:w="60"/>
              <w:left w:type="dxa" w:w="90"/>
              <w:bottom w:type="dxa" w:w="60"/>
              <w:right w:type="dxa" w:w="90"/>
            </w:tcMar>
            <w:vAlign w:val="center"/>
          </w:tcPr>
          <w:p>
            <w:pPr>
              <w:spacing w:after="20" w:line="250"/>
            </w:pPr>
            <w:r>
              <w:rPr>
                <w:sz w:val="18"/>
                <w:szCs w:val="18"/>
              </w:rPr>
              <w:t xml:space="preserve">Project documentation</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Project</w:t>
            </w:r>
          </w:p>
        </w:tc>
        <w:tc>
          <w:tcPr>
            <w:tcW w:type="dxa" w:w="7325"/>
            <w:tcMar>
              <w:top w:type="dxa" w:w="60"/>
              <w:left w:type="dxa" w:w="90"/>
              <w:bottom w:type="dxa" w:w="60"/>
              <w:right w:type="dxa" w:w="90"/>
            </w:tcMar>
            <w:vAlign w:val="center"/>
          </w:tcPr>
          <w:p>
            <w:pPr>
              <w:spacing w:after="20" w:line="250"/>
            </w:pPr>
            <w:r>
              <w:rPr>
                <w:sz w:val="18"/>
                <w:szCs w:val="18"/>
              </w:rPr>
              <w:t xml:space="preserve">HyperSpatial — local-first hyperspectral analytics for QGIS</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Author</w:t>
            </w:r>
          </w:p>
        </w:tc>
        <w:tc>
          <w:tcPr>
            <w:tcW w:type="dxa" w:w="7325"/>
            <w:tcMar>
              <w:top w:type="dxa" w:w="60"/>
              <w:left w:type="dxa" w:w="90"/>
              <w:bottom w:type="dxa" w:w="60"/>
              <w:right w:type="dxa" w:w="90"/>
            </w:tcMar>
            <w:vAlign w:val="center"/>
          </w:tcPr>
          <w:p>
            <w:pPr>
              <w:spacing w:after="20" w:line="250"/>
            </w:pPr>
            <w:r>
              <w:rPr>
                <w:sz w:val="18"/>
                <w:szCs w:val="18"/>
              </w:rPr>
              <w:t xml:space="preserve">Aaron R</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Institution</w:t>
            </w:r>
          </w:p>
        </w:tc>
        <w:tc>
          <w:tcPr>
            <w:tcW w:type="dxa" w:w="7325"/>
            <w:tcMar>
              <w:top w:type="dxa" w:w="60"/>
              <w:left w:type="dxa" w:w="90"/>
              <w:bottom w:type="dxa" w:w="60"/>
              <w:right w:type="dxa" w:w="90"/>
            </w:tcMar>
            <w:vAlign w:val="center"/>
          </w:tcPr>
          <w:p>
            <w:pPr>
              <w:spacing w:after="20" w:line="250"/>
            </w:pPr>
            <w:r>
              <w:rPr>
                <w:sz w:val="18"/>
                <w:szCs w:val="18"/>
              </w:rPr>
              <w:t xml:space="preserve">Digital University Kerala</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Version / date</w:t>
            </w:r>
          </w:p>
        </w:tc>
        <w:tc>
          <w:tcPr>
            <w:tcW w:type="dxa" w:w="7325"/>
            <w:tcMar>
              <w:top w:type="dxa" w:w="60"/>
              <w:left w:type="dxa" w:w="90"/>
              <w:bottom w:type="dxa" w:w="60"/>
              <w:right w:type="dxa" w:w="90"/>
            </w:tcMar>
            <w:vAlign w:val="center"/>
          </w:tcPr>
          <w:p>
            <w:pPr>
              <w:spacing w:after="20" w:line="250"/>
            </w:pPr>
            <w:r>
              <w:rPr>
                <w:sz w:val="18"/>
                <w:szCs w:val="18"/>
              </w:rPr>
              <w:t xml:space="preserve">16 October 2026</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Repository</w:t>
            </w:r>
          </w:p>
        </w:tc>
        <w:tc>
          <w:tcPr>
            <w:tcW w:type="dxa" w:w="7325"/>
            <w:tcMar>
              <w:top w:type="dxa" w:w="60"/>
              <w:left w:type="dxa" w:w="90"/>
              <w:bottom w:type="dxa" w:w="60"/>
              <w:right w:type="dxa" w:w="90"/>
            </w:tcMar>
            <w:vAlign w:val="center"/>
          </w:tcPr>
          <w:p>
            <w:pPr>
              <w:spacing w:after="20" w:line="250"/>
            </w:pPr>
            <w:r>
              <w:rPr>
                <w:sz w:val="18"/>
                <w:szCs w:val="18"/>
              </w:rPr>
              <w:t xml:space="preserve">github.com/aaron43210/HYPERSPECTRAL_DATA_DISTRIBUTED_SYSTEM</w:t>
            </w:r>
          </w:p>
        </w:tc>
      </w:tr>
    </w:tbl>
    <w:p>
      <w:pPr>
        <w:sectPr>
          <w:pgSz w:w="11906" w:h="16838" w:orient="portrait"/>
          <w:pgMar w:top="1134" w:right="1134" w:bottom="1134" w:left="1134" w:header="708" w:footer="708" w:gutter="0"/>
          <w:pgNumType/>
          <w:docGrid w:linePitch="360"/>
        </w:sectPr>
      </w:pPr>
    </w:p>
    <w:p>
      <w:pPr>
        <w:spacing w:after="200"/>
      </w:pPr>
      <w:r>
        <w:rPr>
          <w:rFonts w:ascii="Cambria" w:cs="Cambria" w:eastAsia="Cambria" w:hAnsi="Cambria"/>
          <w:b/>
          <w:bCs/>
          <w:color w:val="12355B"/>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Project title</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Problem statement and motivation</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2.1 Problem statement</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2.2 Motivation</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2.3 Objectives</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3. Data and geospatial layers</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3.1 Primary dataset: an EnMAP L2A scene</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3.2 Layers used and produced</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3.3 Data preparation rules</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4. Interactive and dynamic functionalities</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4.1 Features</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4.2 A typical session</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5. Relevance, beneficiaries and expected outcome / impact</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5.1 Practical significance</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5.2 Potential users and beneficiaries</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5.3 How the project addresses the problem</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5.4 Expected outcome and impact</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6. System architecture</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7. Results summary</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8. Limitations and future work</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9. References</w:t>
            </w:r>
            <w:r>
              <w:tab/>
            </w:r>
            <w:r>
              <w:fldChar w:fldCharType="begin" w:dirty="true"/>
              <w:instrText xml:space="preserve">PAGEREF _Toc21 \h</w:instrText>
              <w:fldChar w:fldCharType="separate"/>
              <w:fldChar w:fldCharType="end"/>
            </w:r>
          </w:hyperlink>
        </w:p>
        <w:p>
          <w:r>
            <w:fldChar w:fldCharType="end"/>
          </w:r>
        </w:p>
      </w:sdtContent>
    </w:sdt>
    <w:p>
      <w:r>
        <w:br w:type="page"/>
      </w:r>
    </w:p>
    <w:p>
      <w:pPr>
        <w:pStyle w:val="Heading1"/>
      </w:pPr>
      <w:bookmarkStart w:name="_Toc1" w:id="1"/>
      <w:r>
        <w:t xml:space="preserve">1. Project title</w:t>
      </w:r>
      <w:bookmarkEnd w:id="1"/>
    </w:p>
    <w:p>
      <w:r>
        <w:rPr>
          <w:b/>
          <w:bCs/>
        </w:rPr>
        <w:t xml:space="preserve">HyperSpatial: A Local-First Parallel and Distributed Hyperspectral Analytics Suite for QGIS</w:t>
      </w:r>
    </w:p>
    <w:p>
      <w:r>
        <w:t xml:space="preserve">HyperSpatial lets a GIS user take a hyperspectral satellite scene — hundreds of spectral bands per pixel — and, from inside QGIS on an ordinary computer, compute vegetation, water and built-up indices, compress the spectrum with PCA, detect a target material by clicking a pixel, run distributed spatial SQL over the pixels, and produce a machine-learned land-cover map, all in seconds and without cloud services. It consists of two QGIS plugins and a native processing engine:</w:t>
      </w:r>
    </w:p>
    <w:p>
      <w:pPr>
        <w:keepNext/>
        <w:spacing w:after="80" w:before="160"/>
      </w:pPr>
      <w:r>
        <w:rPr>
          <w:b/>
          <w:bCs/>
          <w:color w:val="52514E"/>
          <w:sz w:val="18"/>
          <w:szCs w:val="18"/>
        </w:rPr>
        <w:t xml:space="preserve">Table 1.</w:t>
      </w:r>
      <w:r>
        <w:rPr>
          <w:color w:val="52514E"/>
          <w:sz w:val="18"/>
          <w:szCs w:val="18"/>
        </w:rPr>
        <w:t xml:space="preserve"> Project components.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3011"/>
        <w:gridCol w:w="6627"/>
      </w:tblGrid>
      <w:tr>
        <w:trPr>
          <w:cantSplit/>
          <w:tblHeader/>
        </w:trPr>
        <w:tc>
          <w:tcPr>
            <w:tcW w:type="dxa" w:w="3011"/>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Component</w:t>
            </w:r>
          </w:p>
        </w:tc>
        <w:tc>
          <w:tcPr>
            <w:tcW w:type="dxa" w:w="6627"/>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What it does</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HyperSpectral Processer</w:t>
            </w:r>
            <w:r>
              <w:rPr>
                <w:sz w:val="18"/>
                <w:szCs w:val="18"/>
              </w:rPr>
              <w:t xml:space="preserve"> (QGIS plugin 1)</w:t>
            </w:r>
          </w:p>
        </w:tc>
        <w:tc>
          <w:tcPr>
            <w:tcW w:type="dxa" w:w="6627"/>
            <w:tcMar>
              <w:top w:type="dxa" w:w="60"/>
              <w:left w:type="dxa" w:w="90"/>
              <w:bottom w:type="dxa" w:w="60"/>
              <w:right w:type="dxa" w:w="90"/>
            </w:tcMar>
            <w:vAlign w:val="center"/>
          </w:tcPr>
          <w:p>
            <w:pPr>
              <w:spacing w:after="20" w:line="250"/>
            </w:pPr>
            <w:r>
              <w:rPr>
                <w:sz w:val="18"/>
                <w:szCs w:val="18"/>
              </w:rPr>
              <w:t xml:space="preserve">Drives the C++17 engine: 7 spectral indices, PCA, Spectral Angle Mapper target detection. Parallel on CPU cores (OpenMP) and GPUs of any vendor (OpenCL).</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HyperSpatial Sedona Analytics</w:t>
            </w:r>
            <w:r>
              <w:rPr>
                <w:sz w:val="18"/>
                <w:szCs w:val="18"/>
              </w:rPr>
              <w:t xml:space="preserve"> (QGIS plugin 2)</w:t>
            </w:r>
          </w:p>
        </w:tc>
        <w:tc>
          <w:tcPr>
            <w:tcW w:type="dxa" w:w="6627"/>
            <w:shd w:fill="F3F6FA" w:color="auto" w:val="clear"/>
            <w:tcMar>
              <w:top w:type="dxa" w:w="60"/>
              <w:left w:type="dxa" w:w="90"/>
              <w:bottom w:type="dxa" w:w="60"/>
              <w:right w:type="dxa" w:w="90"/>
            </w:tcMar>
            <w:vAlign w:val="center"/>
          </w:tcPr>
          <w:p>
            <w:pPr>
              <w:spacing w:after="20" w:line="250"/>
            </w:pPr>
            <w:r>
              <w:rPr>
                <w:sz w:val="18"/>
                <w:szCs w:val="18"/>
              </w:rPr>
              <w:t xml:space="preserve">Runs Apache Spark + Apache Sedona jobs on the rasters: AOI statistics, per-field spatial joins, NDVI filtering, raw-cube NDVI, and unsupervised K-Means land-cover classification with Spark MLlib.</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hyperspatial_cli</w:t>
            </w:r>
            <w:r>
              <w:rPr>
                <w:sz w:val="18"/>
                <w:szCs w:val="18"/>
              </w:rPr>
              <w:t xml:space="preserve"> (engine)</w:t>
            </w:r>
          </w:p>
        </w:tc>
        <w:tc>
          <w:tcPr>
            <w:tcW w:type="dxa" w:w="6627"/>
            <w:tcMar>
              <w:top w:type="dxa" w:w="60"/>
              <w:left w:type="dxa" w:w="90"/>
              <w:bottom w:type="dxa" w:w="60"/>
              <w:right w:type="dxa" w:w="90"/>
            </w:tcMar>
            <w:vAlign w:val="center"/>
          </w:tcPr>
          <w:p>
            <w:pPr>
              <w:spacing w:after="20" w:line="250"/>
            </w:pPr>
            <w:r>
              <w:rPr>
                <w:sz w:val="18"/>
                <w:szCs w:val="18"/>
              </w:rPr>
              <w:t xml:space="preserve">Out-of-core, tile-parallel processing of the full cube; writes GeoTIFF tiles that are also the input unit for Spark.</w:t>
            </w:r>
          </w:p>
        </w:tc>
      </w:tr>
    </w:tbl>
    <w:p>
      <w:pPr>
        <w:spacing w:after="120"/>
      </w:pPr>
    </w:p>
    <w:p>
      <w:pPr>
        <w:keepNext/>
        <w:spacing w:after="80" w:before="160"/>
      </w:pPr>
      <w:r>
        <w:rPr>
          <w:b/>
          <w:bCs/>
          <w:color w:val="52514E"/>
          <w:sz w:val="18"/>
          <w:szCs w:val="18"/>
        </w:rPr>
        <w:t xml:space="preserve">Table 2.</w:t>
      </w:r>
      <w:r>
        <w:rPr>
          <w:color w:val="52514E"/>
          <w:sz w:val="18"/>
          <w:szCs w:val="18"/>
        </w:rPr>
        <w:t xml:space="preserve"> Project summary.</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108"/>
        <w:gridCol w:w="7530"/>
      </w:tblGrid>
      <w:tr>
        <w:trPr>
          <w:cantSplit/>
          <w:tblHeader/>
        </w:trPr>
        <w:tc>
          <w:tcPr>
            <w:tcW w:type="dxa" w:w="210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Item</w:t>
            </w:r>
          </w:p>
        </w:tc>
        <w:tc>
          <w:tcPr>
            <w:tcW w:type="dxa" w:w="7530"/>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Detail</w:t>
            </w:r>
          </w:p>
        </w:tc>
      </w:tr>
      <w:tr>
        <w:trPr>
          <w:cantSplit/>
        </w:trPr>
        <w:tc>
          <w:tcPr>
            <w:tcW w:type="dxa" w:w="2108"/>
            <w:tcMar>
              <w:top w:type="dxa" w:w="60"/>
              <w:left w:type="dxa" w:w="90"/>
              <w:bottom w:type="dxa" w:w="60"/>
              <w:right w:type="dxa" w:w="90"/>
            </w:tcMar>
            <w:vAlign w:val="center"/>
          </w:tcPr>
          <w:p>
            <w:pPr>
              <w:spacing w:after="20" w:line="250"/>
            </w:pPr>
            <w:r>
              <w:rPr>
                <w:sz w:val="18"/>
                <w:szCs w:val="18"/>
              </w:rPr>
              <w:t xml:space="preserve">Author / institution</w:t>
            </w:r>
          </w:p>
        </w:tc>
        <w:tc>
          <w:tcPr>
            <w:tcW w:type="dxa" w:w="7530"/>
            <w:tcMar>
              <w:top w:type="dxa" w:w="60"/>
              <w:left w:type="dxa" w:w="90"/>
              <w:bottom w:type="dxa" w:w="60"/>
              <w:right w:type="dxa" w:w="90"/>
            </w:tcMar>
            <w:vAlign w:val="center"/>
          </w:tcPr>
          <w:p>
            <w:pPr>
              <w:spacing w:after="20" w:line="250"/>
            </w:pPr>
            <w:r>
              <w:rPr>
                <w:sz w:val="18"/>
                <w:szCs w:val="18"/>
              </w:rPr>
              <w:t xml:space="preserve">Aaron R · Digital University Kerala</w:t>
            </w:r>
          </w:p>
        </w:tc>
      </w:tr>
      <w:tr>
        <w:trPr>
          <w:cantSplit/>
        </w:trPr>
        <w:tc>
          <w:tcPr>
            <w:tcW w:type="dxa" w:w="2108"/>
            <w:shd w:fill="F3F6FA" w:color="auto" w:val="clear"/>
            <w:tcMar>
              <w:top w:type="dxa" w:w="60"/>
              <w:left w:type="dxa" w:w="90"/>
              <w:bottom w:type="dxa" w:w="60"/>
              <w:right w:type="dxa" w:w="90"/>
            </w:tcMar>
            <w:vAlign w:val="center"/>
          </w:tcPr>
          <w:p>
            <w:pPr>
              <w:spacing w:after="20" w:line="250"/>
            </w:pPr>
            <w:r>
              <w:rPr>
                <w:sz w:val="18"/>
                <w:szCs w:val="18"/>
              </w:rPr>
              <w:t xml:space="preserve">Type</w:t>
            </w:r>
          </w:p>
        </w:tc>
        <w:tc>
          <w:tcPr>
            <w:tcW w:type="dxa" w:w="7530"/>
            <w:shd w:fill="F3F6FA" w:color="auto" w:val="clear"/>
            <w:tcMar>
              <w:top w:type="dxa" w:w="60"/>
              <w:left w:type="dxa" w:w="90"/>
              <w:bottom w:type="dxa" w:w="60"/>
              <w:right w:type="dxa" w:w="90"/>
            </w:tcMar>
            <w:vAlign w:val="center"/>
          </w:tcPr>
          <w:p>
            <w:pPr>
              <w:spacing w:after="20" w:line="250"/>
            </w:pPr>
            <w:r>
              <w:rPr>
                <w:sz w:val="18"/>
                <w:szCs w:val="18"/>
              </w:rPr>
              <w:t xml:space="preserve">Open-source software project (two QGIS plugins + native engine), GPL-2.0</w:t>
            </w:r>
          </w:p>
        </w:tc>
      </w:tr>
      <w:tr>
        <w:trPr>
          <w:cantSplit/>
        </w:trPr>
        <w:tc>
          <w:tcPr>
            <w:tcW w:type="dxa" w:w="2108"/>
            <w:tcMar>
              <w:top w:type="dxa" w:w="60"/>
              <w:left w:type="dxa" w:w="90"/>
              <w:bottom w:type="dxa" w:w="60"/>
              <w:right w:type="dxa" w:w="90"/>
            </w:tcMar>
            <w:vAlign w:val="center"/>
          </w:tcPr>
          <w:p>
            <w:pPr>
              <w:spacing w:after="20" w:line="250"/>
            </w:pPr>
            <w:r>
              <w:rPr>
                <w:sz w:val="18"/>
                <w:szCs w:val="18"/>
              </w:rPr>
              <w:t xml:space="preserve">Study data</w:t>
            </w:r>
          </w:p>
        </w:tc>
        <w:tc>
          <w:tcPr>
            <w:tcW w:type="dxa" w:w="7530"/>
            <w:tcMar>
              <w:top w:type="dxa" w:w="60"/>
              <w:left w:type="dxa" w:w="90"/>
              <w:bottom w:type="dxa" w:w="60"/>
              <w:right w:type="dxa" w:w="90"/>
            </w:tcMar>
            <w:vAlign w:val="center"/>
          </w:tcPr>
          <w:p>
            <w:pPr>
              <w:spacing w:after="20" w:line="250"/>
            </w:pPr>
            <w:r>
              <w:rPr>
                <w:sz w:val="18"/>
                <w:szCs w:val="18"/>
              </w:rPr>
              <w:t xml:space="preserve">EnMAP L2A scene DT0000001049, Tyrolean Alps, 12 June 2022</w:t>
            </w:r>
          </w:p>
        </w:tc>
      </w:tr>
      <w:tr>
        <w:trPr>
          <w:cantSplit/>
        </w:trPr>
        <w:tc>
          <w:tcPr>
            <w:tcW w:type="dxa" w:w="2108"/>
            <w:shd w:fill="F3F6FA" w:color="auto" w:val="clear"/>
            <w:tcMar>
              <w:top w:type="dxa" w:w="60"/>
              <w:left w:type="dxa" w:w="90"/>
              <w:bottom w:type="dxa" w:w="60"/>
              <w:right w:type="dxa" w:w="90"/>
            </w:tcMar>
            <w:vAlign w:val="center"/>
          </w:tcPr>
          <w:p>
            <w:pPr>
              <w:spacing w:after="20" w:line="250"/>
            </w:pPr>
            <w:r>
              <w:rPr>
                <w:sz w:val="18"/>
                <w:szCs w:val="18"/>
              </w:rPr>
              <w:t xml:space="preserve">Status</w:t>
            </w:r>
          </w:p>
        </w:tc>
        <w:tc>
          <w:tcPr>
            <w:tcW w:type="dxa" w:w="7530"/>
            <w:shd w:fill="F3F6FA" w:color="auto" w:val="clear"/>
            <w:tcMar>
              <w:top w:type="dxa" w:w="60"/>
              <w:left w:type="dxa" w:w="90"/>
              <w:bottom w:type="dxa" w:w="60"/>
              <w:right w:type="dxa" w:w="90"/>
            </w:tcMar>
            <w:vAlign w:val="center"/>
          </w:tcPr>
          <w:p>
            <w:pPr>
              <w:spacing w:after="20" w:line="250"/>
            </w:pPr>
            <w:r>
              <w:rPr>
                <w:sz w:val="18"/>
                <w:szCs w:val="18"/>
              </w:rPr>
              <w:t xml:space="preserve">Working end-to-end and validated on the study scene (October 2026); processing plugin published on plugins.qgis.org (experimental)</w:t>
            </w:r>
          </w:p>
        </w:tc>
      </w:tr>
      <w:tr>
        <w:trPr>
          <w:cantSplit/>
        </w:trPr>
        <w:tc>
          <w:tcPr>
            <w:tcW w:type="dxa" w:w="2108"/>
            <w:tcMar>
              <w:top w:type="dxa" w:w="60"/>
              <w:left w:type="dxa" w:w="90"/>
              <w:bottom w:type="dxa" w:w="60"/>
              <w:right w:type="dxa" w:w="90"/>
            </w:tcMar>
            <w:vAlign w:val="center"/>
          </w:tcPr>
          <w:p>
            <w:pPr>
              <w:spacing w:after="20" w:line="250"/>
            </w:pPr>
            <w:r>
              <w:rPr>
                <w:sz w:val="18"/>
                <w:szCs w:val="18"/>
              </w:rPr>
              <w:t xml:space="preserve">Repository</w:t>
            </w:r>
          </w:p>
        </w:tc>
        <w:tc>
          <w:tcPr>
            <w:tcW w:type="dxa" w:w="7530"/>
            <w:tcMar>
              <w:top w:type="dxa" w:w="60"/>
              <w:left w:type="dxa" w:w="90"/>
              <w:bottom w:type="dxa" w:w="60"/>
              <w:right w:type="dxa" w:w="90"/>
            </w:tcMar>
            <w:vAlign w:val="center"/>
          </w:tcPr>
          <w:p>
            <w:pPr>
              <w:spacing w:after="20" w:line="250"/>
            </w:pPr>
            <w:r>
              <w:rPr>
                <w:sz w:val="18"/>
                <w:szCs w:val="18"/>
              </w:rPr>
              <w:t xml:space="preserve">github.com/aaron43210/HYPERSPECTRAL_DATA_DISTRIBUTED_SYSTEM</w:t>
            </w:r>
          </w:p>
        </w:tc>
      </w:tr>
    </w:tbl>
    <w:p>
      <w:pPr>
        <w:spacing w:after="120"/>
      </w:pPr>
    </w:p>
    <w:p>
      <w:pPr>
        <w:pStyle w:val="Heading1"/>
      </w:pPr>
      <w:bookmarkStart w:name="_Toc2" w:id="2"/>
      <w:r>
        <w:t xml:space="preserve">2. Problem statement and motivation</w:t>
      </w:r>
      <w:bookmarkEnd w:id="2"/>
    </w:p>
    <w:p>
      <w:pPr>
        <w:pStyle w:val="Heading2"/>
      </w:pPr>
      <w:bookmarkStart w:name="_Toc3" w:id="3"/>
      <w:r>
        <w:t xml:space="preserve">2.1 Problem statement</w:t>
      </w:r>
      <w:bookmarkEnd w:id="3"/>
    </w:p>
    <w:p>
      <w:r>
        <w:t xml:space="preserve">Imaging spectrometers in orbit — DLR's </w:t>
      </w:r>
      <w:r>
        <w:rPr>
          <w:b/>
          <w:bCs/>
        </w:rPr>
        <w:t xml:space="preserve">EnMAP</w:t>
      </w:r>
      <w:r>
        <w:t xml:space="preserve">, ASI's </w:t>
      </w:r>
      <w:r>
        <w:rPr>
          <w:b/>
          <w:bCs/>
        </w:rPr>
        <w:t xml:space="preserve">PRISMA</w:t>
      </w:r>
      <w:r>
        <w:t xml:space="preserve">, NASA's </w:t>
      </w:r>
      <w:r>
        <w:rPr>
          <w:b/>
          <w:bCs/>
        </w:rPr>
        <w:t xml:space="preserve">EMIT</w:t>
      </w:r>
      <w:r>
        <w:t xml:space="preserve">, ISRO's </w:t>
      </w:r>
      <w:r>
        <w:rPr>
          <w:b/>
          <w:bCs/>
        </w:rPr>
        <w:t xml:space="preserve">HySIS</w:t>
      </w:r>
      <w:r>
        <w:t xml:space="preserve"> — measure each ground pixel in hundreds of narrow spectral bands. That spectral detail is what allows materials, plant condition, water quality, snow and minerals to be told apart, but it also makes the data heavy: a single EnMAP L2A scene used in this project is </w:t>
      </w:r>
      <w:r>
        <w:rPr>
          <w:b/>
          <w:bCs/>
        </w:rPr>
        <w:t xml:space="preserve">686 MB</w:t>
      </w:r>
      <w:r>
        <w:t xml:space="preserve">, </w:t>
      </w:r>
      <w:r>
        <w:rPr>
          <w:b/>
          <w:bCs/>
        </w:rPr>
        <w:t xml:space="preserve">1259 × 1216 pixels × 224 bands</w:t>
      </w:r>
      <w:r>
        <w:t xml:space="preserve">, about </w:t>
      </w:r>
      <w:r>
        <w:rPr>
          <w:b/>
          <w:bCs/>
        </w:rPr>
        <w:t xml:space="preserve">240 million reflectance values</w:t>
      </w:r>
      <w:r>
        <w:t xml:space="preserve"> for its 1.07 million valid pixels. Archives grow by many scenes per day.</w:t>
      </w:r>
    </w:p>
    <w:p>
      <w:r>
        <w:t xml:space="preserve">The people who need these data most — agronomists, foresters, hydrologists, planners, students — mostly work in desktop GIS. Between them and the data stand four practical barriers:</w:t>
      </w:r>
    </w:p>
    <w:p>
      <w:pPr>
        <w:keepNext/>
        <w:spacing w:after="80" w:before="160"/>
      </w:pPr>
      <w:r>
        <w:rPr>
          <w:b/>
          <w:bCs/>
          <w:color w:val="52514E"/>
          <w:sz w:val="18"/>
          <w:szCs w:val="18"/>
        </w:rPr>
        <w:t xml:space="preserve">Table 3.</w:t>
      </w:r>
      <w:r>
        <w:rPr>
          <w:color w:val="52514E"/>
          <w:sz w:val="18"/>
          <w:szCs w:val="18"/>
        </w:rPr>
        <w:t xml:space="preserve"> Barriers between GIS users and hyperspectral data.</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4819"/>
        <w:gridCol w:w="4819"/>
      </w:tblGrid>
      <w:tr>
        <w:trPr>
          <w:cantSplit/>
          <w:tblHeader/>
        </w:trPr>
        <w:tc>
          <w:tcPr>
            <w:tcW w:type="dxa" w:w="481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Barrier</w:t>
            </w:r>
          </w:p>
        </w:tc>
        <w:tc>
          <w:tcPr>
            <w:tcW w:type="dxa" w:w="481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Consequence</w:t>
            </w:r>
          </w:p>
        </w:tc>
      </w:tr>
      <w:tr>
        <w:trPr>
          <w:cantSplit/>
        </w:trPr>
        <w:tc>
          <w:tcPr>
            <w:tcW w:type="dxa" w:w="4819"/>
            <w:tcMar>
              <w:top w:type="dxa" w:w="60"/>
              <w:left w:type="dxa" w:w="90"/>
              <w:bottom w:type="dxa" w:w="60"/>
              <w:right w:type="dxa" w:w="90"/>
            </w:tcMar>
            <w:vAlign w:val="center"/>
          </w:tcPr>
          <w:p>
            <w:pPr>
              <w:spacing w:after="20" w:line="250"/>
            </w:pPr>
            <w:r>
              <w:rPr>
                <w:sz w:val="18"/>
                <w:szCs w:val="18"/>
              </w:rPr>
              <w:t xml:space="preserve">Memory-bound desktop tools.</w:t>
            </w:r>
            <w:r>
              <w:rPr>
                <w:sz w:val="18"/>
                <w:szCs w:val="18"/>
              </w:rPr>
              <w:t xml:space="preserve"> Many open-source hyperspectral tools process scenes with in-memory Python/NumPy arrays.</w:t>
            </w:r>
          </w:p>
        </w:tc>
        <w:tc>
          <w:tcPr>
            <w:tcW w:type="dxa" w:w="4819"/>
            <w:tcMar>
              <w:top w:type="dxa" w:w="60"/>
              <w:left w:type="dxa" w:w="90"/>
              <w:bottom w:type="dxa" w:w="60"/>
              <w:right w:type="dxa" w:w="90"/>
            </w:tcMar>
            <w:vAlign w:val="center"/>
          </w:tcPr>
          <w:p>
            <w:pPr>
              <w:spacing w:after="20" w:line="250"/>
            </w:pPr>
            <w:r>
              <w:rPr>
                <w:sz w:val="18"/>
                <w:szCs w:val="18"/>
              </w:rPr>
              <w:t xml:space="preserve">Full scenes, or several scenes, exhaust the memory of ordinary laptops; users crop or subsample.</w:t>
            </w:r>
          </w:p>
        </w:tc>
      </w:tr>
      <w:tr>
        <w:trPr>
          <w:cantSplit/>
        </w:trPr>
        <w:tc>
          <w:tcPr>
            <w:tcW w:type="dxa" w:w="4819"/>
            <w:shd w:fill="F3F6FA" w:color="auto" w:val="clear"/>
            <w:tcMar>
              <w:top w:type="dxa" w:w="60"/>
              <w:left w:type="dxa" w:w="90"/>
              <w:bottom w:type="dxa" w:w="60"/>
              <w:right w:type="dxa" w:w="90"/>
            </w:tcMar>
            <w:vAlign w:val="center"/>
          </w:tcPr>
          <w:p>
            <w:pPr>
              <w:spacing w:after="20" w:line="250"/>
            </w:pPr>
            <w:r>
              <w:rPr>
                <w:sz w:val="18"/>
                <w:szCs w:val="18"/>
              </w:rPr>
              <w:t xml:space="preserve">GPU acceleration tied to one vendor or licence.</w:t>
            </w:r>
            <w:r>
              <w:rPr>
                <w:sz w:val="18"/>
                <w:szCs w:val="18"/>
              </w:rPr>
              <w:t xml:space="preserve"> GPU-accelerated hyperspectral processing exists mainly in commercial software and NVIDIA/CUDA-only tools.</w:t>
            </w:r>
          </w:p>
        </w:tc>
        <w:tc>
          <w:tcPr>
            <w:tcW w:type="dxa" w:w="4819"/>
            <w:shd w:fill="F3F6FA" w:color="auto" w:val="clear"/>
            <w:tcMar>
              <w:top w:type="dxa" w:w="60"/>
              <w:left w:type="dxa" w:w="90"/>
              <w:bottom w:type="dxa" w:w="60"/>
              <w:right w:type="dxa" w:w="90"/>
            </w:tcMar>
            <w:vAlign w:val="center"/>
          </w:tcPr>
          <w:p>
            <w:pPr>
              <w:spacing w:after="20" w:line="250"/>
            </w:pPr>
            <w:r>
              <w:rPr>
                <w:sz w:val="18"/>
                <w:szCs w:val="18"/>
              </w:rPr>
              <w:t xml:space="preserve">Apple-silicon, AMD and Intel machines — common in universities — get no GPU path at all.</w:t>
            </w:r>
          </w:p>
        </w:tc>
      </w:tr>
      <w:tr>
        <w:trPr>
          <w:cantSplit/>
        </w:trPr>
        <w:tc>
          <w:tcPr>
            <w:tcW w:type="dxa" w:w="4819"/>
            <w:tcMar>
              <w:top w:type="dxa" w:w="60"/>
              <w:left w:type="dxa" w:w="90"/>
              <w:bottom w:type="dxa" w:w="60"/>
              <w:right w:type="dxa" w:w="90"/>
            </w:tcMar>
            <w:vAlign w:val="center"/>
          </w:tcPr>
          <w:p>
            <w:pPr>
              <w:spacing w:after="20" w:line="250"/>
            </w:pPr>
            <w:r>
              <w:rPr>
                <w:sz w:val="18"/>
                <w:szCs w:val="18"/>
              </w:rPr>
              <w:t xml:space="preserve">Big-data analytics live outside GIS.</w:t>
            </w:r>
            <w:r>
              <w:rPr>
                <w:sz w:val="18"/>
                <w:szCs w:val="18"/>
              </w:rPr>
              <w:t xml:space="preserve"> Distributed engines such as Apache Spark require programming, clusters and data engineering.</w:t>
            </w:r>
          </w:p>
        </w:tc>
        <w:tc>
          <w:tcPr>
            <w:tcW w:type="dxa" w:w="4819"/>
            <w:tcMar>
              <w:top w:type="dxa" w:w="60"/>
              <w:left w:type="dxa" w:w="90"/>
              <w:bottom w:type="dxa" w:w="60"/>
              <w:right w:type="dxa" w:w="90"/>
            </w:tcMar>
            <w:vAlign w:val="center"/>
          </w:tcPr>
          <w:p>
            <w:pPr>
              <w:spacing w:after="20" w:line="250"/>
            </w:pPr>
            <w:r>
              <w:rPr>
                <w:sz w:val="18"/>
                <w:szCs w:val="18"/>
              </w:rPr>
              <w:t xml:space="preserve">Spatial SQL over pixels, joins with field boundaries and scalable statistics are out of reach from the GIS interface.</w:t>
            </w:r>
          </w:p>
        </w:tc>
      </w:tr>
      <w:tr>
        <w:trPr>
          <w:cantSplit/>
        </w:trPr>
        <w:tc>
          <w:tcPr>
            <w:tcW w:type="dxa" w:w="4819"/>
            <w:shd w:fill="F3F6FA" w:color="auto" w:val="clear"/>
            <w:tcMar>
              <w:top w:type="dxa" w:w="60"/>
              <w:left w:type="dxa" w:w="90"/>
              <w:bottom w:type="dxa" w:w="60"/>
              <w:right w:type="dxa" w:w="90"/>
            </w:tcMar>
            <w:vAlign w:val="center"/>
          </w:tcPr>
          <w:p>
            <w:pPr>
              <w:spacing w:after="20" w:line="250"/>
            </w:pPr>
            <w:r>
              <w:rPr>
                <w:sz w:val="18"/>
                <w:szCs w:val="18"/>
              </w:rPr>
              <w:t xml:space="preserve">Machine learning needs labels and code.</w:t>
            </w:r>
            <w:r>
              <w:rPr>
                <w:sz w:val="18"/>
                <w:szCs w:val="18"/>
              </w:rPr>
              <w:t xml:space="preserve"> Supervised classifiers need training data and scripting.</w:t>
            </w:r>
          </w:p>
        </w:tc>
        <w:tc>
          <w:tcPr>
            <w:tcW w:type="dxa" w:w="4819"/>
            <w:shd w:fill="F3F6FA" w:color="auto" w:val="clear"/>
            <w:tcMar>
              <w:top w:type="dxa" w:w="60"/>
              <w:left w:type="dxa" w:w="90"/>
              <w:bottom w:type="dxa" w:w="60"/>
              <w:right w:type="dxa" w:w="90"/>
            </w:tcMar>
            <w:vAlign w:val="center"/>
          </w:tcPr>
          <w:p>
            <w:pPr>
              <w:spacing w:after="20" w:line="250"/>
            </w:pPr>
            <w:r>
              <w:rPr>
                <w:sz w:val="18"/>
                <w:szCs w:val="18"/>
              </w:rPr>
              <w:t xml:space="preserve">Many users never get beyond single indices such as NDVI.</w:t>
            </w:r>
          </w:p>
        </w:tc>
      </w:tr>
    </w:tbl>
    <w:p>
      <w:pPr>
        <w:spacing w:after="120"/>
      </w:pPr>
    </w:p>
    <w:p>
      <w:pPr>
        <w:pStyle w:val="Heading2"/>
      </w:pPr>
      <w:bookmarkStart w:name="_Toc4" w:id="4"/>
      <w:r>
        <w:t xml:space="preserve">2.2 Motivation</w:t>
      </w:r>
      <w:bookmarkEnd w:id="4"/>
    </w:p>
    <w:p>
      <w:pPr>
        <w:pStyle w:val="ListParagraph"/>
        <w:numPr>
          <w:ilvl w:val="0"/>
          <w:numId w:val="2"/>
        </w:numPr>
        <w:spacing w:after="60"/>
      </w:pPr>
      <w:r>
        <w:rPr>
          <w:b/>
          <w:bCs/>
        </w:rPr>
        <w:t xml:space="preserve">Local-first.</w:t>
      </w:r>
      <w:r>
        <w:t xml:space="preserve"> Processing on the user's own machine avoids cloud costs, upload of large files and data-sovereignty questions, and works in teaching labs and in the field without connectivity.</w:t>
      </w:r>
    </w:p>
    <w:p>
      <w:pPr>
        <w:pStyle w:val="ListParagraph"/>
        <w:numPr>
          <w:ilvl w:val="0"/>
          <w:numId w:val="2"/>
        </w:numPr>
        <w:spacing w:after="60"/>
      </w:pPr>
      <w:r>
        <w:rPr>
          <w:b/>
          <w:bCs/>
        </w:rPr>
        <w:t xml:space="preserve">Use the hardware people already have.</w:t>
      </w:r>
      <w:r>
        <w:t xml:space="preserve"> Modern laptops have 8–12 CPU cores and an integrated GPU; a tile-parallel engine can use all of them while keeping memory bounded.</w:t>
      </w:r>
    </w:p>
    <w:p>
      <w:pPr>
        <w:pStyle w:val="ListParagraph"/>
        <w:numPr>
          <w:ilvl w:val="0"/>
          <w:numId w:val="2"/>
        </w:numPr>
        <w:spacing w:after="60"/>
      </w:pPr>
      <w:r>
        <w:rPr>
          <w:b/>
          <w:bCs/>
        </w:rPr>
        <w:t xml:space="preserve">Bring distributed analytics and machine learning to the GIS user.</w:t>
      </w:r>
      <w:r>
        <w:t xml:space="preserve"> Apache Sedona adds spatial SQL to Spark, and Spark MLlib adds scalable machine learning; wrapping them in QGIS dialogs removes the programming barrier.</w:t>
      </w:r>
    </w:p>
    <w:p>
      <w:pPr>
        <w:pStyle w:val="ListParagraph"/>
        <w:numPr>
          <w:ilvl w:val="0"/>
          <w:numId w:val="2"/>
        </w:numPr>
        <w:spacing w:after="60"/>
      </w:pPr>
      <w:r>
        <w:rPr>
          <w:b/>
          <w:bCs/>
        </w:rPr>
        <w:t xml:space="preserve">Trustworthy results.</w:t>
      </w:r>
      <w:r>
        <w:t xml:space="preserve"> Every number should be checkable: the project validates its outputs against independent computations and against the quality masks DLR delivers with each scene.</w:t>
      </w:r>
    </w:p>
    <w:p>
      <w:pPr>
        <w:pStyle w:val="Heading2"/>
      </w:pPr>
      <w:bookmarkStart w:name="_Toc5" w:id="5"/>
      <w:r>
        <w:t xml:space="preserve">2.3 Objectives</w:t>
      </w:r>
      <w:bookmarkEnd w:id="5"/>
    </w:p>
    <w:p>
      <w:pPr>
        <w:pStyle w:val="ListParagraph"/>
        <w:numPr>
          <w:ilvl w:val="0"/>
          <w:numId w:val="3"/>
        </w:numPr>
        <w:spacing w:after="60"/>
      </w:pPr>
      <w:r>
        <w:t xml:space="preserve">Process a complete hyperspectral scene on a laptop in seconds, with memory that does not grow with scene size.</w:t>
      </w:r>
    </w:p>
    <w:p>
      <w:pPr>
        <w:pStyle w:val="ListParagraph"/>
        <w:numPr>
          <w:ilvl w:val="0"/>
          <w:numId w:val="3"/>
        </w:numPr>
        <w:spacing w:after="60"/>
      </w:pPr>
      <w:r>
        <w:t xml:space="preserve">Offer a GPU backend that runs on any vendor's GPU and gives the same results as the CPU.</w:t>
      </w:r>
    </w:p>
    <w:p>
      <w:pPr>
        <w:pStyle w:val="ListParagraph"/>
        <w:numPr>
          <w:ilvl w:val="0"/>
          <w:numId w:val="3"/>
        </w:numPr>
        <w:spacing w:after="60"/>
      </w:pPr>
      <w:r>
        <w:t xml:space="preserve">Bring distributed, per-pixel spatial analytics (Apache Sedona on Spark) into QGIS.</w:t>
      </w:r>
    </w:p>
    <w:p>
      <w:pPr>
        <w:pStyle w:val="ListParagraph"/>
        <w:numPr>
          <w:ilvl w:val="0"/>
          <w:numId w:val="3"/>
        </w:numPr>
        <w:spacing w:after="60"/>
      </w:pPr>
      <w:r>
        <w:t xml:space="preserve">Produce a land-cover map with machine learning, without requiring training labels.</w:t>
      </w:r>
    </w:p>
    <w:p>
      <w:pPr>
        <w:pStyle w:val="ListParagraph"/>
        <w:numPr>
          <w:ilvl w:val="0"/>
          <w:numId w:val="3"/>
        </w:numPr>
        <w:spacing w:after="60"/>
      </w:pPr>
      <w:r>
        <w:t xml:space="preserve">Keep QGIS fully responsive while any job runs.</w:t>
      </w:r>
    </w:p>
    <w:p>
      <w:pPr>
        <w:pStyle w:val="ListParagraph"/>
        <w:numPr>
          <w:ilvl w:val="0"/>
          <w:numId w:val="3"/>
        </w:numPr>
        <w:spacing w:after="60"/>
      </w:pPr>
      <w:r>
        <w:t xml:space="preserve">Validate every result against independent references.</w:t>
      </w:r>
    </w:p>
    <w:p>
      <w:pPr>
        <w:pStyle w:val="Heading1"/>
      </w:pPr>
      <w:bookmarkStart w:name="_Toc6" w:id="6"/>
      <w:r>
        <w:t xml:space="preserve">3. Data and geospatial layers</w:t>
      </w:r>
      <w:bookmarkEnd w:id="6"/>
    </w:p>
    <w:p>
      <w:pPr>
        <w:pStyle w:val="Heading2"/>
      </w:pPr>
      <w:bookmarkStart w:name="_Toc7" w:id="7"/>
      <w:r>
        <w:t xml:space="preserve">3.1 Primary dataset: an EnMAP L2A scene</w:t>
      </w:r>
      <w:bookmarkEnd w:id="7"/>
    </w:p>
    <w:p>
      <w:r>
        <w:t xml:space="preserve">The study scene is an EnMAP Level-2A (atmospherically corrected surface reflectance) product over the </w:t>
      </w:r>
      <w:r>
        <w:rPr>
          <w:b/>
          <w:bCs/>
        </w:rPr>
        <w:t xml:space="preserve">Tyrolean Alps, Austria</w:t>
      </w:r>
      <w:r>
        <w:t xml:space="preserve">: valleys with forest and meadows, high mountains with glaciers and snow, and alpine lakes — a demanding mix of illumination, terrain shadow and surface types.</w:t>
      </w:r>
    </w:p>
    <w:p>
      <w:pPr>
        <w:keepNext/>
        <w:spacing w:after="80" w:before="160"/>
      </w:pPr>
      <w:r>
        <w:rPr>
          <w:b/>
          <w:bCs/>
          <w:color w:val="52514E"/>
          <w:sz w:val="18"/>
          <w:szCs w:val="18"/>
        </w:rPr>
        <w:t xml:space="preserve">Table 4.</w:t>
      </w:r>
      <w:r>
        <w:rPr>
          <w:color w:val="52514E"/>
          <w:sz w:val="18"/>
          <w:szCs w:val="18"/>
        </w:rPr>
        <w:t xml:space="preserve"> The EnMAP study scene.</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108"/>
        <w:gridCol w:w="7530"/>
      </w:tblGrid>
      <w:tr>
        <w:trPr>
          <w:cantSplit/>
          <w:tblHeader/>
        </w:trPr>
        <w:tc>
          <w:tcPr>
            <w:tcW w:type="dxa" w:w="210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Property</w:t>
            </w:r>
          </w:p>
        </w:tc>
        <w:tc>
          <w:tcPr>
            <w:tcW w:type="dxa" w:w="7530"/>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Value</w:t>
            </w:r>
          </w:p>
        </w:tc>
      </w:tr>
      <w:tr>
        <w:trPr>
          <w:cantSplit/>
        </w:trPr>
        <w:tc>
          <w:tcPr>
            <w:tcW w:type="dxa" w:w="2108"/>
            <w:tcMar>
              <w:top w:type="dxa" w:w="60"/>
              <w:left w:type="dxa" w:w="90"/>
              <w:bottom w:type="dxa" w:w="60"/>
              <w:right w:type="dxa" w:w="90"/>
            </w:tcMar>
            <w:vAlign w:val="center"/>
          </w:tcPr>
          <w:p>
            <w:pPr>
              <w:spacing w:after="20" w:line="250"/>
            </w:pPr>
            <w:r>
              <w:rPr>
                <w:sz w:val="18"/>
                <w:szCs w:val="18"/>
              </w:rPr>
              <w:t xml:space="preserve">Product</w:t>
            </w:r>
          </w:p>
        </w:tc>
        <w:tc>
          <w:tcPr>
            <w:tcW w:type="dxa" w:w="7530"/>
            <w:tcMar>
              <w:top w:type="dxa" w:w="60"/>
              <w:left w:type="dxa" w:w="90"/>
              <w:bottom w:type="dxa" w:w="60"/>
              <w:right w:type="dxa" w:w="90"/>
            </w:tcMar>
            <w:vAlign w:val="center"/>
          </w:tcPr>
          <w:p>
            <w:pPr>
              <w:spacing w:after="20" w:line="250"/>
            </w:pPr>
            <w:r>
              <w:rPr>
                <w:sz w:val="18"/>
                <w:szCs w:val="18"/>
              </w:rPr>
              <w:t xml:space="preserve">EnMAP L2A, tile DT0000001049, processor version 01.05.06</w:t>
            </w:r>
          </w:p>
        </w:tc>
      </w:tr>
      <w:tr>
        <w:trPr>
          <w:cantSplit/>
        </w:trPr>
        <w:tc>
          <w:tcPr>
            <w:tcW w:type="dxa" w:w="2108"/>
            <w:shd w:fill="F3F6FA" w:color="auto" w:val="clear"/>
            <w:tcMar>
              <w:top w:type="dxa" w:w="60"/>
              <w:left w:type="dxa" w:w="90"/>
              <w:bottom w:type="dxa" w:w="60"/>
              <w:right w:type="dxa" w:w="90"/>
            </w:tcMar>
            <w:vAlign w:val="center"/>
          </w:tcPr>
          <w:p>
            <w:pPr>
              <w:spacing w:after="20" w:line="250"/>
            </w:pPr>
            <w:r>
              <w:rPr>
                <w:sz w:val="18"/>
                <w:szCs w:val="18"/>
              </w:rPr>
              <w:t xml:space="preserve">Acquisition</w:t>
            </w:r>
          </w:p>
        </w:tc>
        <w:tc>
          <w:tcPr>
            <w:tcW w:type="dxa" w:w="7530"/>
            <w:shd w:fill="F3F6FA" w:color="auto" w:val="clear"/>
            <w:tcMar>
              <w:top w:type="dxa" w:w="60"/>
              <w:left w:type="dxa" w:w="90"/>
              <w:bottom w:type="dxa" w:w="60"/>
              <w:right w:type="dxa" w:w="90"/>
            </w:tcMar>
            <w:vAlign w:val="center"/>
          </w:tcPr>
          <w:p>
            <w:pPr>
              <w:spacing w:after="20" w:line="250"/>
            </w:pPr>
            <w:r>
              <w:rPr>
                <w:sz w:val="18"/>
                <w:szCs w:val="18"/>
              </w:rPr>
              <w:t xml:space="preserve">12 June 2022, 10:57 UTC</w:t>
            </w:r>
          </w:p>
        </w:tc>
      </w:tr>
      <w:tr>
        <w:trPr>
          <w:cantSplit/>
        </w:trPr>
        <w:tc>
          <w:tcPr>
            <w:tcW w:type="dxa" w:w="2108"/>
            <w:tcMar>
              <w:top w:type="dxa" w:w="60"/>
              <w:left w:type="dxa" w:w="90"/>
              <w:bottom w:type="dxa" w:w="60"/>
              <w:right w:type="dxa" w:w="90"/>
            </w:tcMar>
            <w:vAlign w:val="center"/>
          </w:tcPr>
          <w:p>
            <w:pPr>
              <w:spacing w:after="20" w:line="250"/>
            </w:pPr>
            <w:r>
              <w:rPr>
                <w:sz w:val="18"/>
                <w:szCs w:val="18"/>
              </w:rPr>
              <w:t xml:space="preserve">Location</w:t>
            </w:r>
          </w:p>
        </w:tc>
        <w:tc>
          <w:tcPr>
            <w:tcW w:type="dxa" w:w="7530"/>
            <w:tcMar>
              <w:top w:type="dxa" w:w="60"/>
              <w:left w:type="dxa" w:w="90"/>
              <w:bottom w:type="dxa" w:w="60"/>
              <w:right w:type="dxa" w:w="90"/>
            </w:tcMar>
            <w:vAlign w:val="center"/>
          </w:tcPr>
          <w:p>
            <w:pPr>
              <w:spacing w:after="20" w:line="250"/>
            </w:pPr>
            <w:r>
              <w:rPr>
                <w:sz w:val="18"/>
                <w:szCs w:val="18"/>
              </w:rPr>
              <w:t xml:space="preserve">Centre 47.09° N, 10.81° E (Tyrol, Austria)</w:t>
            </w:r>
          </w:p>
        </w:tc>
      </w:tr>
      <w:tr>
        <w:trPr>
          <w:cantSplit/>
        </w:trPr>
        <w:tc>
          <w:tcPr>
            <w:tcW w:type="dxa" w:w="2108"/>
            <w:shd w:fill="F3F6FA" w:color="auto" w:val="clear"/>
            <w:tcMar>
              <w:top w:type="dxa" w:w="60"/>
              <w:left w:type="dxa" w:w="90"/>
              <w:bottom w:type="dxa" w:w="60"/>
              <w:right w:type="dxa" w:w="90"/>
            </w:tcMar>
            <w:vAlign w:val="center"/>
          </w:tcPr>
          <w:p>
            <w:pPr>
              <w:spacing w:after="20" w:line="250"/>
            </w:pPr>
            <w:r>
              <w:rPr>
                <w:sz w:val="18"/>
                <w:szCs w:val="18"/>
              </w:rPr>
              <w:t xml:space="preserve">Grid</w:t>
            </w:r>
          </w:p>
        </w:tc>
        <w:tc>
          <w:tcPr>
            <w:tcW w:type="dxa" w:w="7530"/>
            <w:shd w:fill="F3F6FA" w:color="auto" w:val="clear"/>
            <w:tcMar>
              <w:top w:type="dxa" w:w="60"/>
              <w:left w:type="dxa" w:w="90"/>
              <w:bottom w:type="dxa" w:w="60"/>
              <w:right w:type="dxa" w:w="90"/>
            </w:tcMar>
            <w:vAlign w:val="center"/>
          </w:tcPr>
          <w:p>
            <w:pPr>
              <w:spacing w:after="20" w:line="250"/>
            </w:pPr>
            <w:r>
              <w:rPr>
                <w:sz w:val="18"/>
                <w:szCs w:val="18"/>
              </w:rPr>
              <w:t xml:space="preserve">1259 × 1216 pixels at 30 m (≈ 37.8 × 36.5 km), UTM zone 32N (EPSG:32632)</w:t>
            </w:r>
          </w:p>
        </w:tc>
      </w:tr>
      <w:tr>
        <w:trPr>
          <w:cantSplit/>
        </w:trPr>
        <w:tc>
          <w:tcPr>
            <w:tcW w:type="dxa" w:w="2108"/>
            <w:tcMar>
              <w:top w:type="dxa" w:w="60"/>
              <w:left w:type="dxa" w:w="90"/>
              <w:bottom w:type="dxa" w:w="60"/>
              <w:right w:type="dxa" w:w="90"/>
            </w:tcMar>
            <w:vAlign w:val="center"/>
          </w:tcPr>
          <w:p>
            <w:pPr>
              <w:spacing w:after="20" w:line="250"/>
            </w:pPr>
            <w:r>
              <w:rPr>
                <w:sz w:val="18"/>
                <w:szCs w:val="18"/>
              </w:rPr>
              <w:t xml:space="preserve">Spectral bands</w:t>
            </w:r>
          </w:p>
        </w:tc>
        <w:tc>
          <w:tcPr>
            <w:tcW w:type="dxa" w:w="7530"/>
            <w:tcMar>
              <w:top w:type="dxa" w:w="60"/>
              <w:left w:type="dxa" w:w="90"/>
              <w:bottom w:type="dxa" w:w="60"/>
              <w:right w:type="dxa" w:w="90"/>
            </w:tcMar>
            <w:vAlign w:val="center"/>
          </w:tcPr>
          <w:p>
            <w:pPr>
              <w:spacing w:after="20" w:line="250"/>
            </w:pPr>
            <w:r>
              <w:rPr>
                <w:sz w:val="18"/>
                <w:szCs w:val="18"/>
              </w:rPr>
              <w:t xml:space="preserve">224, from 418.2 nm to 2445.5 nm (VNIR + SWIR); no bands in the 1391–1461 nm and 1760–1940 nm water-vapour absorption gaps</w:t>
            </w:r>
          </w:p>
        </w:tc>
      </w:tr>
      <w:tr>
        <w:trPr>
          <w:cantSplit/>
        </w:trPr>
        <w:tc>
          <w:tcPr>
            <w:tcW w:type="dxa" w:w="2108"/>
            <w:shd w:fill="F3F6FA" w:color="auto" w:val="clear"/>
            <w:tcMar>
              <w:top w:type="dxa" w:w="60"/>
              <w:left w:type="dxa" w:w="90"/>
              <w:bottom w:type="dxa" w:w="60"/>
              <w:right w:type="dxa" w:w="90"/>
            </w:tcMar>
            <w:vAlign w:val="center"/>
          </w:tcPr>
          <w:p>
            <w:pPr>
              <w:spacing w:after="20" w:line="250"/>
            </w:pPr>
            <w:r>
              <w:rPr>
                <w:sz w:val="18"/>
                <w:szCs w:val="18"/>
              </w:rPr>
              <w:t xml:space="preserve">Encoding</w:t>
            </w:r>
          </w:p>
        </w:tc>
        <w:tc>
          <w:tcPr>
            <w:tcW w:type="dxa" w:w="7530"/>
            <w:shd w:fill="F3F6FA" w:color="auto" w:val="clear"/>
            <w:tcMar>
              <w:top w:type="dxa" w:w="60"/>
              <w:left w:type="dxa" w:w="90"/>
              <w:bottom w:type="dxa" w:w="60"/>
              <w:right w:type="dxa" w:w="90"/>
            </w:tcMar>
            <w:vAlign w:val="center"/>
          </w:tcPr>
          <w:p>
            <w:pPr>
              <w:spacing w:after="20" w:line="250"/>
            </w:pPr>
            <w:r>
              <w:rPr>
                <w:sz w:val="18"/>
                <w:szCs w:val="18"/>
              </w:rPr>
              <w:t xml:space="preserve">ENVI band-sequential (BSQ), Int16 reflectance × 10,000 (gain 0.0001), no-data −32768; 686 MB</w:t>
            </w:r>
          </w:p>
        </w:tc>
      </w:tr>
      <w:tr>
        <w:trPr>
          <w:cantSplit/>
        </w:trPr>
        <w:tc>
          <w:tcPr>
            <w:tcW w:type="dxa" w:w="2108"/>
            <w:tcMar>
              <w:top w:type="dxa" w:w="60"/>
              <w:left w:type="dxa" w:w="90"/>
              <w:bottom w:type="dxa" w:w="60"/>
              <w:right w:type="dxa" w:w="90"/>
            </w:tcMar>
            <w:vAlign w:val="center"/>
          </w:tcPr>
          <w:p>
            <w:pPr>
              <w:spacing w:after="20" w:line="250"/>
            </w:pPr>
            <w:r>
              <w:rPr>
                <w:sz w:val="18"/>
                <w:szCs w:val="18"/>
              </w:rPr>
              <w:t xml:space="preserve">Valid pixels</w:t>
            </w:r>
          </w:p>
        </w:tc>
        <w:tc>
          <w:tcPr>
            <w:tcW w:type="dxa" w:w="7530"/>
            <w:tcMar>
              <w:top w:type="dxa" w:w="60"/>
              <w:left w:type="dxa" w:w="90"/>
              <w:bottom w:type="dxa" w:w="60"/>
              <w:right w:type="dxa" w:w="90"/>
            </w:tcMar>
            <w:vAlign w:val="center"/>
          </w:tcPr>
          <w:p>
            <w:pPr>
              <w:spacing w:after="20" w:line="250"/>
            </w:pPr>
            <w:r>
              <w:rPr>
                <w:sz w:val="18"/>
                <w:szCs w:val="18"/>
              </w:rPr>
              <w:t xml:space="preserve">1,069,499 (the remaining 461,445 are background outside the rotated footprint)</w:t>
            </w:r>
          </w:p>
        </w:tc>
      </w:tr>
      <w:tr>
        <w:trPr>
          <w:cantSplit/>
        </w:trPr>
        <w:tc>
          <w:tcPr>
            <w:tcW w:type="dxa" w:w="2108"/>
            <w:shd w:fill="F3F6FA" w:color="auto" w:val="clear"/>
            <w:tcMar>
              <w:top w:type="dxa" w:w="60"/>
              <w:left w:type="dxa" w:w="90"/>
              <w:bottom w:type="dxa" w:w="60"/>
              <w:right w:type="dxa" w:w="90"/>
            </w:tcMar>
            <w:vAlign w:val="center"/>
          </w:tcPr>
          <w:p>
            <w:pPr>
              <w:spacing w:after="20" w:line="250"/>
            </w:pPr>
            <w:r>
              <w:rPr>
                <w:sz w:val="18"/>
                <w:szCs w:val="18"/>
              </w:rPr>
              <w:t xml:space="preserve">Source</w:t>
            </w:r>
          </w:p>
        </w:tc>
        <w:tc>
          <w:tcPr>
            <w:tcW w:type="dxa" w:w="7530"/>
            <w:shd w:fill="F3F6FA" w:color="auto" w:val="clear"/>
            <w:tcMar>
              <w:top w:type="dxa" w:w="60"/>
              <w:left w:type="dxa" w:w="90"/>
              <w:bottom w:type="dxa" w:w="60"/>
              <w:right w:type="dxa" w:w="90"/>
            </w:tcMar>
            <w:vAlign w:val="center"/>
          </w:tcPr>
          <w:p>
            <w:pPr>
              <w:spacing w:after="20" w:line="250"/>
            </w:pPr>
            <w:r>
              <w:rPr>
                <w:sz w:val="18"/>
                <w:szCs w:val="18"/>
              </w:rPr>
              <w:t xml:space="preserve">DLR EnMAP data portal; use is subject to DLR's EnMAP data licence and acknowledgement requirements</w:t>
            </w:r>
          </w:p>
        </w:tc>
      </w:tr>
    </w:tbl>
    <w:p>
      <w:pPr>
        <w:spacing w:after="120"/>
      </w:pPr>
    </w:p>
    <w:p>
      <w:pPr>
        <w:keepNext/>
        <w:spacing w:after="60" w:before="120"/>
        <w:jc w:val="center"/>
      </w:pPr>
      <w:r>
        <w:drawing>
          <wp:inline distT="0" distB="0" distL="0" distR="0">
            <wp:extent cx="5019675" cy="4772025"/>
            <wp:effectExtent t="0" r="0" b="0" l="0"/>
            <wp:docPr id="1" name="map_truecolor.png" descr="True-colour view of the study scene (EnMAP bands 47 / 30 / 14)." title="True-colour view of the study scene (EnMAP bands 47 / 30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19675" cy="4772025"/>
                    </a:xfrm>
                    <a:prstGeom prst="rect">
                      <a:avLst/>
                    </a:prstGeom>
                  </pic:spPr>
                </pic:pic>
              </a:graphicData>
            </a:graphic>
          </wp:inline>
        </w:drawing>
      </w:r>
    </w:p>
    <w:p>
      <w:pPr>
        <w:spacing w:after="200"/>
      </w:pPr>
      <w:r>
        <w:rPr>
          <w:b/>
          <w:bCs/>
          <w:color w:val="52514E"/>
          <w:sz w:val="18"/>
          <w:szCs w:val="18"/>
        </w:rPr>
        <w:t xml:space="preserve">Figure 1.</w:t>
      </w:r>
      <w:r>
        <w:rPr>
          <w:color w:val="52514E"/>
          <w:sz w:val="18"/>
          <w:szCs w:val="18"/>
        </w:rPr>
        <w:t xml:space="preserve"> True-colour view of the study scene (EnMAP bands 47 / 30 / 14).</w:t>
      </w:r>
    </w:p>
    <w:p>
      <w:pPr>
        <w:pStyle w:val="Heading2"/>
      </w:pPr>
      <w:bookmarkStart w:name="_Toc8" w:id="8"/>
      <w:r>
        <w:t xml:space="preserve">3.2 Layers used and produced</w:t>
      </w:r>
      <w:bookmarkEnd w:id="8"/>
    </w:p>
    <w:p>
      <w:r>
        <w:t xml:space="preserve">The project uses spatial layers (rasters and vectors) and non-spatial data (metadata and tables). Table 5 lists every layer, its source and how it is used.</w:t>
      </w:r>
    </w:p>
    <w:p>
      <w:pPr>
        <w:keepNext/>
        <w:spacing w:after="80" w:before="160"/>
      </w:pPr>
      <w:r>
        <w:rPr>
          <w:b/>
          <w:bCs/>
          <w:color w:val="52514E"/>
          <w:sz w:val="18"/>
          <w:szCs w:val="18"/>
        </w:rPr>
        <w:t xml:space="preserve">Table 5.</w:t>
      </w:r>
      <w:r>
        <w:rPr>
          <w:color w:val="52514E"/>
          <w:sz w:val="18"/>
          <w:szCs w:val="18"/>
        </w:rPr>
        <w:t xml:space="preserve"> Spatial and non-spatial data used and produced by the project.</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155"/>
        <w:gridCol w:w="1268"/>
        <w:gridCol w:w="1268"/>
        <w:gridCol w:w="1648"/>
        <w:gridCol w:w="1394"/>
        <w:gridCol w:w="1905"/>
      </w:tblGrid>
      <w:tr>
        <w:trPr>
          <w:cantSplit/>
          <w:tblHeader/>
        </w:trPr>
        <w:tc>
          <w:tcPr>
            <w:tcW w:type="dxa" w:w="2155"/>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Layer</w:t>
            </w:r>
          </w:p>
        </w:tc>
        <w:tc>
          <w:tcPr>
            <w:tcW w:type="dxa" w:w="126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Type</w:t>
            </w:r>
          </w:p>
        </w:tc>
        <w:tc>
          <w:tcPr>
            <w:tcW w:type="dxa" w:w="126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Format</w:t>
            </w:r>
          </w:p>
        </w:tc>
        <w:tc>
          <w:tcPr>
            <w:tcW w:type="dxa" w:w="164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Source</w:t>
            </w:r>
          </w:p>
        </w:tc>
        <w:tc>
          <w:tcPr>
            <w:tcW w:type="dxa" w:w="1394"/>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Resolution / CRS</w:t>
            </w:r>
          </w:p>
        </w:tc>
        <w:tc>
          <w:tcPr>
            <w:tcW w:type="dxa" w:w="1905"/>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Intended use</w:t>
            </w:r>
          </w:p>
        </w:tc>
      </w:tr>
      <w:tr>
        <w:trPr>
          <w:cantSplit/>
        </w:trPr>
        <w:tc>
          <w:tcPr>
            <w:tcW w:type="dxa" w:w="2155"/>
            <w:tcMar>
              <w:top w:type="dxa" w:w="60"/>
              <w:left w:type="dxa" w:w="90"/>
              <w:bottom w:type="dxa" w:w="60"/>
              <w:right w:type="dxa" w:w="90"/>
            </w:tcMar>
            <w:vAlign w:val="center"/>
          </w:tcPr>
          <w:p>
            <w:pPr>
              <w:spacing w:after="20" w:line="250"/>
            </w:pPr>
            <w:r>
              <w:rPr>
                <w:sz w:val="18"/>
                <w:szCs w:val="18"/>
              </w:rPr>
              <w:t xml:space="preserve">Spectral image cube</w:t>
            </w:r>
          </w:p>
        </w:tc>
        <w:tc>
          <w:tcPr>
            <w:tcW w:type="dxa" w:w="1268"/>
            <w:tcMar>
              <w:top w:type="dxa" w:w="60"/>
              <w:left w:type="dxa" w:w="90"/>
              <w:bottom w:type="dxa" w:w="60"/>
              <w:right w:type="dxa" w:w="90"/>
            </w:tcMar>
            <w:vAlign w:val="center"/>
          </w:tcPr>
          <w:p>
            <w:pPr>
              <w:spacing w:after="20" w:line="250"/>
            </w:pPr>
            <w:r>
              <w:rPr>
                <w:sz w:val="18"/>
                <w:szCs w:val="18"/>
              </w:rPr>
              <w:t xml:space="preserve">Raster, spatial</w:t>
            </w:r>
          </w:p>
        </w:tc>
        <w:tc>
          <w:tcPr>
            <w:tcW w:type="dxa" w:w="1268"/>
            <w:tcMar>
              <w:top w:type="dxa" w:w="60"/>
              <w:left w:type="dxa" w:w="90"/>
              <w:bottom w:type="dxa" w:w="60"/>
              <w:right w:type="dxa" w:w="90"/>
            </w:tcMar>
            <w:vAlign w:val="center"/>
          </w:tcPr>
          <w:p>
            <w:pPr>
              <w:spacing w:after="20" w:line="250"/>
            </w:pPr>
            <w:r>
              <w:rPr>
                <w:sz w:val="18"/>
                <w:szCs w:val="18"/>
              </w:rPr>
              <w:t xml:space="preserve">ENVI BSQ + HDR, Int16</w:t>
            </w:r>
          </w:p>
        </w:tc>
        <w:tc>
          <w:tcPr>
            <w:tcW w:type="dxa" w:w="1648"/>
            <w:tcMar>
              <w:top w:type="dxa" w:w="60"/>
              <w:left w:type="dxa" w:w="90"/>
              <w:bottom w:type="dxa" w:w="60"/>
              <w:right w:type="dxa" w:w="90"/>
            </w:tcMar>
            <w:vAlign w:val="center"/>
          </w:tcPr>
          <w:p>
            <w:pPr>
              <w:spacing w:after="20" w:line="250"/>
            </w:pPr>
            <w:r>
              <w:rPr>
                <w:sz w:val="18"/>
                <w:szCs w:val="18"/>
              </w:rPr>
              <w:t xml:space="preserve">DLR EnMAP L2A</w:t>
            </w:r>
          </w:p>
        </w:tc>
        <w:tc>
          <w:tcPr>
            <w:tcW w:type="dxa" w:w="1394"/>
            <w:tcMar>
              <w:top w:type="dxa" w:w="60"/>
              <w:left w:type="dxa" w:w="90"/>
              <w:bottom w:type="dxa" w:w="60"/>
              <w:right w:type="dxa" w:w="90"/>
            </w:tcMar>
            <w:vAlign w:val="center"/>
          </w:tcPr>
          <w:p>
            <w:pPr>
              <w:spacing w:after="20" w:line="250"/>
            </w:pPr>
            <w:r>
              <w:rPr>
                <w:sz w:val="18"/>
                <w:szCs w:val="18"/>
              </w:rPr>
              <w:t xml:space="preserve">30 m, UTM 32N, 224 bands</w:t>
            </w:r>
          </w:p>
        </w:tc>
        <w:tc>
          <w:tcPr>
            <w:tcW w:type="dxa" w:w="1905"/>
            <w:tcMar>
              <w:top w:type="dxa" w:w="60"/>
              <w:left w:type="dxa" w:w="90"/>
              <w:bottom w:type="dxa" w:w="60"/>
              <w:right w:type="dxa" w:w="90"/>
            </w:tcMar>
            <w:vAlign w:val="center"/>
          </w:tcPr>
          <w:p>
            <w:pPr>
              <w:spacing w:after="20" w:line="250"/>
            </w:pPr>
            <w:r>
              <w:rPr>
                <w:sz w:val="18"/>
                <w:szCs w:val="18"/>
              </w:rPr>
              <w:t xml:space="preserve">Input to all processing and to Q4/Q5</w:t>
            </w:r>
          </w:p>
        </w:tc>
      </w:tr>
      <w:tr>
        <w:trPr>
          <w:cantSplit/>
        </w:trPr>
        <w:tc>
          <w:tcPr>
            <w:tcW w:type="dxa" w:w="2155"/>
            <w:shd w:fill="F3F6FA" w:color="auto" w:val="clear"/>
            <w:tcMar>
              <w:top w:type="dxa" w:w="60"/>
              <w:left w:type="dxa" w:w="90"/>
              <w:bottom w:type="dxa" w:w="60"/>
              <w:right w:type="dxa" w:w="90"/>
            </w:tcMar>
            <w:vAlign w:val="center"/>
          </w:tcPr>
          <w:p>
            <w:pPr>
              <w:spacing w:after="20" w:line="250"/>
            </w:pPr>
            <w:r>
              <w:rPr>
                <w:sz w:val="18"/>
                <w:szCs w:val="18"/>
              </w:rPr>
              <w:t xml:space="preserve">Quality masks: land/water/background classes, cloud, cloud shadow, haze, cirrus, snow, test flags, pixel mask</w:t>
            </w:r>
          </w:p>
        </w:tc>
        <w:tc>
          <w:tcPr>
            <w:tcW w:type="dxa" w:w="1268"/>
            <w:shd w:fill="F3F6FA" w:color="auto" w:val="clear"/>
            <w:tcMar>
              <w:top w:type="dxa" w:w="60"/>
              <w:left w:type="dxa" w:w="90"/>
              <w:bottom w:type="dxa" w:w="60"/>
              <w:right w:type="dxa" w:w="90"/>
            </w:tcMar>
            <w:vAlign w:val="center"/>
          </w:tcPr>
          <w:p>
            <w:pPr>
              <w:spacing w:after="20" w:line="250"/>
            </w:pPr>
            <w:r>
              <w:rPr>
                <w:sz w:val="18"/>
                <w:szCs w:val="18"/>
              </w:rPr>
              <w:t xml:space="preserve">Raster, spatial</w:t>
            </w:r>
          </w:p>
        </w:tc>
        <w:tc>
          <w:tcPr>
            <w:tcW w:type="dxa" w:w="1268"/>
            <w:shd w:fill="F3F6FA" w:color="auto" w:val="clear"/>
            <w:tcMar>
              <w:top w:type="dxa" w:w="60"/>
              <w:left w:type="dxa" w:w="90"/>
              <w:bottom w:type="dxa" w:w="60"/>
              <w:right w:type="dxa" w:w="90"/>
            </w:tcMar>
            <w:vAlign w:val="center"/>
          </w:tcPr>
          <w:p>
            <w:pPr>
              <w:spacing w:after="20" w:line="250"/>
            </w:pPr>
            <w:r>
              <w:rPr>
                <w:sz w:val="18"/>
                <w:szCs w:val="18"/>
              </w:rPr>
              <w:t xml:space="preserve">GeoTIFF (byte)</w:t>
            </w:r>
          </w:p>
        </w:tc>
        <w:tc>
          <w:tcPr>
            <w:tcW w:type="dxa" w:w="1648"/>
            <w:shd w:fill="F3F6FA" w:color="auto" w:val="clear"/>
            <w:tcMar>
              <w:top w:type="dxa" w:w="60"/>
              <w:left w:type="dxa" w:w="90"/>
              <w:bottom w:type="dxa" w:w="60"/>
              <w:right w:type="dxa" w:w="90"/>
            </w:tcMar>
            <w:vAlign w:val="center"/>
          </w:tcPr>
          <w:p>
            <w:pPr>
              <w:spacing w:after="20" w:line="250"/>
            </w:pPr>
            <w:r>
              <w:rPr>
                <w:sz w:val="18"/>
                <w:szCs w:val="18"/>
              </w:rPr>
              <w:t xml:space="preserve">DLR, delivered with the scene</w:t>
            </w:r>
          </w:p>
        </w:tc>
        <w:tc>
          <w:tcPr>
            <w:tcW w:type="dxa" w:w="1394"/>
            <w:shd w:fill="F3F6FA" w:color="auto" w:val="clear"/>
            <w:tcMar>
              <w:top w:type="dxa" w:w="60"/>
              <w:left w:type="dxa" w:w="90"/>
              <w:bottom w:type="dxa" w:w="60"/>
              <w:right w:type="dxa" w:w="90"/>
            </w:tcMar>
            <w:vAlign w:val="center"/>
          </w:tcPr>
          <w:p>
            <w:pPr>
              <w:spacing w:after="20" w:line="250"/>
            </w:pPr>
            <w:r>
              <w:rPr>
                <w:sz w:val="18"/>
                <w:szCs w:val="18"/>
              </w:rPr>
              <w:t xml:space="preserve">Same grid as the cube</w:t>
            </w:r>
          </w:p>
        </w:tc>
        <w:tc>
          <w:tcPr>
            <w:tcW w:type="dxa" w:w="1905"/>
            <w:shd w:fill="F3F6FA" w:color="auto" w:val="clear"/>
            <w:tcMar>
              <w:top w:type="dxa" w:w="60"/>
              <w:left w:type="dxa" w:w="90"/>
              <w:bottom w:type="dxa" w:w="60"/>
              <w:right w:type="dxa" w:w="90"/>
            </w:tcMar>
            <w:vAlign w:val="center"/>
          </w:tcPr>
          <w:p>
            <w:pPr>
              <w:spacing w:after="20" w:line="250"/>
            </w:pPr>
            <w:r>
              <w:rPr>
                <w:sz w:val="18"/>
                <w:szCs w:val="18"/>
              </w:rPr>
              <w:t xml:space="preserve">Reference data for validating SAM and K-Means; background detection</w:t>
            </w:r>
          </w:p>
        </w:tc>
      </w:tr>
      <w:tr>
        <w:trPr>
          <w:cantSplit/>
        </w:trPr>
        <w:tc>
          <w:tcPr>
            <w:tcW w:type="dxa" w:w="2155"/>
            <w:tcMar>
              <w:top w:type="dxa" w:w="60"/>
              <w:left w:type="dxa" w:w="90"/>
              <w:bottom w:type="dxa" w:w="60"/>
              <w:right w:type="dxa" w:w="90"/>
            </w:tcMar>
            <w:vAlign w:val="center"/>
          </w:tcPr>
          <w:p>
            <w:pPr>
              <w:spacing w:after="20" w:line="250"/>
            </w:pPr>
            <w:r>
              <w:rPr>
                <w:sz w:val="18"/>
                <w:szCs w:val="18"/>
              </w:rPr>
              <w:t xml:space="preserve">Quicklooks (VNIR, SWIR)</w:t>
            </w:r>
          </w:p>
        </w:tc>
        <w:tc>
          <w:tcPr>
            <w:tcW w:type="dxa" w:w="1268"/>
            <w:tcMar>
              <w:top w:type="dxa" w:w="60"/>
              <w:left w:type="dxa" w:w="90"/>
              <w:bottom w:type="dxa" w:w="60"/>
              <w:right w:type="dxa" w:w="90"/>
            </w:tcMar>
            <w:vAlign w:val="center"/>
          </w:tcPr>
          <w:p>
            <w:pPr>
              <w:spacing w:after="20" w:line="250"/>
            </w:pPr>
            <w:r>
              <w:rPr>
                <w:sz w:val="18"/>
                <w:szCs w:val="18"/>
              </w:rPr>
              <w:t xml:space="preserve">Raster, spatial</w:t>
            </w:r>
          </w:p>
        </w:tc>
        <w:tc>
          <w:tcPr>
            <w:tcW w:type="dxa" w:w="1268"/>
            <w:tcMar>
              <w:top w:type="dxa" w:w="60"/>
              <w:left w:type="dxa" w:w="90"/>
              <w:bottom w:type="dxa" w:w="60"/>
              <w:right w:type="dxa" w:w="90"/>
            </w:tcMar>
            <w:vAlign w:val="center"/>
          </w:tcPr>
          <w:p>
            <w:pPr>
              <w:spacing w:after="20" w:line="250"/>
            </w:pPr>
            <w:r>
              <w:rPr>
                <w:sz w:val="18"/>
                <w:szCs w:val="18"/>
              </w:rPr>
              <w:t xml:space="preserve">GeoTIFF RGB</w:t>
            </w:r>
          </w:p>
        </w:tc>
        <w:tc>
          <w:tcPr>
            <w:tcW w:type="dxa" w:w="1648"/>
            <w:tcMar>
              <w:top w:type="dxa" w:w="60"/>
              <w:left w:type="dxa" w:w="90"/>
              <w:bottom w:type="dxa" w:w="60"/>
              <w:right w:type="dxa" w:w="90"/>
            </w:tcMar>
            <w:vAlign w:val="center"/>
          </w:tcPr>
          <w:p>
            <w:pPr>
              <w:spacing w:after="20" w:line="250"/>
            </w:pPr>
            <w:r>
              <w:rPr>
                <w:sz w:val="18"/>
                <w:szCs w:val="18"/>
              </w:rPr>
              <w:t xml:space="preserve">DLR</w:t>
            </w:r>
          </w:p>
        </w:tc>
        <w:tc>
          <w:tcPr>
            <w:tcW w:type="dxa" w:w="1394"/>
            <w:tcMar>
              <w:top w:type="dxa" w:w="60"/>
              <w:left w:type="dxa" w:w="90"/>
              <w:bottom w:type="dxa" w:w="60"/>
              <w:right w:type="dxa" w:w="90"/>
            </w:tcMar>
            <w:vAlign w:val="center"/>
          </w:tcPr>
          <w:p>
            <w:pPr>
              <w:spacing w:after="20" w:line="250"/>
            </w:pPr>
            <w:r>
              <w:rPr>
                <w:sz w:val="18"/>
                <w:szCs w:val="18"/>
              </w:rPr>
              <w:t xml:space="preserve">Same grid</w:t>
            </w:r>
          </w:p>
        </w:tc>
        <w:tc>
          <w:tcPr>
            <w:tcW w:type="dxa" w:w="1905"/>
            <w:tcMar>
              <w:top w:type="dxa" w:w="60"/>
              <w:left w:type="dxa" w:w="90"/>
              <w:bottom w:type="dxa" w:w="60"/>
              <w:right w:type="dxa" w:w="90"/>
            </w:tcMar>
            <w:vAlign w:val="center"/>
          </w:tcPr>
          <w:p>
            <w:pPr>
              <w:spacing w:after="20" w:line="250"/>
            </w:pPr>
            <w:r>
              <w:rPr>
                <w:sz w:val="18"/>
                <w:szCs w:val="18"/>
              </w:rPr>
              <w:t xml:space="preserve">Visual inspection</w:t>
            </w:r>
          </w:p>
        </w:tc>
      </w:tr>
      <w:tr>
        <w:trPr>
          <w:cantSplit/>
        </w:trPr>
        <w:tc>
          <w:tcPr>
            <w:tcW w:type="dxa" w:w="2155"/>
            <w:shd w:fill="F3F6FA" w:color="auto" w:val="clear"/>
            <w:tcMar>
              <w:top w:type="dxa" w:w="60"/>
              <w:left w:type="dxa" w:w="90"/>
              <w:bottom w:type="dxa" w:w="60"/>
              <w:right w:type="dxa" w:w="90"/>
            </w:tcMar>
            <w:vAlign w:val="center"/>
          </w:tcPr>
          <w:p>
            <w:pPr>
              <w:spacing w:after="20" w:line="250"/>
            </w:pPr>
            <w:r>
              <w:rPr>
                <w:sz w:val="18"/>
                <w:szCs w:val="18"/>
              </w:rPr>
              <w:t xml:space="preserve">AOI / field / zone boundaries</w:t>
            </w:r>
          </w:p>
        </w:tc>
        <w:tc>
          <w:tcPr>
            <w:tcW w:type="dxa" w:w="1268"/>
            <w:shd w:fill="F3F6FA" w:color="auto" w:val="clear"/>
            <w:tcMar>
              <w:top w:type="dxa" w:w="60"/>
              <w:left w:type="dxa" w:w="90"/>
              <w:bottom w:type="dxa" w:w="60"/>
              <w:right w:type="dxa" w:w="90"/>
            </w:tcMar>
            <w:vAlign w:val="center"/>
          </w:tcPr>
          <w:p>
            <w:pPr>
              <w:spacing w:after="20" w:line="250"/>
            </w:pPr>
            <w:r>
              <w:rPr>
                <w:sz w:val="18"/>
                <w:szCs w:val="18"/>
              </w:rPr>
              <w:t xml:space="preserve">Vector polygons, spatial</w:t>
            </w:r>
          </w:p>
        </w:tc>
        <w:tc>
          <w:tcPr>
            <w:tcW w:type="dxa" w:w="1268"/>
            <w:shd w:fill="F3F6FA" w:color="auto" w:val="clear"/>
            <w:tcMar>
              <w:top w:type="dxa" w:w="60"/>
              <w:left w:type="dxa" w:w="90"/>
              <w:bottom w:type="dxa" w:w="60"/>
              <w:right w:type="dxa" w:w="90"/>
            </w:tcMar>
            <w:vAlign w:val="center"/>
          </w:tcPr>
          <w:p>
            <w:pPr>
              <w:spacing w:after="20" w:line="250"/>
            </w:pPr>
            <w:r>
              <w:rPr>
                <w:sz w:val="18"/>
                <w:szCs w:val="18"/>
              </w:rPr>
              <w:t xml:space="preserve">GeoJSON, EPSG:4326</w:t>
            </w:r>
          </w:p>
        </w:tc>
        <w:tc>
          <w:tcPr>
            <w:tcW w:type="dxa" w:w="1648"/>
            <w:shd w:fill="F3F6FA" w:color="auto" w:val="clear"/>
            <w:tcMar>
              <w:top w:type="dxa" w:w="60"/>
              <w:left w:type="dxa" w:w="90"/>
              <w:bottom w:type="dxa" w:w="60"/>
              <w:right w:type="dxa" w:w="90"/>
            </w:tcMar>
            <w:vAlign w:val="center"/>
          </w:tcPr>
          <w:p>
            <w:pPr>
              <w:spacing w:after="20" w:line="250"/>
            </w:pPr>
            <w:r>
              <w:rPr>
                <w:sz w:val="18"/>
                <w:szCs w:val="18"/>
              </w:rPr>
              <w:t xml:space="preserve">Drawn in QGIS or from authority datasets (e.g. parcel registers); demonstration polygons supplied</w:t>
            </w:r>
          </w:p>
        </w:tc>
        <w:tc>
          <w:tcPr>
            <w:tcW w:type="dxa" w:w="1394"/>
            <w:shd w:fill="F3F6FA" w:color="auto" w:val="clear"/>
            <w:tcMar>
              <w:top w:type="dxa" w:w="60"/>
              <w:left w:type="dxa" w:w="90"/>
              <w:bottom w:type="dxa" w:w="60"/>
              <w:right w:type="dxa" w:w="90"/>
            </w:tcMar>
            <w:vAlign w:val="center"/>
          </w:tcPr>
          <w:p>
            <w:pPr>
              <w:spacing w:after="20" w:line="250"/>
            </w:pPr>
            <w:r>
              <w:rPr>
                <w:sz w:val="18"/>
                <w:szCs w:val="18"/>
              </w:rPr>
              <w:t xml:space="preserve">—</w:t>
            </w:r>
          </w:p>
        </w:tc>
        <w:tc>
          <w:tcPr>
            <w:tcW w:type="dxa" w:w="1905"/>
            <w:shd w:fill="F3F6FA" w:color="auto" w:val="clear"/>
            <w:tcMar>
              <w:top w:type="dxa" w:w="60"/>
              <w:left w:type="dxa" w:w="90"/>
              <w:bottom w:type="dxa" w:w="60"/>
              <w:right w:type="dxa" w:w="90"/>
            </w:tcMar>
            <w:vAlign w:val="center"/>
          </w:tcPr>
          <w:p>
            <w:pPr>
              <w:spacing w:after="20" w:line="250"/>
            </w:pPr>
            <w:r>
              <w:rPr>
                <w:sz w:val="18"/>
                <w:szCs w:val="18"/>
              </w:rPr>
              <w:t xml:space="preserve">Q1 AOI statistics, Q2 per-zone joins</w:t>
            </w:r>
          </w:p>
        </w:tc>
      </w:tr>
      <w:tr>
        <w:trPr>
          <w:cantSplit/>
        </w:trPr>
        <w:tc>
          <w:tcPr>
            <w:tcW w:type="dxa" w:w="2155"/>
            <w:tcMar>
              <w:top w:type="dxa" w:w="60"/>
              <w:left w:type="dxa" w:w="90"/>
              <w:bottom w:type="dxa" w:w="60"/>
              <w:right w:type="dxa" w:w="90"/>
            </w:tcMar>
            <w:vAlign w:val="center"/>
          </w:tcPr>
          <w:p>
            <w:pPr>
              <w:spacing w:after="20" w:line="250"/>
            </w:pPr>
            <w:r>
              <w:rPr>
                <w:sz w:val="18"/>
                <w:szCs w:val="18"/>
              </w:rPr>
              <w:t xml:space="preserve">Engine tiles</w:t>
            </w:r>
          </w:p>
        </w:tc>
        <w:tc>
          <w:tcPr>
            <w:tcW w:type="dxa" w:w="1268"/>
            <w:tcMar>
              <w:top w:type="dxa" w:w="60"/>
              <w:left w:type="dxa" w:w="90"/>
              <w:bottom w:type="dxa" w:w="60"/>
              <w:right w:type="dxa" w:w="90"/>
            </w:tcMar>
            <w:vAlign w:val="center"/>
          </w:tcPr>
          <w:p>
            <w:pPr>
              <w:spacing w:after="20" w:line="250"/>
            </w:pPr>
            <w:r>
              <w:rPr>
                <w:sz w:val="18"/>
                <w:szCs w:val="18"/>
              </w:rPr>
              <w:t xml:space="preserve">Raster, spatial (derived)</w:t>
            </w:r>
          </w:p>
        </w:tc>
        <w:tc>
          <w:tcPr>
            <w:tcW w:type="dxa" w:w="1268"/>
            <w:tcMar>
              <w:top w:type="dxa" w:w="60"/>
              <w:left w:type="dxa" w:w="90"/>
              <w:bottom w:type="dxa" w:w="60"/>
              <w:right w:type="dxa" w:w="90"/>
            </w:tcMar>
            <w:vAlign w:val="center"/>
          </w:tcPr>
          <w:p>
            <w:pPr>
              <w:spacing w:after="20" w:line="250"/>
            </w:pPr>
            <w:r>
              <w:rPr>
                <w:sz w:val="18"/>
                <w:szCs w:val="18"/>
              </w:rPr>
              <w:t xml:space="preserve">GeoTIFF, 224 + 7 bands</w:t>
            </w:r>
          </w:p>
        </w:tc>
        <w:tc>
          <w:tcPr>
            <w:tcW w:type="dxa" w:w="1648"/>
            <w:tcMar>
              <w:top w:type="dxa" w:w="60"/>
              <w:left w:type="dxa" w:w="90"/>
              <w:bottom w:type="dxa" w:w="60"/>
              <w:right w:type="dxa" w:w="90"/>
            </w:tcMar>
            <w:vAlign w:val="center"/>
          </w:tcPr>
          <w:p>
            <w:pPr>
              <w:spacing w:after="20" w:line="250"/>
            </w:pPr>
            <w:r>
              <w:rPr>
                <w:sz w:val="18"/>
                <w:szCs w:val="18"/>
              </w:rPr>
              <w:t xml:space="preserve">Processing engine</w:t>
            </w:r>
          </w:p>
        </w:tc>
        <w:tc>
          <w:tcPr>
            <w:tcW w:type="dxa" w:w="1394"/>
            <w:tcMar>
              <w:top w:type="dxa" w:w="60"/>
              <w:left w:type="dxa" w:w="90"/>
              <w:bottom w:type="dxa" w:w="60"/>
              <w:right w:type="dxa" w:w="90"/>
            </w:tcMar>
            <w:vAlign w:val="center"/>
          </w:tcPr>
          <w:p>
            <w:pPr>
              <w:spacing w:after="20" w:line="250"/>
            </w:pPr>
            <w:r>
              <w:rPr>
                <w:sz w:val="18"/>
                <w:szCs w:val="18"/>
              </w:rPr>
              <w:t xml:space="preserve">30 m, 512-px tiles</w:t>
            </w:r>
          </w:p>
        </w:tc>
        <w:tc>
          <w:tcPr>
            <w:tcW w:type="dxa" w:w="1905"/>
            <w:tcMar>
              <w:top w:type="dxa" w:w="60"/>
              <w:left w:type="dxa" w:w="90"/>
              <w:bottom w:type="dxa" w:w="60"/>
              <w:right w:type="dxa" w:w="90"/>
            </w:tcMar>
            <w:vAlign w:val="center"/>
          </w:tcPr>
          <w:p>
            <w:pPr>
              <w:spacing w:after="20" w:line="250"/>
            </w:pPr>
            <w:r>
              <w:rPr>
                <w:sz w:val="18"/>
                <w:szCs w:val="18"/>
              </w:rPr>
              <w:t xml:space="preserve">Bridge to Spark/Sedona; source of index layers</w:t>
            </w:r>
          </w:p>
        </w:tc>
      </w:tr>
      <w:tr>
        <w:trPr>
          <w:cantSplit/>
        </w:trPr>
        <w:tc>
          <w:tcPr>
            <w:tcW w:type="dxa" w:w="2155"/>
            <w:shd w:fill="F3F6FA" w:color="auto" w:val="clear"/>
            <w:tcMar>
              <w:top w:type="dxa" w:w="60"/>
              <w:left w:type="dxa" w:w="90"/>
              <w:bottom w:type="dxa" w:w="60"/>
              <w:right w:type="dxa" w:w="90"/>
            </w:tcMar>
            <w:vAlign w:val="center"/>
          </w:tcPr>
          <w:p>
            <w:pPr>
              <w:spacing w:after="20" w:line="250"/>
            </w:pPr>
            <w:r>
              <w:rPr>
                <w:sz w:val="18"/>
                <w:szCs w:val="18"/>
              </w:rPr>
              <w:t xml:space="preserve">Index layers (NDVI … MSAVI)</w:t>
            </w:r>
          </w:p>
        </w:tc>
        <w:tc>
          <w:tcPr>
            <w:tcW w:type="dxa" w:w="1268"/>
            <w:shd w:fill="F3F6FA" w:color="auto" w:val="clear"/>
            <w:tcMar>
              <w:top w:type="dxa" w:w="60"/>
              <w:left w:type="dxa" w:w="90"/>
              <w:bottom w:type="dxa" w:w="60"/>
              <w:right w:type="dxa" w:w="90"/>
            </w:tcMar>
            <w:vAlign w:val="center"/>
          </w:tcPr>
          <w:p>
            <w:pPr>
              <w:spacing w:after="20" w:line="250"/>
            </w:pPr>
            <w:r>
              <w:rPr>
                <w:sz w:val="18"/>
                <w:szCs w:val="18"/>
              </w:rPr>
              <w:t xml:space="preserve">Raster (derived)</w:t>
            </w:r>
          </w:p>
        </w:tc>
        <w:tc>
          <w:tcPr>
            <w:tcW w:type="dxa" w:w="1268"/>
            <w:shd w:fill="F3F6FA" w:color="auto" w:val="clear"/>
            <w:tcMar>
              <w:top w:type="dxa" w:w="60"/>
              <w:left w:type="dxa" w:w="90"/>
              <w:bottom w:type="dxa" w:w="60"/>
              <w:right w:type="dxa" w:w="90"/>
            </w:tcMar>
            <w:vAlign w:val="center"/>
          </w:tcPr>
          <w:p>
            <w:pPr>
              <w:spacing w:after="20" w:line="250"/>
            </w:pPr>
            <w:r>
              <w:rPr>
                <w:sz w:val="18"/>
                <w:szCs w:val="18"/>
              </w:rPr>
              <w:t xml:space="preserve">VRT or GeoTIFF</w:t>
            </w:r>
          </w:p>
        </w:tc>
        <w:tc>
          <w:tcPr>
            <w:tcW w:type="dxa" w:w="1648"/>
            <w:shd w:fill="F3F6FA" w:color="auto" w:val="clear"/>
            <w:tcMar>
              <w:top w:type="dxa" w:w="60"/>
              <w:left w:type="dxa" w:w="90"/>
              <w:bottom w:type="dxa" w:w="60"/>
              <w:right w:type="dxa" w:w="90"/>
            </w:tcMar>
            <w:vAlign w:val="center"/>
          </w:tcPr>
          <w:p>
            <w:pPr>
              <w:spacing w:after="20" w:line="250"/>
            </w:pPr>
            <w:r>
              <w:rPr>
                <w:sz w:val="18"/>
                <w:szCs w:val="18"/>
              </w:rPr>
              <w:t xml:space="preserve">Processing engine</w:t>
            </w:r>
          </w:p>
        </w:tc>
        <w:tc>
          <w:tcPr>
            <w:tcW w:type="dxa" w:w="1394"/>
            <w:shd w:fill="F3F6FA" w:color="auto" w:val="clear"/>
            <w:tcMar>
              <w:top w:type="dxa" w:w="60"/>
              <w:left w:type="dxa" w:w="90"/>
              <w:bottom w:type="dxa" w:w="60"/>
              <w:right w:type="dxa" w:w="90"/>
            </w:tcMar>
            <w:vAlign w:val="center"/>
          </w:tcPr>
          <w:p>
            <w:pPr>
              <w:spacing w:after="20" w:line="250"/>
            </w:pPr>
            <w:r>
              <w:rPr>
                <w:sz w:val="18"/>
                <w:szCs w:val="18"/>
              </w:rPr>
              <w:t xml:space="preserve">30 m</w:t>
            </w:r>
          </w:p>
        </w:tc>
        <w:tc>
          <w:tcPr>
            <w:tcW w:type="dxa" w:w="1905"/>
            <w:shd w:fill="F3F6FA" w:color="auto" w:val="clear"/>
            <w:tcMar>
              <w:top w:type="dxa" w:w="60"/>
              <w:left w:type="dxa" w:w="90"/>
              <w:bottom w:type="dxa" w:w="60"/>
              <w:right w:type="dxa" w:w="90"/>
            </w:tcMar>
            <w:vAlign w:val="center"/>
          </w:tcPr>
          <w:p>
            <w:pPr>
              <w:spacing w:after="20" w:line="250"/>
            </w:pPr>
            <w:r>
              <w:rPr>
                <w:sz w:val="18"/>
                <w:szCs w:val="18"/>
              </w:rPr>
              <w:t xml:space="preserve">Maps; Q1–Q3</w:t>
            </w:r>
          </w:p>
        </w:tc>
      </w:tr>
      <w:tr>
        <w:trPr>
          <w:cantSplit/>
        </w:trPr>
        <w:tc>
          <w:tcPr>
            <w:tcW w:type="dxa" w:w="2155"/>
            <w:tcMar>
              <w:top w:type="dxa" w:w="60"/>
              <w:left w:type="dxa" w:w="90"/>
              <w:bottom w:type="dxa" w:w="60"/>
              <w:right w:type="dxa" w:w="90"/>
            </w:tcMar>
            <w:vAlign w:val="center"/>
          </w:tcPr>
          <w:p>
            <w:pPr>
              <w:spacing w:after="20" w:line="250"/>
            </w:pPr>
            <w:r>
              <w:rPr>
                <w:sz w:val="18"/>
                <w:szCs w:val="18"/>
              </w:rPr>
              <w:t xml:space="preserve">PCA composite</w:t>
            </w:r>
          </w:p>
        </w:tc>
        <w:tc>
          <w:tcPr>
            <w:tcW w:type="dxa" w:w="1268"/>
            <w:tcMar>
              <w:top w:type="dxa" w:w="60"/>
              <w:left w:type="dxa" w:w="90"/>
              <w:bottom w:type="dxa" w:w="60"/>
              <w:right w:type="dxa" w:w="90"/>
            </w:tcMar>
            <w:vAlign w:val="center"/>
          </w:tcPr>
          <w:p>
            <w:pPr>
              <w:spacing w:after="20" w:line="250"/>
            </w:pPr>
            <w:r>
              <w:rPr>
                <w:sz w:val="18"/>
                <w:szCs w:val="18"/>
              </w:rPr>
              <w:t xml:space="preserve">Raster (derived)</w:t>
            </w:r>
          </w:p>
        </w:tc>
        <w:tc>
          <w:tcPr>
            <w:tcW w:type="dxa" w:w="1268"/>
            <w:tcMar>
              <w:top w:type="dxa" w:w="60"/>
              <w:left w:type="dxa" w:w="90"/>
              <w:bottom w:type="dxa" w:w="60"/>
              <w:right w:type="dxa" w:w="90"/>
            </w:tcMar>
            <w:vAlign w:val="center"/>
          </w:tcPr>
          <w:p>
            <w:pPr>
              <w:spacing w:after="20" w:line="250"/>
            </w:pPr>
            <w:r>
              <w:rPr>
                <w:sz w:val="18"/>
                <w:szCs w:val="18"/>
              </w:rPr>
              <w:t xml:space="preserve">GeoTIFF, 3 bands</w:t>
            </w:r>
          </w:p>
        </w:tc>
        <w:tc>
          <w:tcPr>
            <w:tcW w:type="dxa" w:w="1648"/>
            <w:tcMar>
              <w:top w:type="dxa" w:w="60"/>
              <w:left w:type="dxa" w:w="90"/>
              <w:bottom w:type="dxa" w:w="60"/>
              <w:right w:type="dxa" w:w="90"/>
            </w:tcMar>
            <w:vAlign w:val="center"/>
          </w:tcPr>
          <w:p>
            <w:pPr>
              <w:spacing w:after="20" w:line="250"/>
            </w:pPr>
            <w:r>
              <w:rPr>
                <w:sz w:val="18"/>
                <w:szCs w:val="18"/>
              </w:rPr>
              <w:t xml:space="preserve">Processing engine</w:t>
            </w:r>
          </w:p>
        </w:tc>
        <w:tc>
          <w:tcPr>
            <w:tcW w:type="dxa" w:w="1394"/>
            <w:tcMar>
              <w:top w:type="dxa" w:w="60"/>
              <w:left w:type="dxa" w:w="90"/>
              <w:bottom w:type="dxa" w:w="60"/>
              <w:right w:type="dxa" w:w="90"/>
            </w:tcMar>
            <w:vAlign w:val="center"/>
          </w:tcPr>
          <w:p>
            <w:pPr>
              <w:spacing w:after="20" w:line="250"/>
            </w:pPr>
            <w:r>
              <w:rPr>
                <w:sz w:val="18"/>
                <w:szCs w:val="18"/>
              </w:rPr>
              <w:t xml:space="preserve">30 m</w:t>
            </w:r>
          </w:p>
        </w:tc>
        <w:tc>
          <w:tcPr>
            <w:tcW w:type="dxa" w:w="1905"/>
            <w:tcMar>
              <w:top w:type="dxa" w:w="60"/>
              <w:left w:type="dxa" w:w="90"/>
              <w:bottom w:type="dxa" w:w="60"/>
              <w:right w:type="dxa" w:w="90"/>
            </w:tcMar>
            <w:vAlign w:val="center"/>
          </w:tcPr>
          <w:p>
            <w:pPr>
              <w:spacing w:after="20" w:line="250"/>
            </w:pPr>
            <w:r>
              <w:rPr>
                <w:sz w:val="18"/>
                <w:szCs w:val="18"/>
              </w:rPr>
              <w:t xml:space="preserve">False-colour visualisation, dimensionality reduction</w:t>
            </w:r>
          </w:p>
        </w:tc>
      </w:tr>
      <w:tr>
        <w:trPr>
          <w:cantSplit/>
        </w:trPr>
        <w:tc>
          <w:tcPr>
            <w:tcW w:type="dxa" w:w="2155"/>
            <w:shd w:fill="F3F6FA" w:color="auto" w:val="clear"/>
            <w:tcMar>
              <w:top w:type="dxa" w:w="60"/>
              <w:left w:type="dxa" w:w="90"/>
              <w:bottom w:type="dxa" w:w="60"/>
              <w:right w:type="dxa" w:w="90"/>
            </w:tcMar>
            <w:vAlign w:val="center"/>
          </w:tcPr>
          <w:p>
            <w:pPr>
              <w:spacing w:after="20" w:line="250"/>
            </w:pPr>
            <w:r>
              <w:rPr>
                <w:sz w:val="18"/>
                <w:szCs w:val="18"/>
              </w:rPr>
              <w:t xml:space="preserve">SAM angle, mask, similarity</w:t>
            </w:r>
          </w:p>
        </w:tc>
        <w:tc>
          <w:tcPr>
            <w:tcW w:type="dxa" w:w="1268"/>
            <w:shd w:fill="F3F6FA" w:color="auto" w:val="clear"/>
            <w:tcMar>
              <w:top w:type="dxa" w:w="60"/>
              <w:left w:type="dxa" w:w="90"/>
              <w:bottom w:type="dxa" w:w="60"/>
              <w:right w:type="dxa" w:w="90"/>
            </w:tcMar>
            <w:vAlign w:val="center"/>
          </w:tcPr>
          <w:p>
            <w:pPr>
              <w:spacing w:after="20" w:line="250"/>
            </w:pPr>
            <w:r>
              <w:rPr>
                <w:sz w:val="18"/>
                <w:szCs w:val="18"/>
              </w:rPr>
              <w:t xml:space="preserve">Raster (derived)</w:t>
            </w:r>
          </w:p>
        </w:tc>
        <w:tc>
          <w:tcPr>
            <w:tcW w:type="dxa" w:w="1268"/>
            <w:shd w:fill="F3F6FA" w:color="auto" w:val="clear"/>
            <w:tcMar>
              <w:top w:type="dxa" w:w="60"/>
              <w:left w:type="dxa" w:w="90"/>
              <w:bottom w:type="dxa" w:w="60"/>
              <w:right w:type="dxa" w:w="90"/>
            </w:tcMar>
            <w:vAlign w:val="center"/>
          </w:tcPr>
          <w:p>
            <w:pPr>
              <w:spacing w:after="20" w:line="250"/>
            </w:pPr>
            <w:r>
              <w:rPr>
                <w:sz w:val="18"/>
                <w:szCs w:val="18"/>
              </w:rPr>
              <w:t xml:space="preserve">GeoTIFF</w:t>
            </w:r>
          </w:p>
        </w:tc>
        <w:tc>
          <w:tcPr>
            <w:tcW w:type="dxa" w:w="1648"/>
            <w:shd w:fill="F3F6FA" w:color="auto" w:val="clear"/>
            <w:tcMar>
              <w:top w:type="dxa" w:w="60"/>
              <w:left w:type="dxa" w:w="90"/>
              <w:bottom w:type="dxa" w:w="60"/>
              <w:right w:type="dxa" w:w="90"/>
            </w:tcMar>
            <w:vAlign w:val="center"/>
          </w:tcPr>
          <w:p>
            <w:pPr>
              <w:spacing w:after="20" w:line="250"/>
            </w:pPr>
            <w:r>
              <w:rPr>
                <w:sz w:val="18"/>
                <w:szCs w:val="18"/>
              </w:rPr>
              <w:t xml:space="preserve">Processing engine</w:t>
            </w:r>
          </w:p>
        </w:tc>
        <w:tc>
          <w:tcPr>
            <w:tcW w:type="dxa" w:w="1394"/>
            <w:shd w:fill="F3F6FA" w:color="auto" w:val="clear"/>
            <w:tcMar>
              <w:top w:type="dxa" w:w="60"/>
              <w:left w:type="dxa" w:w="90"/>
              <w:bottom w:type="dxa" w:w="60"/>
              <w:right w:type="dxa" w:w="90"/>
            </w:tcMar>
            <w:vAlign w:val="center"/>
          </w:tcPr>
          <w:p>
            <w:pPr>
              <w:spacing w:after="20" w:line="250"/>
            </w:pPr>
            <w:r>
              <w:rPr>
                <w:sz w:val="18"/>
                <w:szCs w:val="18"/>
              </w:rPr>
              <w:t xml:space="preserve">30 m</w:t>
            </w:r>
          </w:p>
        </w:tc>
        <w:tc>
          <w:tcPr>
            <w:tcW w:type="dxa" w:w="1905"/>
            <w:shd w:fill="F3F6FA" w:color="auto" w:val="clear"/>
            <w:tcMar>
              <w:top w:type="dxa" w:w="60"/>
              <w:left w:type="dxa" w:w="90"/>
              <w:bottom w:type="dxa" w:w="60"/>
              <w:right w:type="dxa" w:w="90"/>
            </w:tcMar>
            <w:vAlign w:val="center"/>
          </w:tcPr>
          <w:p>
            <w:pPr>
              <w:spacing w:after="20" w:line="250"/>
            </w:pPr>
            <w:r>
              <w:rPr>
                <w:sz w:val="18"/>
                <w:szCs w:val="18"/>
              </w:rPr>
              <w:t xml:space="preserve">Target detection</w:t>
            </w:r>
          </w:p>
        </w:tc>
      </w:tr>
      <w:tr>
        <w:trPr>
          <w:cantSplit/>
        </w:trPr>
        <w:tc>
          <w:tcPr>
            <w:tcW w:type="dxa" w:w="2155"/>
            <w:tcMar>
              <w:top w:type="dxa" w:w="60"/>
              <w:left w:type="dxa" w:w="90"/>
              <w:bottom w:type="dxa" w:w="60"/>
              <w:right w:type="dxa" w:w="90"/>
            </w:tcMar>
            <w:vAlign w:val="center"/>
          </w:tcPr>
          <w:p>
            <w:pPr>
              <w:spacing w:after="20" w:line="250"/>
            </w:pPr>
            <w:r>
              <w:rPr>
                <w:sz w:val="18"/>
                <w:szCs w:val="18"/>
              </w:rPr>
              <w:t xml:space="preserve">Q3 vegetation masks, Q4 NDVI, Q5 class map</w:t>
            </w:r>
          </w:p>
        </w:tc>
        <w:tc>
          <w:tcPr>
            <w:tcW w:type="dxa" w:w="1268"/>
            <w:tcMar>
              <w:top w:type="dxa" w:w="60"/>
              <w:left w:type="dxa" w:w="90"/>
              <w:bottom w:type="dxa" w:w="60"/>
              <w:right w:type="dxa" w:w="90"/>
            </w:tcMar>
            <w:vAlign w:val="center"/>
          </w:tcPr>
          <w:p>
            <w:pPr>
              <w:spacing w:after="20" w:line="250"/>
            </w:pPr>
            <w:r>
              <w:rPr>
                <w:sz w:val="18"/>
                <w:szCs w:val="18"/>
              </w:rPr>
              <w:t xml:space="preserve">Raster (derived)</w:t>
            </w:r>
          </w:p>
        </w:tc>
        <w:tc>
          <w:tcPr>
            <w:tcW w:type="dxa" w:w="1268"/>
            <w:tcMar>
              <w:top w:type="dxa" w:w="60"/>
              <w:left w:type="dxa" w:w="90"/>
              <w:bottom w:type="dxa" w:w="60"/>
              <w:right w:type="dxa" w:w="90"/>
            </w:tcMar>
            <w:vAlign w:val="center"/>
          </w:tcPr>
          <w:p>
            <w:pPr>
              <w:spacing w:after="20" w:line="250"/>
            </w:pPr>
            <w:r>
              <w:rPr>
                <w:sz w:val="18"/>
                <w:szCs w:val="18"/>
              </w:rPr>
              <w:t xml:space="preserve">GeoTIFF / VRT</w:t>
            </w:r>
          </w:p>
        </w:tc>
        <w:tc>
          <w:tcPr>
            <w:tcW w:type="dxa" w:w="1648"/>
            <w:tcMar>
              <w:top w:type="dxa" w:w="60"/>
              <w:left w:type="dxa" w:w="90"/>
              <w:bottom w:type="dxa" w:w="60"/>
              <w:right w:type="dxa" w:w="90"/>
            </w:tcMar>
            <w:vAlign w:val="center"/>
          </w:tcPr>
          <w:p>
            <w:pPr>
              <w:spacing w:after="20" w:line="250"/>
            </w:pPr>
            <w:r>
              <w:rPr>
                <w:sz w:val="18"/>
                <w:szCs w:val="18"/>
              </w:rPr>
              <w:t xml:space="preserve">Analytics jobs</w:t>
            </w:r>
          </w:p>
        </w:tc>
        <w:tc>
          <w:tcPr>
            <w:tcW w:type="dxa" w:w="1394"/>
            <w:tcMar>
              <w:top w:type="dxa" w:w="60"/>
              <w:left w:type="dxa" w:w="90"/>
              <w:bottom w:type="dxa" w:w="60"/>
              <w:right w:type="dxa" w:w="90"/>
            </w:tcMar>
            <w:vAlign w:val="center"/>
          </w:tcPr>
          <w:p>
            <w:pPr>
              <w:spacing w:after="20" w:line="250"/>
            </w:pPr>
            <w:r>
              <w:rPr>
                <w:sz w:val="18"/>
                <w:szCs w:val="18"/>
              </w:rPr>
              <w:t xml:space="preserve">30 m</w:t>
            </w:r>
          </w:p>
        </w:tc>
        <w:tc>
          <w:tcPr>
            <w:tcW w:type="dxa" w:w="1905"/>
            <w:tcMar>
              <w:top w:type="dxa" w:w="60"/>
              <w:left w:type="dxa" w:w="90"/>
              <w:bottom w:type="dxa" w:w="60"/>
              <w:right w:type="dxa" w:w="90"/>
            </w:tcMar>
            <w:vAlign w:val="center"/>
          </w:tcPr>
          <w:p>
            <w:pPr>
              <w:spacing w:after="20" w:line="250"/>
            </w:pPr>
            <w:r>
              <w:rPr>
                <w:sz w:val="18"/>
                <w:szCs w:val="18"/>
              </w:rPr>
              <w:t xml:space="preserve">Per-pixel analytics results; land cover</w:t>
            </w:r>
          </w:p>
        </w:tc>
      </w:tr>
      <w:tr>
        <w:trPr>
          <w:cantSplit/>
        </w:trPr>
        <w:tc>
          <w:tcPr>
            <w:tcW w:type="dxa" w:w="2155"/>
            <w:shd w:fill="F3F6FA" w:color="auto" w:val="clear"/>
            <w:tcMar>
              <w:top w:type="dxa" w:w="60"/>
              <w:left w:type="dxa" w:w="90"/>
              <w:bottom w:type="dxa" w:w="60"/>
              <w:right w:type="dxa" w:w="90"/>
            </w:tcMar>
            <w:vAlign w:val="center"/>
          </w:tcPr>
          <w:p>
            <w:pPr>
              <w:spacing w:after="20" w:line="250"/>
            </w:pPr>
            <w:r>
              <w:rPr>
                <w:sz w:val="18"/>
                <w:szCs w:val="18"/>
              </w:rPr>
              <w:t xml:space="preserve">Scene metadata (METADATA.XML, HISTORY.XML, ENVI header)</w:t>
            </w:r>
          </w:p>
        </w:tc>
        <w:tc>
          <w:tcPr>
            <w:tcW w:type="dxa" w:w="1268"/>
            <w:shd w:fill="F3F6FA" w:color="auto" w:val="clear"/>
            <w:tcMar>
              <w:top w:type="dxa" w:w="60"/>
              <w:left w:type="dxa" w:w="90"/>
              <w:bottom w:type="dxa" w:w="60"/>
              <w:right w:type="dxa" w:w="90"/>
            </w:tcMar>
            <w:vAlign w:val="center"/>
          </w:tcPr>
          <w:p>
            <w:pPr>
              <w:spacing w:after="20" w:line="250"/>
            </w:pPr>
            <w:r>
              <w:rPr>
                <w:sz w:val="18"/>
                <w:szCs w:val="18"/>
              </w:rPr>
              <w:t xml:space="preserve">Non-spatial</w:t>
            </w:r>
          </w:p>
        </w:tc>
        <w:tc>
          <w:tcPr>
            <w:tcW w:type="dxa" w:w="1268"/>
            <w:shd w:fill="F3F6FA" w:color="auto" w:val="clear"/>
            <w:tcMar>
              <w:top w:type="dxa" w:w="60"/>
              <w:left w:type="dxa" w:w="90"/>
              <w:bottom w:type="dxa" w:w="60"/>
              <w:right w:type="dxa" w:w="90"/>
            </w:tcMar>
            <w:vAlign w:val="center"/>
          </w:tcPr>
          <w:p>
            <w:pPr>
              <w:spacing w:after="20" w:line="250"/>
            </w:pPr>
            <w:r>
              <w:rPr>
                <w:sz w:val="18"/>
                <w:szCs w:val="18"/>
              </w:rPr>
              <w:t xml:space="preserve">XML, text</w:t>
            </w:r>
          </w:p>
        </w:tc>
        <w:tc>
          <w:tcPr>
            <w:tcW w:type="dxa" w:w="1648"/>
            <w:shd w:fill="F3F6FA" w:color="auto" w:val="clear"/>
            <w:tcMar>
              <w:top w:type="dxa" w:w="60"/>
              <w:left w:type="dxa" w:w="90"/>
              <w:bottom w:type="dxa" w:w="60"/>
              <w:right w:type="dxa" w:w="90"/>
            </w:tcMar>
            <w:vAlign w:val="center"/>
          </w:tcPr>
          <w:p>
            <w:pPr>
              <w:spacing w:after="20" w:line="250"/>
            </w:pPr>
            <w:r>
              <w:rPr>
                <w:sz w:val="18"/>
                <w:szCs w:val="18"/>
              </w:rPr>
              <w:t xml:space="preserve">DLR</w:t>
            </w:r>
          </w:p>
        </w:tc>
        <w:tc>
          <w:tcPr>
            <w:tcW w:type="dxa" w:w="1394"/>
            <w:shd w:fill="F3F6FA" w:color="auto" w:val="clear"/>
            <w:tcMar>
              <w:top w:type="dxa" w:w="60"/>
              <w:left w:type="dxa" w:w="90"/>
              <w:bottom w:type="dxa" w:w="60"/>
              <w:right w:type="dxa" w:w="90"/>
            </w:tcMar>
            <w:vAlign w:val="center"/>
          </w:tcPr>
          <w:p>
            <w:pPr>
              <w:spacing w:after="20" w:line="250"/>
            </w:pPr>
            <w:r>
              <w:rPr>
                <w:sz w:val="18"/>
                <w:szCs w:val="18"/>
              </w:rPr>
              <w:t xml:space="preserve">—</w:t>
            </w:r>
          </w:p>
        </w:tc>
        <w:tc>
          <w:tcPr>
            <w:tcW w:type="dxa" w:w="1905"/>
            <w:shd w:fill="F3F6FA" w:color="auto" w:val="clear"/>
            <w:tcMar>
              <w:top w:type="dxa" w:w="60"/>
              <w:left w:type="dxa" w:w="90"/>
              <w:bottom w:type="dxa" w:w="60"/>
              <w:right w:type="dxa" w:w="90"/>
            </w:tcMar>
            <w:vAlign w:val="center"/>
          </w:tcPr>
          <w:p>
            <w:pPr>
              <w:spacing w:after="20" w:line="250"/>
            </w:pPr>
            <w:r>
              <w:rPr>
                <w:sz w:val="18"/>
                <w:szCs w:val="18"/>
              </w:rPr>
              <w:t xml:space="preserve">Band wavelengths, gain/offset, map info, acquisition details</w:t>
            </w:r>
          </w:p>
        </w:tc>
      </w:tr>
      <w:tr>
        <w:trPr>
          <w:cantSplit/>
        </w:trPr>
        <w:tc>
          <w:tcPr>
            <w:tcW w:type="dxa" w:w="2155"/>
            <w:tcMar>
              <w:top w:type="dxa" w:w="60"/>
              <w:left w:type="dxa" w:w="90"/>
              <w:bottom w:type="dxa" w:w="60"/>
              <w:right w:type="dxa" w:w="90"/>
            </w:tcMar>
            <w:vAlign w:val="center"/>
          </w:tcPr>
          <w:p>
            <w:pPr>
              <w:spacing w:after="20" w:line="250"/>
            </w:pPr>
            <w:r>
              <w:rPr>
                <w:sz w:val="18"/>
                <w:szCs w:val="18"/>
              </w:rPr>
              <w:t xml:space="preserve">Reference spectrum</w:t>
            </w:r>
          </w:p>
        </w:tc>
        <w:tc>
          <w:tcPr>
            <w:tcW w:type="dxa" w:w="1268"/>
            <w:tcMar>
              <w:top w:type="dxa" w:w="60"/>
              <w:left w:type="dxa" w:w="90"/>
              <w:bottom w:type="dxa" w:w="60"/>
              <w:right w:type="dxa" w:w="90"/>
            </w:tcMar>
            <w:vAlign w:val="center"/>
          </w:tcPr>
          <w:p>
            <w:pPr>
              <w:spacing w:after="20" w:line="250"/>
            </w:pPr>
            <w:r>
              <w:rPr>
                <w:sz w:val="18"/>
                <w:szCs w:val="18"/>
              </w:rPr>
              <w:t xml:space="preserve">Non-spatial</w:t>
            </w:r>
          </w:p>
        </w:tc>
        <w:tc>
          <w:tcPr>
            <w:tcW w:type="dxa" w:w="1268"/>
            <w:tcMar>
              <w:top w:type="dxa" w:w="60"/>
              <w:left w:type="dxa" w:w="90"/>
              <w:bottom w:type="dxa" w:w="60"/>
              <w:right w:type="dxa" w:w="90"/>
            </w:tcMar>
            <w:vAlign w:val="center"/>
          </w:tcPr>
          <w:p>
            <w:pPr>
              <w:spacing w:after="20" w:line="250"/>
            </w:pPr>
            <w:r>
              <w:rPr>
                <w:sz w:val="18"/>
                <w:szCs w:val="18"/>
              </w:rPr>
              <w:t xml:space="preserve">224 values</w:t>
            </w:r>
          </w:p>
        </w:tc>
        <w:tc>
          <w:tcPr>
            <w:tcW w:type="dxa" w:w="1648"/>
            <w:tcMar>
              <w:top w:type="dxa" w:w="60"/>
              <w:left w:type="dxa" w:w="90"/>
              <w:bottom w:type="dxa" w:w="60"/>
              <w:right w:type="dxa" w:w="90"/>
            </w:tcMar>
            <w:vAlign w:val="center"/>
          </w:tcPr>
          <w:p>
            <w:pPr>
              <w:spacing w:after="20" w:line="250"/>
            </w:pPr>
            <w:r>
              <w:rPr>
                <w:sz w:val="18"/>
                <w:szCs w:val="18"/>
              </w:rPr>
              <w:t xml:space="preserve">Clicked pixel on the map</w:t>
            </w:r>
          </w:p>
        </w:tc>
        <w:tc>
          <w:tcPr>
            <w:tcW w:type="dxa" w:w="1394"/>
            <w:tcMar>
              <w:top w:type="dxa" w:w="60"/>
              <w:left w:type="dxa" w:w="90"/>
              <w:bottom w:type="dxa" w:w="60"/>
              <w:right w:type="dxa" w:w="90"/>
            </w:tcMar>
            <w:vAlign w:val="center"/>
          </w:tcPr>
          <w:p>
            <w:pPr>
              <w:spacing w:after="20" w:line="250"/>
            </w:pPr>
            <w:r>
              <w:rPr>
                <w:sz w:val="18"/>
                <w:szCs w:val="18"/>
              </w:rPr>
              <w:t xml:space="preserve">—</w:t>
            </w:r>
          </w:p>
        </w:tc>
        <w:tc>
          <w:tcPr>
            <w:tcW w:type="dxa" w:w="1905"/>
            <w:tcMar>
              <w:top w:type="dxa" w:w="60"/>
              <w:left w:type="dxa" w:w="90"/>
              <w:bottom w:type="dxa" w:w="60"/>
              <w:right w:type="dxa" w:w="90"/>
            </w:tcMar>
            <w:vAlign w:val="center"/>
          </w:tcPr>
          <w:p>
            <w:pPr>
              <w:spacing w:after="20" w:line="250"/>
            </w:pPr>
            <w:r>
              <w:rPr>
                <w:sz w:val="18"/>
                <w:szCs w:val="18"/>
              </w:rPr>
              <w:t xml:space="preserve">SAM target definition</w:t>
            </w:r>
          </w:p>
        </w:tc>
      </w:tr>
      <w:tr>
        <w:trPr>
          <w:cantSplit/>
        </w:trPr>
        <w:tc>
          <w:tcPr>
            <w:tcW w:type="dxa" w:w="2155"/>
            <w:shd w:fill="F3F6FA" w:color="auto" w:val="clear"/>
            <w:tcMar>
              <w:top w:type="dxa" w:w="60"/>
              <w:left w:type="dxa" w:w="90"/>
              <w:bottom w:type="dxa" w:w="60"/>
              <w:right w:type="dxa" w:w="90"/>
            </w:tcMar>
            <w:vAlign w:val="center"/>
          </w:tcPr>
          <w:p>
            <w:pPr>
              <w:spacing w:after="20" w:line="250"/>
            </w:pPr>
            <w:r>
              <w:rPr>
                <w:sz w:val="18"/>
                <w:szCs w:val="18"/>
              </w:rPr>
              <w:t xml:space="preserve">Result tables (zonal stats, clusters.csv, run_info.csv, pca_eigen.csv)</w:t>
            </w:r>
          </w:p>
        </w:tc>
        <w:tc>
          <w:tcPr>
            <w:tcW w:type="dxa" w:w="1268"/>
            <w:shd w:fill="F3F6FA" w:color="auto" w:val="clear"/>
            <w:tcMar>
              <w:top w:type="dxa" w:w="60"/>
              <w:left w:type="dxa" w:w="90"/>
              <w:bottom w:type="dxa" w:w="60"/>
              <w:right w:type="dxa" w:w="90"/>
            </w:tcMar>
            <w:vAlign w:val="center"/>
          </w:tcPr>
          <w:p>
            <w:pPr>
              <w:spacing w:after="20" w:line="250"/>
            </w:pPr>
            <w:r>
              <w:rPr>
                <w:sz w:val="18"/>
                <w:szCs w:val="18"/>
              </w:rPr>
              <w:t xml:space="preserve">Non-spatial</w:t>
            </w:r>
          </w:p>
        </w:tc>
        <w:tc>
          <w:tcPr>
            <w:tcW w:type="dxa" w:w="1268"/>
            <w:shd w:fill="F3F6FA" w:color="auto" w:val="clear"/>
            <w:tcMar>
              <w:top w:type="dxa" w:w="60"/>
              <w:left w:type="dxa" w:w="90"/>
              <w:bottom w:type="dxa" w:w="60"/>
              <w:right w:type="dxa" w:w="90"/>
            </w:tcMar>
            <w:vAlign w:val="center"/>
          </w:tcPr>
          <w:p>
            <w:pPr>
              <w:spacing w:after="20" w:line="250"/>
            </w:pPr>
            <w:r>
              <w:rPr>
                <w:sz w:val="18"/>
                <w:szCs w:val="18"/>
              </w:rPr>
              <w:t xml:space="preserve">CSV</w:t>
            </w:r>
          </w:p>
        </w:tc>
        <w:tc>
          <w:tcPr>
            <w:tcW w:type="dxa" w:w="1648"/>
            <w:shd w:fill="F3F6FA" w:color="auto" w:val="clear"/>
            <w:tcMar>
              <w:top w:type="dxa" w:w="60"/>
              <w:left w:type="dxa" w:w="90"/>
              <w:bottom w:type="dxa" w:w="60"/>
              <w:right w:type="dxa" w:w="90"/>
            </w:tcMar>
            <w:vAlign w:val="center"/>
          </w:tcPr>
          <w:p>
            <w:pPr>
              <w:spacing w:after="20" w:line="250"/>
            </w:pPr>
            <w:r>
              <w:rPr>
                <w:sz w:val="18"/>
                <w:szCs w:val="18"/>
              </w:rPr>
              <w:t xml:space="preserve">Analytics jobs, engine</w:t>
            </w:r>
          </w:p>
        </w:tc>
        <w:tc>
          <w:tcPr>
            <w:tcW w:type="dxa" w:w="1394"/>
            <w:shd w:fill="F3F6FA" w:color="auto" w:val="clear"/>
            <w:tcMar>
              <w:top w:type="dxa" w:w="60"/>
              <w:left w:type="dxa" w:w="90"/>
              <w:bottom w:type="dxa" w:w="60"/>
              <w:right w:type="dxa" w:w="90"/>
            </w:tcMar>
            <w:vAlign w:val="center"/>
          </w:tcPr>
          <w:p>
            <w:pPr>
              <w:spacing w:after="20" w:line="250"/>
            </w:pPr>
            <w:r>
              <w:rPr>
                <w:sz w:val="18"/>
                <w:szCs w:val="18"/>
              </w:rPr>
              <w:t xml:space="preserve">—</w:t>
            </w:r>
          </w:p>
        </w:tc>
        <w:tc>
          <w:tcPr>
            <w:tcW w:type="dxa" w:w="1905"/>
            <w:shd w:fill="F3F6FA" w:color="auto" w:val="clear"/>
            <w:tcMar>
              <w:top w:type="dxa" w:w="60"/>
              <w:left w:type="dxa" w:w="90"/>
              <w:bottom w:type="dxa" w:w="60"/>
              <w:right w:type="dxa" w:w="90"/>
            </w:tcMar>
            <w:vAlign w:val="center"/>
          </w:tcPr>
          <w:p>
            <w:pPr>
              <w:spacing w:after="20" w:line="250"/>
            </w:pPr>
            <w:r>
              <w:rPr>
                <w:sz w:val="18"/>
                <w:szCs w:val="18"/>
              </w:rPr>
              <w:t xml:space="preserve">Statistics, legend labels, reporting</w:t>
            </w:r>
          </w:p>
        </w:tc>
      </w:tr>
      <w:tr>
        <w:trPr>
          <w:cantSplit/>
        </w:trPr>
        <w:tc>
          <w:tcPr>
            <w:tcW w:type="dxa" w:w="2155"/>
            <w:tcMar>
              <w:top w:type="dxa" w:w="60"/>
              <w:left w:type="dxa" w:w="90"/>
              <w:bottom w:type="dxa" w:w="60"/>
              <w:right w:type="dxa" w:w="90"/>
            </w:tcMar>
            <w:vAlign w:val="center"/>
          </w:tcPr>
          <w:p>
            <w:pPr>
              <w:spacing w:after="20" w:line="250"/>
            </w:pPr>
            <w:r>
              <w:rPr>
                <w:sz w:val="18"/>
                <w:szCs w:val="18"/>
              </w:rPr>
              <w:t xml:space="preserve">Benchmark and validation tables</w:t>
            </w:r>
          </w:p>
        </w:tc>
        <w:tc>
          <w:tcPr>
            <w:tcW w:type="dxa" w:w="1268"/>
            <w:tcMar>
              <w:top w:type="dxa" w:w="60"/>
              <w:left w:type="dxa" w:w="90"/>
              <w:bottom w:type="dxa" w:w="60"/>
              <w:right w:type="dxa" w:w="90"/>
            </w:tcMar>
            <w:vAlign w:val="center"/>
          </w:tcPr>
          <w:p>
            <w:pPr>
              <w:spacing w:after="20" w:line="250"/>
            </w:pPr>
            <w:r>
              <w:rPr>
                <w:sz w:val="18"/>
                <w:szCs w:val="18"/>
              </w:rPr>
              <w:t xml:space="preserve">Non-spatial</w:t>
            </w:r>
          </w:p>
        </w:tc>
        <w:tc>
          <w:tcPr>
            <w:tcW w:type="dxa" w:w="1268"/>
            <w:tcMar>
              <w:top w:type="dxa" w:w="60"/>
              <w:left w:type="dxa" w:w="90"/>
              <w:bottom w:type="dxa" w:w="60"/>
              <w:right w:type="dxa" w:w="90"/>
            </w:tcMar>
            <w:vAlign w:val="center"/>
          </w:tcPr>
          <w:p>
            <w:pPr>
              <w:spacing w:after="20" w:line="250"/>
            </w:pPr>
            <w:r>
              <w:rPr>
                <w:sz w:val="18"/>
                <w:szCs w:val="18"/>
              </w:rPr>
              <w:t xml:space="preserve">CSV</w:t>
            </w:r>
          </w:p>
        </w:tc>
        <w:tc>
          <w:tcPr>
            <w:tcW w:type="dxa" w:w="1648"/>
            <w:tcMar>
              <w:top w:type="dxa" w:w="60"/>
              <w:left w:type="dxa" w:w="90"/>
              <w:bottom w:type="dxa" w:w="60"/>
              <w:right w:type="dxa" w:w="90"/>
            </w:tcMar>
            <w:vAlign w:val="center"/>
          </w:tcPr>
          <w:p>
            <w:pPr>
              <w:spacing w:after="20" w:line="250"/>
            </w:pPr>
            <w:r>
              <w:rPr>
                <w:sz w:val="18"/>
                <w:szCs w:val="18"/>
              </w:rPr>
              <w:t xml:space="preserve">Project test scripts</w:t>
            </w:r>
          </w:p>
        </w:tc>
        <w:tc>
          <w:tcPr>
            <w:tcW w:type="dxa" w:w="1394"/>
            <w:tcMar>
              <w:top w:type="dxa" w:w="60"/>
              <w:left w:type="dxa" w:w="90"/>
              <w:bottom w:type="dxa" w:w="60"/>
              <w:right w:type="dxa" w:w="90"/>
            </w:tcMar>
            <w:vAlign w:val="center"/>
          </w:tcPr>
          <w:p>
            <w:pPr>
              <w:spacing w:after="20" w:line="250"/>
            </w:pPr>
            <w:r>
              <w:rPr>
                <w:sz w:val="18"/>
                <w:szCs w:val="18"/>
              </w:rPr>
              <w:t xml:space="preserve">—</w:t>
            </w:r>
          </w:p>
        </w:tc>
        <w:tc>
          <w:tcPr>
            <w:tcW w:type="dxa" w:w="1905"/>
            <w:tcMar>
              <w:top w:type="dxa" w:w="60"/>
              <w:left w:type="dxa" w:w="90"/>
              <w:bottom w:type="dxa" w:w="60"/>
              <w:right w:type="dxa" w:w="90"/>
            </w:tcMar>
            <w:vAlign w:val="center"/>
          </w:tcPr>
          <w:p>
            <w:pPr>
              <w:spacing w:after="20" w:line="250"/>
            </w:pPr>
            <w:r>
              <w:rPr>
                <w:sz w:val="18"/>
                <w:szCs w:val="18"/>
              </w:rPr>
              <w:t xml:space="preserve">Performance and accuracy evidence</w:t>
            </w:r>
          </w:p>
        </w:tc>
      </w:tr>
    </w:tbl>
    <w:p>
      <w:pPr>
        <w:spacing w:after="120"/>
      </w:pPr>
    </w:p>
    <w:p>
      <w:pPr>
        <w:keepNext/>
        <w:spacing w:after="60" w:before="120"/>
        <w:jc w:val="center"/>
      </w:pPr>
      <w:r>
        <w:drawing>
          <wp:inline distT="0" distB="0" distL="0" distR="0">
            <wp:extent cx="6124575" cy="2400300"/>
            <wp:effectExtent t="0" r="0" b="0" l="0"/>
            <wp:docPr id="2" name="map_ql_masks.png" descr="Three of the quality layers DLR delivers with the scene. They serve as independent reference data for validating the project's results." title="Three of the quality layers DLR delivers with the scene. They serve as independent reference data for validating the project's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400300"/>
                    </a:xfrm>
                    <a:prstGeom prst="rect">
                      <a:avLst/>
                    </a:prstGeom>
                  </pic:spPr>
                </pic:pic>
              </a:graphicData>
            </a:graphic>
          </wp:inline>
        </w:drawing>
      </w:r>
    </w:p>
    <w:p>
      <w:pPr>
        <w:spacing w:after="200"/>
      </w:pPr>
      <w:r>
        <w:rPr>
          <w:b/>
          <w:bCs/>
          <w:color w:val="52514E"/>
          <w:sz w:val="18"/>
          <w:szCs w:val="18"/>
        </w:rPr>
        <w:t xml:space="preserve">Figure 2.</w:t>
      </w:r>
      <w:r>
        <w:rPr>
          <w:color w:val="52514E"/>
          <w:sz w:val="18"/>
          <w:szCs w:val="18"/>
        </w:rPr>
        <w:t xml:space="preserve"> Three of the quality layers DLR delivers with the scene. They serve as independent reference data for validating the project's results.</w:t>
      </w:r>
    </w:p>
    <w:p>
      <w:pPr>
        <w:pStyle w:val="Heading2"/>
      </w:pPr>
      <w:bookmarkStart w:name="_Toc9" w:id="9"/>
      <w:r>
        <w:t xml:space="preserve">3.3 Data preparation rules</w:t>
      </w:r>
      <w:bookmarkEnd w:id="9"/>
    </w:p>
    <w:p>
      <w:pPr>
        <w:pStyle w:val="ListParagraph"/>
        <w:numPr>
          <w:ilvl w:val="0"/>
          <w:numId w:val="2"/>
        </w:numPr>
        <w:spacing w:after="60"/>
      </w:pPr>
      <w:r>
        <w:rPr>
          <w:b/>
          <w:bCs/>
        </w:rPr>
        <w:t xml:space="preserve">Bands by wavelength, not by number.</w:t>
      </w:r>
      <w:r>
        <w:t xml:space="preserve"> The engine and the analytics plugin read every band's centre wavelength and pick the band nearest each target (e.g. NIR 860 nm → EnMAP band 75), so the same workflow works for other sensors.</w:t>
      </w:r>
    </w:p>
    <w:p>
      <w:pPr>
        <w:pStyle w:val="ListParagraph"/>
        <w:numPr>
          <w:ilvl w:val="0"/>
          <w:numId w:val="2"/>
        </w:numPr>
        <w:spacing w:after="60"/>
      </w:pPr>
      <w:r>
        <w:rPr>
          <w:b/>
          <w:bCs/>
        </w:rPr>
        <w:t xml:space="preserve">Reflectance scaling and no-data are handled explicitly.</w:t>
      </w:r>
      <w:r>
        <w:t xml:space="preserve"> EnMAP stores reflectance × 10,000 with −32768 as no-data; the project keeps raw values, applies the 0.0001 factor where physical reflectance is needed, and passes the no-data value explicitly to every job (a silent scaling of the no-data value was found and fixed during validation).</w:t>
      </w:r>
    </w:p>
    <w:p>
      <w:pPr>
        <w:pStyle w:val="ListParagraph"/>
        <w:numPr>
          <w:ilvl w:val="0"/>
          <w:numId w:val="2"/>
        </w:numPr>
        <w:spacing w:after="60"/>
      </w:pPr>
      <w:r>
        <w:rPr>
          <w:b/>
          <w:bCs/>
        </w:rPr>
        <w:t xml:space="preserve">Vectors in EPSG:4326, rasters in their native CRS.</w:t>
      </w:r>
      <w:r>
        <w:t xml:space="preserve"> Sedona reprojects zones into each raster's CRS on the fly; no manual reprojection is needed.</w:t>
      </w:r>
    </w:p>
    <w:p>
      <w:pPr>
        <w:pStyle w:val="ListParagraph"/>
        <w:numPr>
          <w:ilvl w:val="0"/>
          <w:numId w:val="2"/>
        </w:numPr>
        <w:spacing w:after="60"/>
      </w:pPr>
      <w:r>
        <w:rPr>
          <w:b/>
          <w:bCs/>
        </w:rPr>
        <w:t xml:space="preserve">Exchange formats.</w:t>
      </w:r>
      <w:r>
        <w:t xml:space="preserve"> GeoTIFF for rasters, GeoJSON/WKT for geometries, CSV for tables — no proprietary or Arrow-based formats (which conflict with GDAL on macOS).</w:t>
      </w:r>
    </w:p>
    <w:p>
      <w:pPr>
        <w:pStyle w:val="Heading1"/>
      </w:pPr>
      <w:bookmarkStart w:name="_Toc10" w:id="10"/>
      <w:r>
        <w:t xml:space="preserve">4. Interactive and dynamic functionalities</w:t>
      </w:r>
      <w:bookmarkEnd w:id="10"/>
    </w:p>
    <w:p>
      <w:r>
        <w:t xml:space="preserve">The project's dashboard is the </w:t>
      </w:r>
      <w:r>
        <w:rPr>
          <w:b/>
          <w:bCs/>
        </w:rPr>
        <w:t xml:space="preserve">QGIS window itself</w:t>
      </w:r>
      <w:r>
        <w:t xml:space="preserve">: the map canvas and layer panel display the results, and the two plugin dialogs act as control panels that launch processing and analytics and stream their progress live. Every result returns to the canvas as a styled, georeferenced layer that can be inspected, overlaid, queried and exported with standard QGIS tools.</w:t>
      </w:r>
    </w:p>
    <w:p>
      <w:pPr>
        <w:keepNext/>
        <w:spacing w:after="60" w:before="120"/>
        <w:jc w:val="center"/>
      </w:pPr>
      <w:r>
        <w:drawing>
          <wp:inline distT="0" distB="0" distL="0" distR="0">
            <wp:extent cx="4895850" cy="4133850"/>
            <wp:effectExtent t="0" r="0" b="0" l="0"/>
            <wp:docPr id="3" name="ui_processing_indices.png" descr="Control panel 1 — HyperSpectral Processer, with the engine's live output after a whole-scene run." title="Control panel 1 — HyperSpectral Processer, with the engine's live output after a whole-scen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95850" cy="4133850"/>
                    </a:xfrm>
                    <a:prstGeom prst="rect">
                      <a:avLst/>
                    </a:prstGeom>
                  </pic:spPr>
                </pic:pic>
              </a:graphicData>
            </a:graphic>
          </wp:inline>
        </w:drawing>
      </w:r>
    </w:p>
    <w:p>
      <w:pPr>
        <w:spacing w:after="200"/>
      </w:pPr>
      <w:r>
        <w:rPr>
          <w:b/>
          <w:bCs/>
          <w:color w:val="52514E"/>
          <w:sz w:val="18"/>
          <w:szCs w:val="18"/>
        </w:rPr>
        <w:t xml:space="preserve">Figure 3.</w:t>
      </w:r>
      <w:r>
        <w:rPr>
          <w:color w:val="52514E"/>
          <w:sz w:val="18"/>
          <w:szCs w:val="18"/>
        </w:rPr>
        <w:t xml:space="preserve"> Control panel 1 — HyperSpectral Processer, with the engine's live output after a whole-scene run.</w:t>
      </w:r>
    </w:p>
    <w:p>
      <w:pPr>
        <w:keepNext/>
        <w:spacing w:after="60" w:before="120"/>
        <w:jc w:val="center"/>
      </w:pPr>
      <w:r>
        <w:drawing>
          <wp:inline distT="0" distB="0" distL="0" distR="0">
            <wp:extent cx="4895850" cy="3619500"/>
            <wp:effectExtent t="0" r="0" b="0" l="0"/>
            <wp:docPr id="4" name="ui_analytics_dialog.png" descr="Control panel 2 — HyperSpatial Sedona Analytics." title="Control panel 2 — HyperSpatial Sedona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95850" cy="3619500"/>
                    </a:xfrm>
                    <a:prstGeom prst="rect">
                      <a:avLst/>
                    </a:prstGeom>
                  </pic:spPr>
                </pic:pic>
              </a:graphicData>
            </a:graphic>
          </wp:inline>
        </w:drawing>
      </w:r>
    </w:p>
    <w:p>
      <w:pPr>
        <w:spacing w:after="200"/>
      </w:pPr>
      <w:r>
        <w:rPr>
          <w:b/>
          <w:bCs/>
          <w:color w:val="52514E"/>
          <w:sz w:val="18"/>
          <w:szCs w:val="18"/>
        </w:rPr>
        <w:t xml:space="preserve">Figure 4.</w:t>
      </w:r>
      <w:r>
        <w:rPr>
          <w:color w:val="52514E"/>
          <w:sz w:val="18"/>
          <w:szCs w:val="18"/>
        </w:rPr>
        <w:t xml:space="preserve"> Control panel 2 — HyperSpatial Sedona Analytics.</w:t>
      </w:r>
    </w:p>
    <w:p>
      <w:pPr>
        <w:pStyle w:val="Heading2"/>
      </w:pPr>
      <w:bookmarkStart w:name="_Toc11" w:id="11"/>
      <w:r>
        <w:t xml:space="preserve">4.1 Features</w:t>
      </w:r>
      <w:bookmarkEnd w:id="11"/>
    </w:p>
    <w:p>
      <w:pPr>
        <w:keepNext/>
        <w:spacing w:after="80" w:before="160"/>
      </w:pPr>
      <w:r>
        <w:rPr>
          <w:b/>
          <w:bCs/>
          <w:color w:val="52514E"/>
          <w:sz w:val="18"/>
          <w:szCs w:val="18"/>
        </w:rPr>
        <w:t xml:space="preserve">Table 6.</w:t>
      </w:r>
      <w:r>
        <w:rPr>
          <w:color w:val="52514E"/>
          <w:sz w:val="18"/>
          <w:szCs w:val="18"/>
        </w:rPr>
        <w:t xml:space="preserve"> Interactive and dynamic functionalities.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258"/>
        <w:gridCol w:w="3313"/>
        <w:gridCol w:w="4067"/>
      </w:tblGrid>
      <w:tr>
        <w:trPr>
          <w:cantSplit/>
          <w:tblHeader/>
        </w:trPr>
        <w:tc>
          <w:tcPr>
            <w:tcW w:type="dxa" w:w="225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Feature</w:t>
            </w:r>
          </w:p>
        </w:tc>
        <w:tc>
          <w:tcPr>
            <w:tcW w:type="dxa" w:w="3313"/>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What the user does</w:t>
            </w:r>
          </w:p>
        </w:tc>
        <w:tc>
          <w:tcPr>
            <w:tcW w:type="dxa" w:w="4067"/>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What happens dynamically</w:t>
            </w:r>
          </w:p>
        </w:tc>
      </w:tr>
      <w:tr>
        <w:trPr>
          <w:cantSplit/>
        </w:trPr>
        <w:tc>
          <w:tcPr>
            <w:tcW w:type="dxa" w:w="2258"/>
            <w:tcMar>
              <w:top w:type="dxa" w:w="60"/>
              <w:left w:type="dxa" w:w="90"/>
              <w:bottom w:type="dxa" w:w="60"/>
              <w:right w:type="dxa" w:w="90"/>
            </w:tcMar>
            <w:vAlign w:val="center"/>
          </w:tcPr>
          <w:p>
            <w:pPr>
              <w:spacing w:after="20" w:line="250"/>
            </w:pPr>
            <w:r>
              <w:rPr>
                <w:sz w:val="18"/>
                <w:szCs w:val="18"/>
              </w:rPr>
              <w:t xml:space="preserve">Layer-based input</w:t>
            </w:r>
          </w:p>
        </w:tc>
        <w:tc>
          <w:tcPr>
            <w:tcW w:type="dxa" w:w="3313"/>
            <w:tcMar>
              <w:top w:type="dxa" w:w="60"/>
              <w:left w:type="dxa" w:w="90"/>
              <w:bottom w:type="dxa" w:w="60"/>
              <w:right w:type="dxa" w:w="90"/>
            </w:tcMar>
            <w:vAlign w:val="center"/>
          </w:tcPr>
          <w:p>
            <w:pPr>
              <w:spacing w:after="20" w:line="250"/>
            </w:pPr>
            <w:r>
              <w:rPr>
                <w:sz w:val="18"/>
                <w:szCs w:val="18"/>
              </w:rPr>
              <w:t xml:space="preserve">Picks any raster loaded in QGIS</w:t>
            </w:r>
          </w:p>
        </w:tc>
        <w:tc>
          <w:tcPr>
            <w:tcW w:type="dxa" w:w="4067"/>
            <w:tcMar>
              <w:top w:type="dxa" w:w="60"/>
              <w:left w:type="dxa" w:w="90"/>
              <w:bottom w:type="dxa" w:w="60"/>
              <w:right w:type="dxa" w:w="90"/>
            </w:tcMar>
            <w:vAlign w:val="center"/>
          </w:tcPr>
          <w:p>
            <w:pPr>
              <w:spacing w:after="20" w:line="250"/>
            </w:pPr>
            <w:r>
              <w:rPr>
                <w:sz w:val="18"/>
                <w:szCs w:val="18"/>
              </w:rPr>
              <w:t xml:space="preserve">The engine receives the file; bands are matched by wavelength automatically</w:t>
            </w:r>
          </w:p>
        </w:tc>
      </w:tr>
      <w:tr>
        <w:trPr>
          <w:cantSplit/>
        </w:trPr>
        <w:tc>
          <w:tcPr>
            <w:tcW w:type="dxa" w:w="2258"/>
            <w:shd w:fill="F3F6FA" w:color="auto" w:val="clear"/>
            <w:tcMar>
              <w:top w:type="dxa" w:w="60"/>
              <w:left w:type="dxa" w:w="90"/>
              <w:bottom w:type="dxa" w:w="60"/>
              <w:right w:type="dxa" w:w="90"/>
            </w:tcMar>
            <w:vAlign w:val="center"/>
          </w:tcPr>
          <w:p>
            <w:pPr>
              <w:spacing w:after="20" w:line="250"/>
            </w:pPr>
            <w:r>
              <w:rPr>
                <w:sz w:val="18"/>
                <w:szCs w:val="18"/>
              </w:rPr>
              <w:t xml:space="preserve">Engine discovery and one-click download</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Opens the dialog / clicks </w:t>
            </w:r>
            <w:r>
              <w:rPr>
                <w:sz w:val="18"/>
                <w:szCs w:val="18"/>
              </w:rPr>
              <w:t xml:space="preserve">Download engine</w:t>
            </w:r>
          </w:p>
        </w:tc>
        <w:tc>
          <w:tcPr>
            <w:tcW w:type="dxa" w:w="4067"/>
            <w:shd w:fill="F3F6FA" w:color="auto" w:val="clear"/>
            <w:tcMar>
              <w:top w:type="dxa" w:w="60"/>
              <w:left w:type="dxa" w:w="90"/>
              <w:bottom w:type="dxa" w:w="60"/>
              <w:right w:type="dxa" w:w="90"/>
            </w:tcMar>
            <w:vAlign w:val="center"/>
          </w:tcPr>
          <w:p>
            <w:pPr>
              <w:spacing w:after="20" w:line="250"/>
            </w:pPr>
            <w:r>
              <w:rPr>
                <w:sz w:val="18"/>
                <w:szCs w:val="18"/>
              </w:rPr>
              <w:t xml:space="preserve">The engine is found or downloaded for the user's OS in the background; status shown in colour</w:t>
            </w:r>
          </w:p>
        </w:tc>
      </w:tr>
      <w:tr>
        <w:trPr>
          <w:cantSplit/>
        </w:trPr>
        <w:tc>
          <w:tcPr>
            <w:tcW w:type="dxa" w:w="2258"/>
            <w:tcMar>
              <w:top w:type="dxa" w:w="60"/>
              <w:left w:type="dxa" w:w="90"/>
              <w:bottom w:type="dxa" w:w="60"/>
              <w:right w:type="dxa" w:w="90"/>
            </w:tcMar>
            <w:vAlign w:val="center"/>
          </w:tcPr>
          <w:p>
            <w:pPr>
              <w:spacing w:after="20" w:line="250"/>
            </w:pPr>
            <w:r>
              <w:rPr>
                <w:sz w:val="18"/>
                <w:szCs w:val="18"/>
              </w:rPr>
              <w:t xml:space="preserve">Operation switching</w:t>
            </w:r>
          </w:p>
        </w:tc>
        <w:tc>
          <w:tcPr>
            <w:tcW w:type="dxa" w:w="3313"/>
            <w:tcMar>
              <w:top w:type="dxa" w:w="60"/>
              <w:left w:type="dxa" w:w="90"/>
              <w:bottom w:type="dxa" w:w="60"/>
              <w:right w:type="dxa" w:w="90"/>
            </w:tcMar>
            <w:vAlign w:val="center"/>
          </w:tcPr>
          <w:p>
            <w:pPr>
              <w:spacing w:after="20" w:line="250"/>
            </w:pPr>
            <w:r>
              <w:rPr>
                <w:sz w:val="18"/>
                <w:szCs w:val="18"/>
              </w:rPr>
              <w:t xml:space="preserve">Chooses Indices, PCA or SAM</w:t>
            </w:r>
          </w:p>
        </w:tc>
        <w:tc>
          <w:tcPr>
            <w:tcW w:type="dxa" w:w="4067"/>
            <w:tcMar>
              <w:top w:type="dxa" w:w="60"/>
              <w:left w:type="dxa" w:w="90"/>
              <w:bottom w:type="dxa" w:w="60"/>
              <w:right w:type="dxa" w:w="90"/>
            </w:tcMar>
            <w:vAlign w:val="center"/>
          </w:tcPr>
          <w:p>
            <w:pPr>
              <w:spacing w:after="20" w:line="250"/>
            </w:pPr>
            <w:r>
              <w:rPr>
                <w:sz w:val="18"/>
                <w:szCs w:val="18"/>
              </w:rPr>
              <w:t xml:space="preserve">The panel changes to the options of that operation</w:t>
            </w:r>
          </w:p>
        </w:tc>
      </w:tr>
      <w:tr>
        <w:trPr>
          <w:cantSplit/>
        </w:trPr>
        <w:tc>
          <w:tcPr>
            <w:tcW w:type="dxa" w:w="2258"/>
            <w:shd w:fill="F3F6FA" w:color="auto" w:val="clear"/>
            <w:tcMar>
              <w:top w:type="dxa" w:w="60"/>
              <w:left w:type="dxa" w:w="90"/>
              <w:bottom w:type="dxa" w:w="60"/>
              <w:right w:type="dxa" w:w="90"/>
            </w:tcMar>
            <w:vAlign w:val="center"/>
          </w:tcPr>
          <w:p>
            <w:pPr>
              <w:spacing w:after="20" w:line="250"/>
            </w:pPr>
            <w:r>
              <w:rPr>
                <w:sz w:val="18"/>
                <w:szCs w:val="18"/>
              </w:rPr>
              <w:t xml:space="preserve">Click-to-detect (SAM)</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Clicks a pixel on the map</w:t>
            </w:r>
          </w:p>
        </w:tc>
        <w:tc>
          <w:tcPr>
            <w:tcW w:type="dxa" w:w="4067"/>
            <w:shd w:fill="F3F6FA" w:color="auto" w:val="clear"/>
            <w:tcMar>
              <w:top w:type="dxa" w:w="60"/>
              <w:left w:type="dxa" w:w="90"/>
              <w:bottom w:type="dxa" w:w="60"/>
              <w:right w:type="dxa" w:w="90"/>
            </w:tcMar>
            <w:vAlign w:val="center"/>
          </w:tcPr>
          <w:p>
            <w:pPr>
              <w:spacing w:after="20" w:line="250"/>
            </w:pPr>
            <w:r>
              <w:rPr>
                <w:sz w:val="18"/>
                <w:szCs w:val="18"/>
              </w:rPr>
              <w:t xml:space="preserve">The pixel's full 224-band spectrum is captured; the angle threshold is shown in radians and degrees live</w:t>
            </w:r>
          </w:p>
        </w:tc>
      </w:tr>
      <w:tr>
        <w:trPr>
          <w:cantSplit/>
        </w:trPr>
        <w:tc>
          <w:tcPr>
            <w:tcW w:type="dxa" w:w="2258"/>
            <w:tcMar>
              <w:top w:type="dxa" w:w="60"/>
              <w:left w:type="dxa" w:w="90"/>
              <w:bottom w:type="dxa" w:w="60"/>
              <w:right w:type="dxa" w:w="90"/>
            </w:tcMar>
            <w:vAlign w:val="center"/>
          </w:tcPr>
          <w:p>
            <w:pPr>
              <w:spacing w:after="20" w:line="250"/>
            </w:pPr>
            <w:r>
              <w:rPr>
                <w:sz w:val="18"/>
                <w:szCs w:val="18"/>
              </w:rPr>
              <w:t xml:space="preserve">Backend and cores</w:t>
            </w:r>
          </w:p>
        </w:tc>
        <w:tc>
          <w:tcPr>
            <w:tcW w:type="dxa" w:w="3313"/>
            <w:tcMar>
              <w:top w:type="dxa" w:w="60"/>
              <w:left w:type="dxa" w:w="90"/>
              <w:bottom w:type="dxa" w:w="60"/>
              <w:right w:type="dxa" w:w="90"/>
            </w:tcMar>
            <w:vAlign w:val="center"/>
          </w:tcPr>
          <w:p>
            <w:pPr>
              <w:spacing w:after="20" w:line="250"/>
            </w:pPr>
            <w:r>
              <w:rPr>
                <w:sz w:val="18"/>
                <w:szCs w:val="18"/>
              </w:rPr>
              <w:t xml:space="preserve">Chooses CPU (OpenMP) or GPU (OpenCL) and the number of cores</w:t>
            </w:r>
          </w:p>
        </w:tc>
        <w:tc>
          <w:tcPr>
            <w:tcW w:type="dxa" w:w="4067"/>
            <w:tcMar>
              <w:top w:type="dxa" w:w="60"/>
              <w:left w:type="dxa" w:w="90"/>
              <w:bottom w:type="dxa" w:w="60"/>
              <w:right w:type="dxa" w:w="90"/>
            </w:tcMar>
            <w:vAlign w:val="center"/>
          </w:tcPr>
          <w:p>
            <w:pPr>
              <w:spacing w:after="20" w:line="250"/>
            </w:pPr>
            <w:r>
              <w:rPr>
                <w:sz w:val="18"/>
                <w:szCs w:val="18"/>
              </w:rPr>
              <w:t xml:space="preserve">Runs on the chosen hardware; falls back to the CPU automatically if the GPU is unavailable</w:t>
            </w:r>
          </w:p>
        </w:tc>
      </w:tr>
      <w:tr>
        <w:trPr>
          <w:cantSplit/>
        </w:trPr>
        <w:tc>
          <w:tcPr>
            <w:tcW w:type="dxa" w:w="2258"/>
            <w:shd w:fill="F3F6FA" w:color="auto" w:val="clear"/>
            <w:tcMar>
              <w:top w:type="dxa" w:w="60"/>
              <w:left w:type="dxa" w:w="90"/>
              <w:bottom w:type="dxa" w:w="60"/>
              <w:right w:type="dxa" w:w="90"/>
            </w:tcMar>
            <w:vAlign w:val="center"/>
          </w:tcPr>
          <w:p>
            <w:pPr>
              <w:spacing w:after="20" w:line="250"/>
            </w:pPr>
            <w:r>
              <w:rPr>
                <w:sz w:val="18"/>
                <w:szCs w:val="18"/>
              </w:rPr>
              <w:t xml:space="preserve">Live progress</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Clicks RUN</w:t>
            </w:r>
          </w:p>
        </w:tc>
        <w:tc>
          <w:tcPr>
            <w:tcW w:type="dxa" w:w="4067"/>
            <w:shd w:fill="F3F6FA" w:color="auto" w:val="clear"/>
            <w:tcMar>
              <w:top w:type="dxa" w:w="60"/>
              <w:left w:type="dxa" w:w="90"/>
              <w:bottom w:type="dxa" w:w="60"/>
              <w:right w:type="dxa" w:w="90"/>
            </w:tcMar>
            <w:vAlign w:val="center"/>
          </w:tcPr>
          <w:p>
            <w:pPr>
              <w:spacing w:after="20" w:line="250"/>
            </w:pPr>
            <w:r>
              <w:rPr>
                <w:sz w:val="18"/>
                <w:szCs w:val="18"/>
              </w:rPr>
              <w:t xml:space="preserve">Engine and Spark output stream into the log; the interface stays fully responsive</w:t>
            </w:r>
          </w:p>
        </w:tc>
      </w:tr>
      <w:tr>
        <w:trPr>
          <w:cantSplit/>
        </w:trPr>
        <w:tc>
          <w:tcPr>
            <w:tcW w:type="dxa" w:w="2258"/>
            <w:tcMar>
              <w:top w:type="dxa" w:w="60"/>
              <w:left w:type="dxa" w:w="90"/>
              <w:bottom w:type="dxa" w:w="60"/>
              <w:right w:type="dxa" w:w="90"/>
            </w:tcMar>
            <w:vAlign w:val="center"/>
          </w:tcPr>
          <w:p>
            <w:pPr>
              <w:spacing w:after="20" w:line="250"/>
            </w:pPr>
            <w:r>
              <w:rPr>
                <w:sz w:val="18"/>
                <w:szCs w:val="18"/>
              </w:rPr>
              <w:t xml:space="preserve">Automatic, styled results</w:t>
            </w:r>
          </w:p>
        </w:tc>
        <w:tc>
          <w:tcPr>
            <w:tcW w:type="dxa" w:w="3313"/>
            <w:tcMar>
              <w:top w:type="dxa" w:w="60"/>
              <w:left w:type="dxa" w:w="90"/>
              <w:bottom w:type="dxa" w:w="60"/>
              <w:right w:type="dxa" w:w="90"/>
            </w:tcMar>
            <w:vAlign w:val="center"/>
          </w:tcPr>
          <w:p>
            <w:pPr>
              <w:spacing w:after="20" w:line="250"/>
            </w:pPr>
            <w:r>
              <w:rPr>
                <w:sz w:val="18"/>
                <w:szCs w:val="18"/>
              </w:rPr>
              <w:t xml:space="preserve">—</w:t>
            </w:r>
          </w:p>
        </w:tc>
        <w:tc>
          <w:tcPr>
            <w:tcW w:type="dxa" w:w="4067"/>
            <w:tcMar>
              <w:top w:type="dxa" w:w="60"/>
              <w:left w:type="dxa" w:w="90"/>
              <w:bottom w:type="dxa" w:w="60"/>
              <w:right w:type="dxa" w:w="90"/>
            </w:tcMar>
            <w:vAlign w:val="center"/>
          </w:tcPr>
          <w:p>
            <w:pPr>
              <w:spacing w:after="20" w:line="250"/>
            </w:pPr>
            <w:r>
              <w:rPr>
                <w:sz w:val="18"/>
                <w:szCs w:val="18"/>
              </w:rPr>
              <w:t xml:space="preserve">Index layers stretched −1…+1; PCA as RGB; SAM angle with an inverted colour ramp and red detection mask; Q5 class map with a labelled legend</w:t>
            </w:r>
          </w:p>
        </w:tc>
      </w:tr>
      <w:tr>
        <w:trPr>
          <w:cantSplit/>
        </w:trPr>
        <w:tc>
          <w:tcPr>
            <w:tcW w:type="dxa" w:w="2258"/>
            <w:shd w:fill="F3F6FA" w:color="auto" w:val="clear"/>
            <w:tcMar>
              <w:top w:type="dxa" w:w="60"/>
              <w:left w:type="dxa" w:w="90"/>
              <w:bottom w:type="dxa" w:w="60"/>
              <w:right w:type="dxa" w:w="90"/>
            </w:tcMar>
            <w:vAlign w:val="center"/>
          </w:tcPr>
          <w:p>
            <w:pPr>
              <w:spacing w:after="20" w:line="250"/>
            </w:pPr>
            <w:r>
              <w:rPr>
                <w:sz w:val="18"/>
                <w:szCs w:val="18"/>
              </w:rPr>
              <w:t xml:space="preserve">Distributed queries</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Chooses Q1–Q5, a tiles folder, an AOI/field file or a raw cube</w:t>
            </w:r>
          </w:p>
        </w:tc>
        <w:tc>
          <w:tcPr>
            <w:tcW w:type="dxa" w:w="4067"/>
            <w:shd w:fill="F3F6FA" w:color="auto" w:val="clear"/>
            <w:tcMar>
              <w:top w:type="dxa" w:w="60"/>
              <w:left w:type="dxa" w:w="90"/>
              <w:bottom w:type="dxa" w:w="60"/>
              <w:right w:type="dxa" w:w="90"/>
            </w:tcMar>
            <w:vAlign w:val="center"/>
          </w:tcPr>
          <w:p>
            <w:pPr>
              <w:spacing w:after="20" w:line="250"/>
            </w:pPr>
            <w:r>
              <w:rPr>
                <w:sz w:val="18"/>
                <w:szCs w:val="18"/>
              </w:rPr>
              <w:t xml:space="preserve">Spark/Sedona jobs run in the background and return tables and maps</w:t>
            </w:r>
          </w:p>
        </w:tc>
      </w:tr>
      <w:tr>
        <w:trPr>
          <w:cantSplit/>
        </w:trPr>
        <w:tc>
          <w:tcPr>
            <w:tcW w:type="dxa" w:w="2258"/>
            <w:tcMar>
              <w:top w:type="dxa" w:w="60"/>
              <w:left w:type="dxa" w:w="90"/>
              <w:bottom w:type="dxa" w:w="60"/>
              <w:right w:type="dxa" w:w="90"/>
            </w:tcMar>
            <w:vAlign w:val="center"/>
          </w:tcPr>
          <w:p>
            <w:pPr>
              <w:spacing w:after="20" w:line="250"/>
            </w:pPr>
            <w:r>
              <w:rPr>
                <w:sz w:val="18"/>
                <w:szCs w:val="18"/>
              </w:rPr>
              <w:t xml:space="preserve">Automatic band detection</w:t>
            </w:r>
          </w:p>
        </w:tc>
        <w:tc>
          <w:tcPr>
            <w:tcW w:type="dxa" w:w="3313"/>
            <w:tcMar>
              <w:top w:type="dxa" w:w="60"/>
              <w:left w:type="dxa" w:w="90"/>
              <w:bottom w:type="dxa" w:w="60"/>
              <w:right w:type="dxa" w:w="90"/>
            </w:tcMar>
            <w:vAlign w:val="center"/>
          </w:tcPr>
          <w:p>
            <w:pPr>
              <w:spacing w:after="20" w:line="250"/>
            </w:pPr>
            <w:r>
              <w:rPr>
                <w:sz w:val="18"/>
                <w:szCs w:val="18"/>
              </w:rPr>
              <w:t xml:space="preserve">Selects a raw cube</w:t>
            </w:r>
          </w:p>
        </w:tc>
        <w:tc>
          <w:tcPr>
            <w:tcW w:type="dxa" w:w="4067"/>
            <w:tcMar>
              <w:top w:type="dxa" w:w="60"/>
              <w:left w:type="dxa" w:w="90"/>
              <w:bottom w:type="dxa" w:w="60"/>
              <w:right w:type="dxa" w:w="90"/>
            </w:tcMar>
            <w:vAlign w:val="center"/>
          </w:tcPr>
          <w:p>
            <w:pPr>
              <w:spacing w:after="20" w:line="250"/>
            </w:pPr>
            <w:r>
              <w:rPr>
                <w:sz w:val="18"/>
                <w:szCs w:val="18"/>
              </w:rPr>
              <w:t xml:space="preserve">RED/NIR (Q4) or six reflectance bands (Q5) are detected from wavelengths and filled in</w:t>
            </w:r>
          </w:p>
        </w:tc>
      </w:tr>
      <w:tr>
        <w:trPr>
          <w:cantSplit/>
        </w:trPr>
        <w:tc>
          <w:tcPr>
            <w:tcW w:type="dxa" w:w="2258"/>
            <w:shd w:fill="F3F6FA" w:color="auto" w:val="clear"/>
            <w:tcMar>
              <w:top w:type="dxa" w:w="60"/>
              <w:left w:type="dxa" w:w="90"/>
              <w:bottom w:type="dxa" w:w="60"/>
              <w:right w:type="dxa" w:w="90"/>
            </w:tcMar>
            <w:vAlign w:val="center"/>
          </w:tcPr>
          <w:p>
            <w:pPr>
              <w:spacing w:after="20" w:line="250"/>
            </w:pPr>
            <w:r>
              <w:rPr>
                <w:sz w:val="18"/>
                <w:szCs w:val="18"/>
              </w:rPr>
              <w:t xml:space="preserve">Adjustable machine learning</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Sets the number of clusters, feature mode and training fraction</w:t>
            </w:r>
          </w:p>
        </w:tc>
        <w:tc>
          <w:tcPr>
            <w:tcW w:type="dxa" w:w="4067"/>
            <w:shd w:fill="F3F6FA" w:color="auto" w:val="clear"/>
            <w:tcMar>
              <w:top w:type="dxa" w:w="60"/>
              <w:left w:type="dxa" w:w="90"/>
              <w:bottom w:type="dxa" w:w="60"/>
              <w:right w:type="dxa" w:w="90"/>
            </w:tcMar>
            <w:vAlign w:val="center"/>
          </w:tcPr>
          <w:p>
            <w:pPr>
              <w:spacing w:after="20" w:line="250"/>
            </w:pPr>
            <w:r>
              <w:rPr>
                <w:sz w:val="18"/>
                <w:szCs w:val="18"/>
              </w:rPr>
              <w:t xml:space="preserve">A new land-cover model is trained and mapped in about 12 seconds; cluster labels are suggested automatically</w:t>
            </w:r>
          </w:p>
        </w:tc>
      </w:tr>
      <w:tr>
        <w:trPr>
          <w:cantSplit/>
        </w:trPr>
        <w:tc>
          <w:tcPr>
            <w:tcW w:type="dxa" w:w="2258"/>
            <w:tcMar>
              <w:top w:type="dxa" w:w="60"/>
              <w:left w:type="dxa" w:w="90"/>
              <w:bottom w:type="dxa" w:w="60"/>
              <w:right w:type="dxa" w:w="90"/>
            </w:tcMar>
            <w:vAlign w:val="center"/>
          </w:tcPr>
          <w:p>
            <w:pPr>
              <w:spacing w:after="20" w:line="250"/>
            </w:pPr>
            <w:r>
              <w:rPr>
                <w:sz w:val="18"/>
                <w:szCs w:val="18"/>
              </w:rPr>
              <w:t xml:space="preserve">Inspection and export</w:t>
            </w:r>
          </w:p>
        </w:tc>
        <w:tc>
          <w:tcPr>
            <w:tcW w:type="dxa" w:w="3313"/>
            <w:tcMar>
              <w:top w:type="dxa" w:w="60"/>
              <w:left w:type="dxa" w:w="90"/>
              <w:bottom w:type="dxa" w:w="60"/>
              <w:right w:type="dxa" w:w="90"/>
            </w:tcMar>
            <w:vAlign w:val="center"/>
          </w:tcPr>
          <w:p>
            <w:pPr>
              <w:spacing w:after="20" w:line="250"/>
            </w:pPr>
            <w:r>
              <w:rPr>
                <w:sz w:val="18"/>
                <w:szCs w:val="18"/>
              </w:rPr>
              <w:t xml:space="preserve">Uses QGIS's identify, layer styling, print layout and export tools</w:t>
            </w:r>
          </w:p>
        </w:tc>
        <w:tc>
          <w:tcPr>
            <w:tcW w:type="dxa" w:w="4067"/>
            <w:tcMar>
              <w:top w:type="dxa" w:w="60"/>
              <w:left w:type="dxa" w:w="90"/>
              <w:bottom w:type="dxa" w:w="60"/>
              <w:right w:type="dxa" w:w="90"/>
            </w:tcMar>
            <w:vAlign w:val="center"/>
          </w:tcPr>
          <w:p>
            <w:pPr>
              <w:spacing w:after="20" w:line="250"/>
            </w:pPr>
            <w:r>
              <w:rPr>
                <w:sz w:val="18"/>
                <w:szCs w:val="18"/>
              </w:rPr>
              <w:t xml:space="preserve">All outputs are standard GeoTIFF/VRT/CSV files</w:t>
            </w:r>
          </w:p>
        </w:tc>
      </w:tr>
    </w:tbl>
    <w:p>
      <w:pPr>
        <w:spacing w:after="120"/>
      </w:pPr>
    </w:p>
    <w:p>
      <w:pPr>
        <w:pStyle w:val="Heading2"/>
      </w:pPr>
      <w:bookmarkStart w:name="_Toc12" w:id="12"/>
      <w:r>
        <w:t xml:space="preserve">4.2 A typical session</w:t>
      </w:r>
      <w:bookmarkEnd w:id="12"/>
    </w:p>
    <w:p>
      <w:pPr>
        <w:pStyle w:val="ListParagraph"/>
        <w:numPr>
          <w:ilvl w:val="0"/>
          <w:numId w:val="4"/>
        </w:numPr>
        <w:spacing w:after="60"/>
      </w:pPr>
      <w:r>
        <w:t xml:space="preserve">Load the EnMAP cube in QGIS and open HyperSpectral Processer; choose Spectral Indices and VRT output; click RUN — seven index layers appear in about 3 seconds.</w:t>
      </w:r>
    </w:p>
    <w:p>
      <w:pPr>
        <w:pStyle w:val="ListParagraph"/>
        <w:numPr>
          <w:ilvl w:val="0"/>
          <w:numId w:val="4"/>
        </w:numPr>
        <w:spacing w:after="60"/>
      </w:pPr>
      <w:r>
        <w:t xml:space="preserve">Switch to SAM, click a lake on the map, set the max angle, click RUN — the angle map and detection mask appear.</w:t>
      </w:r>
    </w:p>
    <w:p>
      <w:pPr>
        <w:pStyle w:val="ListParagraph"/>
        <w:numPr>
          <w:ilvl w:val="0"/>
          <w:numId w:val="4"/>
        </w:numPr>
        <w:spacing w:after="60"/>
      </w:pPr>
      <w:r>
        <w:t xml:space="preserve">Open HyperSpatial Sedona Analytics; choose the tiles folder and a field-boundary GeoJSON; run the spatial join — per-field NDVI, NDWI and NDBI appear as a table.</w:t>
      </w:r>
    </w:p>
    <w:p>
      <w:pPr>
        <w:pStyle w:val="ListParagraph"/>
        <w:numPr>
          <w:ilvl w:val="0"/>
          <w:numId w:val="4"/>
        </w:numPr>
        <w:spacing w:after="60"/>
      </w:pPr>
      <w:r>
        <w:t xml:space="preserve">Choose K-Means, select the raw cube, click RUN — a land-cover map with a legend appears about 12 seconds later (Figure 5).</w:t>
      </w:r>
    </w:p>
    <w:p>
      <w:pPr>
        <w:keepNext/>
        <w:spacing w:after="60" w:before="120"/>
        <w:jc w:val="center"/>
      </w:pPr>
      <w:r>
        <w:drawing>
          <wp:inline distT="0" distB="0" distL="0" distR="0">
            <wp:extent cx="6124575" cy="3657600"/>
            <wp:effectExtent t="0" r="0" b="0" l="0"/>
            <wp:docPr id="5" name="ui_analytics_kmeans_canvas.png" descr="The QGIS dashboard after a K-Means run: the class map with its automatically labelled legend above the EnMAP scene." title="The QGIS dashboard after a K-Means run: the class map with its automatically labelled legend above the EnMAP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657600"/>
                    </a:xfrm>
                    <a:prstGeom prst="rect">
                      <a:avLst/>
                    </a:prstGeom>
                  </pic:spPr>
                </pic:pic>
              </a:graphicData>
            </a:graphic>
          </wp:inline>
        </w:drawing>
      </w:r>
    </w:p>
    <w:p>
      <w:pPr>
        <w:spacing w:after="200"/>
      </w:pPr>
      <w:r>
        <w:rPr>
          <w:b/>
          <w:bCs/>
          <w:color w:val="52514E"/>
          <w:sz w:val="18"/>
          <w:szCs w:val="18"/>
        </w:rPr>
        <w:t xml:space="preserve">Figure 5.</w:t>
      </w:r>
      <w:r>
        <w:rPr>
          <w:color w:val="52514E"/>
          <w:sz w:val="18"/>
          <w:szCs w:val="18"/>
        </w:rPr>
        <w:t xml:space="preserve"> The QGIS dashboard after a K-Means run: the class map with its automatically labelled legend above the EnMAP scene.</w:t>
      </w:r>
    </w:p>
    <w:p>
      <w:pPr>
        <w:pStyle w:val="Heading1"/>
      </w:pPr>
      <w:bookmarkStart w:name="_Toc13" w:id="13"/>
      <w:r>
        <w:t xml:space="preserve">5. Relevance, beneficiaries and expected outcome / impact</w:t>
      </w:r>
      <w:bookmarkEnd w:id="13"/>
    </w:p>
    <w:p>
      <w:pPr>
        <w:pStyle w:val="Heading2"/>
      </w:pPr>
      <w:bookmarkStart w:name="_Toc14" w:id="14"/>
      <w:r>
        <w:t xml:space="preserve">5.1 Practical significance</w:t>
      </w:r>
      <w:bookmarkEnd w:id="14"/>
    </w:p>
    <w:p>
      <w:r>
        <w:t xml:space="preserve">Hyperspectral archives are growing fast, and the applications that need them are everyday ones: crop condition and irrigation, forest health, inland and coastal water quality, snow and glacier monitoring, urban surfaces, and mineral mapping. The study scene illustrates several at once — alpine forest and meadows, glaciers and snowfields, and glacial lakes. HyperSpatial's significance is that it makes these analyses possible </w:t>
      </w:r>
      <w:r>
        <w:rPr>
          <w:b/>
          <w:bCs/>
        </w:rPr>
        <w:t xml:space="preserve">where the users already are</w:t>
      </w:r>
      <w:r>
        <w:t xml:space="preserve"> (QGIS), </w:t>
      </w:r>
      <w:r>
        <w:rPr>
          <w:b/>
          <w:bCs/>
        </w:rPr>
        <w:t xml:space="preserve">on the hardware they already have</w:t>
      </w:r>
      <w:r>
        <w:t xml:space="preserve">, and </w:t>
      </w:r>
      <w:r>
        <w:rPr>
          <w:b/>
          <w:bCs/>
        </w:rPr>
        <w:t xml:space="preserve">without writing code</w:t>
      </w:r>
      <w:r>
        <w:t xml:space="preserve">, while remaining fast enough to explore interactively.</w:t>
      </w:r>
    </w:p>
    <w:p>
      <w:pPr>
        <w:pStyle w:val="Heading2"/>
      </w:pPr>
      <w:bookmarkStart w:name="_Toc15" w:id="15"/>
      <w:r>
        <w:t xml:space="preserve">5.2 Potential users and beneficiaries</w:t>
      </w:r>
      <w:bookmarkEnd w:id="15"/>
    </w:p>
    <w:p>
      <w:pPr>
        <w:keepNext/>
        <w:spacing w:after="80" w:before="160"/>
      </w:pPr>
      <w:r>
        <w:rPr>
          <w:b/>
          <w:bCs/>
          <w:color w:val="52514E"/>
          <w:sz w:val="18"/>
          <w:szCs w:val="18"/>
        </w:rPr>
        <w:t xml:space="preserve">Table 7.</w:t>
      </w:r>
      <w:r>
        <w:rPr>
          <w:color w:val="52514E"/>
          <w:sz w:val="18"/>
          <w:szCs w:val="18"/>
        </w:rPr>
        <w:t xml:space="preserve"> Beneficiaries.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3011"/>
        <w:gridCol w:w="6627"/>
      </w:tblGrid>
      <w:tr>
        <w:trPr>
          <w:cantSplit/>
          <w:tblHeader/>
        </w:trPr>
        <w:tc>
          <w:tcPr>
            <w:tcW w:type="dxa" w:w="3011"/>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Beneficiary</w:t>
            </w:r>
          </w:p>
        </w:tc>
        <w:tc>
          <w:tcPr>
            <w:tcW w:type="dxa" w:w="6627"/>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How HyperSpatial helps</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University researchers and students</w:t>
            </w:r>
          </w:p>
        </w:tc>
        <w:tc>
          <w:tcPr>
            <w:tcW w:type="dxa" w:w="6627"/>
            <w:tcMar>
              <w:top w:type="dxa" w:w="60"/>
              <w:left w:type="dxa" w:w="90"/>
              <w:bottom w:type="dxa" w:w="60"/>
              <w:right w:type="dxa" w:w="90"/>
            </w:tcMar>
            <w:vAlign w:val="center"/>
          </w:tcPr>
          <w:p>
            <w:pPr>
              <w:spacing w:after="20" w:line="250"/>
            </w:pPr>
            <w:r>
              <w:rPr>
                <w:sz w:val="18"/>
                <w:szCs w:val="18"/>
              </w:rPr>
              <w:t xml:space="preserve">Full-scene hyperspectral analysis on lab laptops and Macs, without a cluster, NVIDIA GPU or commercial licence; transparent, open methods for teaching.</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Agriculture and forestry departments</w:t>
            </w:r>
          </w:p>
        </w:tc>
        <w:tc>
          <w:tcPr>
            <w:tcW w:type="dxa" w:w="6627"/>
            <w:shd w:fill="F3F6FA" w:color="auto" w:val="clear"/>
            <w:tcMar>
              <w:top w:type="dxa" w:w="60"/>
              <w:left w:type="dxa" w:w="90"/>
              <w:bottom w:type="dxa" w:w="60"/>
              <w:right w:type="dxa" w:w="90"/>
            </w:tcMar>
            <w:vAlign w:val="center"/>
          </w:tcPr>
          <w:p>
            <w:pPr>
              <w:spacing w:after="20" w:line="250"/>
            </w:pPr>
            <w:r>
              <w:rPr>
                <w:sz w:val="18"/>
                <w:szCs w:val="18"/>
              </w:rPr>
              <w:t xml:space="preserve">Per-field index statistics (Q2) and vegetation masks (Q3) from field-boundary files; land-cover maps without training data.</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Water-resource and disaster-management agencies</w:t>
            </w:r>
          </w:p>
        </w:tc>
        <w:tc>
          <w:tcPr>
            <w:tcW w:type="dxa" w:w="6627"/>
            <w:tcMar>
              <w:top w:type="dxa" w:w="60"/>
              <w:left w:type="dxa" w:w="90"/>
              <w:bottom w:type="dxa" w:w="60"/>
              <w:right w:type="dxa" w:w="90"/>
            </w:tcMar>
            <w:vAlign w:val="center"/>
          </w:tcPr>
          <w:p>
            <w:pPr>
              <w:spacing w:after="20" w:line="250"/>
            </w:pPr>
            <w:r>
              <w:rPr>
                <w:sz w:val="18"/>
                <w:szCs w:val="18"/>
              </w:rPr>
              <w:t xml:space="preserve">Water and snow/ice detection (NDWI, SAM, K-Means); rapid processing of new scenes.</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Urban and regional planners</w:t>
            </w:r>
          </w:p>
        </w:tc>
        <w:tc>
          <w:tcPr>
            <w:tcW w:type="dxa" w:w="6627"/>
            <w:shd w:fill="F3F6FA" w:color="auto" w:val="clear"/>
            <w:tcMar>
              <w:top w:type="dxa" w:w="60"/>
              <w:left w:type="dxa" w:w="90"/>
              <w:bottom w:type="dxa" w:w="60"/>
              <w:right w:type="dxa" w:w="90"/>
            </w:tcMar>
            <w:vAlign w:val="center"/>
          </w:tcPr>
          <w:p>
            <w:pPr>
              <w:spacing w:after="20" w:line="250"/>
            </w:pPr>
            <w:r>
              <w:rPr>
                <w:sz w:val="18"/>
                <w:szCs w:val="18"/>
              </w:rPr>
              <w:t xml:space="preserve">Built-up indices (NDBI) and land-cover classes for planning studies.</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The QGIS and open-source community</w:t>
            </w:r>
          </w:p>
        </w:tc>
        <w:tc>
          <w:tcPr>
            <w:tcW w:type="dxa" w:w="6627"/>
            <w:tcMar>
              <w:top w:type="dxa" w:w="60"/>
              <w:left w:type="dxa" w:w="90"/>
              <w:bottom w:type="dxa" w:w="60"/>
              <w:right w:type="dxa" w:w="90"/>
            </w:tcMar>
            <w:vAlign w:val="center"/>
          </w:tcPr>
          <w:p>
            <w:pPr>
              <w:spacing w:after="20" w:line="250"/>
            </w:pPr>
            <w:r>
              <w:rPr>
                <w:sz w:val="18"/>
                <w:szCs w:val="18"/>
              </w:rPr>
              <w:t xml:space="preserve">Reusable plugins, a documented engine and a tested pattern for running Spark/Sedona and MLlib from QGIS.</w:t>
            </w:r>
          </w:p>
        </w:tc>
      </w:tr>
    </w:tbl>
    <w:p>
      <w:pPr>
        <w:spacing w:after="120"/>
      </w:pPr>
    </w:p>
    <w:p>
      <w:pPr>
        <w:pStyle w:val="Heading2"/>
      </w:pPr>
      <w:bookmarkStart w:name="_Toc16" w:id="16"/>
      <w:r>
        <w:t xml:space="preserve">5.3 How the project addresses the problem</w:t>
      </w:r>
      <w:bookmarkEnd w:id="16"/>
    </w:p>
    <w:p>
      <w:pPr>
        <w:keepNext/>
        <w:spacing w:after="80" w:before="160"/>
      </w:pPr>
      <w:r>
        <w:rPr>
          <w:b/>
          <w:bCs/>
          <w:color w:val="52514E"/>
          <w:sz w:val="18"/>
          <w:szCs w:val="18"/>
        </w:rPr>
        <w:t xml:space="preserve">Table 8.</w:t>
      </w:r>
      <w:r>
        <w:rPr>
          <w:color w:val="52514E"/>
          <w:sz w:val="18"/>
          <w:szCs w:val="18"/>
        </w:rPr>
        <w:t xml:space="preserve"> From problem to solution to evidence.</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108"/>
        <w:gridCol w:w="3614"/>
        <w:gridCol w:w="3916"/>
      </w:tblGrid>
      <w:tr>
        <w:trPr>
          <w:cantSplit/>
          <w:tblHeader/>
        </w:trPr>
        <w:tc>
          <w:tcPr>
            <w:tcW w:type="dxa" w:w="210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Barrier (§2.1)</w:t>
            </w:r>
          </w:p>
        </w:tc>
        <w:tc>
          <w:tcPr>
            <w:tcW w:type="dxa" w:w="3614"/>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HyperSpatial's answer</w:t>
            </w:r>
          </w:p>
        </w:tc>
        <w:tc>
          <w:tcPr>
            <w:tcW w:type="dxa" w:w="3916"/>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Evidence on the study scene</w:t>
            </w:r>
          </w:p>
        </w:tc>
      </w:tr>
      <w:tr>
        <w:trPr>
          <w:cantSplit/>
        </w:trPr>
        <w:tc>
          <w:tcPr>
            <w:tcW w:type="dxa" w:w="2108"/>
            <w:tcMar>
              <w:top w:type="dxa" w:w="60"/>
              <w:left w:type="dxa" w:w="90"/>
              <w:bottom w:type="dxa" w:w="60"/>
              <w:right w:type="dxa" w:w="90"/>
            </w:tcMar>
            <w:vAlign w:val="center"/>
          </w:tcPr>
          <w:p>
            <w:pPr>
              <w:spacing w:after="20" w:line="250"/>
            </w:pPr>
            <w:r>
              <w:rPr>
                <w:sz w:val="18"/>
                <w:szCs w:val="18"/>
              </w:rPr>
              <w:t xml:space="preserve">Memory-bound tools</w:t>
            </w:r>
          </w:p>
        </w:tc>
        <w:tc>
          <w:tcPr>
            <w:tcW w:type="dxa" w:w="3614"/>
            <w:tcMar>
              <w:top w:type="dxa" w:w="60"/>
              <w:left w:type="dxa" w:w="90"/>
              <w:bottom w:type="dxa" w:w="60"/>
              <w:right w:type="dxa" w:w="90"/>
            </w:tcMar>
            <w:vAlign w:val="center"/>
          </w:tcPr>
          <w:p>
            <w:pPr>
              <w:spacing w:after="20" w:line="250"/>
            </w:pPr>
            <w:r>
              <w:rPr>
                <w:sz w:val="18"/>
                <w:szCs w:val="18"/>
              </w:rPr>
              <w:t xml:space="preserve">Out-of-core tile engine; memory ≈ threads × 250 MB</w:t>
            </w:r>
          </w:p>
        </w:tc>
        <w:tc>
          <w:tcPr>
            <w:tcW w:type="dxa" w:w="3916"/>
            <w:tcMar>
              <w:top w:type="dxa" w:w="60"/>
              <w:left w:type="dxa" w:w="90"/>
              <w:bottom w:type="dxa" w:w="60"/>
              <w:right w:type="dxa" w:w="90"/>
            </w:tcMar>
            <w:vAlign w:val="center"/>
          </w:tcPr>
          <w:p>
            <w:pPr>
              <w:spacing w:after="20" w:line="250"/>
            </w:pPr>
            <w:r>
              <w:rPr>
                <w:sz w:val="18"/>
                <w:szCs w:val="18"/>
              </w:rPr>
              <w:t xml:space="preserve">Whole scene, all 7 indices in 2.5 s; peak 4.2 GB at 8 threads</w:t>
            </w:r>
          </w:p>
        </w:tc>
      </w:tr>
      <w:tr>
        <w:trPr>
          <w:cantSplit/>
        </w:trPr>
        <w:tc>
          <w:tcPr>
            <w:tcW w:type="dxa" w:w="2108"/>
            <w:shd w:fill="F3F6FA" w:color="auto" w:val="clear"/>
            <w:tcMar>
              <w:top w:type="dxa" w:w="60"/>
              <w:left w:type="dxa" w:w="90"/>
              <w:bottom w:type="dxa" w:w="60"/>
              <w:right w:type="dxa" w:w="90"/>
            </w:tcMar>
            <w:vAlign w:val="center"/>
          </w:tcPr>
          <w:p>
            <w:pPr>
              <w:spacing w:after="20" w:line="250"/>
            </w:pPr>
            <w:r>
              <w:rPr>
                <w:sz w:val="18"/>
                <w:szCs w:val="18"/>
              </w:rPr>
              <w:t xml:space="preserve">Vendor-locked GPU</w:t>
            </w:r>
          </w:p>
        </w:tc>
        <w:tc>
          <w:tcPr>
            <w:tcW w:type="dxa" w:w="3614"/>
            <w:shd w:fill="F3F6FA" w:color="auto" w:val="clear"/>
            <w:tcMar>
              <w:top w:type="dxa" w:w="60"/>
              <w:left w:type="dxa" w:w="90"/>
              <w:bottom w:type="dxa" w:w="60"/>
              <w:right w:type="dxa" w:w="90"/>
            </w:tcMar>
            <w:vAlign w:val="center"/>
          </w:tcPr>
          <w:p>
            <w:pPr>
              <w:spacing w:after="20" w:line="250"/>
            </w:pPr>
            <w:r>
              <w:rPr>
                <w:sz w:val="18"/>
                <w:szCs w:val="18"/>
              </w:rPr>
              <w:t xml:space="preserve">OpenCL 1.2 backend with CPU fallback</w:t>
            </w:r>
          </w:p>
        </w:tc>
        <w:tc>
          <w:tcPr>
            <w:tcW w:type="dxa" w:w="3916"/>
            <w:shd w:fill="F3F6FA" w:color="auto" w:val="clear"/>
            <w:tcMar>
              <w:top w:type="dxa" w:w="60"/>
              <w:left w:type="dxa" w:w="90"/>
              <w:bottom w:type="dxa" w:w="60"/>
              <w:right w:type="dxa" w:w="90"/>
            </w:tcMar>
            <w:vAlign w:val="center"/>
          </w:tcPr>
          <w:p>
            <w:pPr>
              <w:spacing w:after="20" w:line="250"/>
            </w:pPr>
            <w:r>
              <w:rPr>
                <w:sz w:val="18"/>
                <w:szCs w:val="18"/>
              </w:rPr>
              <w:t xml:space="preserve">Runs on Apple-silicon GPU; CPU–GPU results identical except 1 pixel in 1.5 million</w:t>
            </w:r>
          </w:p>
        </w:tc>
      </w:tr>
      <w:tr>
        <w:trPr>
          <w:cantSplit/>
        </w:trPr>
        <w:tc>
          <w:tcPr>
            <w:tcW w:type="dxa" w:w="2108"/>
            <w:tcMar>
              <w:top w:type="dxa" w:w="60"/>
              <w:left w:type="dxa" w:w="90"/>
              <w:bottom w:type="dxa" w:w="60"/>
              <w:right w:type="dxa" w:w="90"/>
            </w:tcMar>
            <w:vAlign w:val="center"/>
          </w:tcPr>
          <w:p>
            <w:pPr>
              <w:spacing w:after="20" w:line="250"/>
            </w:pPr>
            <w:r>
              <w:rPr>
                <w:sz w:val="18"/>
                <w:szCs w:val="18"/>
              </w:rPr>
              <w:t xml:space="preserve">Big data outside GIS</w:t>
            </w:r>
          </w:p>
        </w:tc>
        <w:tc>
          <w:tcPr>
            <w:tcW w:type="dxa" w:w="3614"/>
            <w:tcMar>
              <w:top w:type="dxa" w:w="60"/>
              <w:left w:type="dxa" w:w="90"/>
              <w:bottom w:type="dxa" w:w="60"/>
              <w:right w:type="dxa" w:w="90"/>
            </w:tcMar>
            <w:vAlign w:val="center"/>
          </w:tcPr>
          <w:p>
            <w:pPr>
              <w:spacing w:after="20" w:line="250"/>
            </w:pPr>
            <w:r>
              <w:rPr>
                <w:sz w:val="18"/>
                <w:szCs w:val="18"/>
              </w:rPr>
              <w:t xml:space="preserve">Spark + Sedona jobs launched from a QGIS dialog</w:t>
            </w:r>
          </w:p>
        </w:tc>
        <w:tc>
          <w:tcPr>
            <w:tcW w:type="dxa" w:w="3916"/>
            <w:tcMar>
              <w:top w:type="dxa" w:w="60"/>
              <w:left w:type="dxa" w:w="90"/>
              <w:bottom w:type="dxa" w:w="60"/>
              <w:right w:type="dxa" w:w="90"/>
            </w:tcMar>
            <w:vAlign w:val="center"/>
          </w:tcPr>
          <w:p>
            <w:pPr>
              <w:spacing w:after="20" w:line="250"/>
            </w:pPr>
            <w:r>
              <w:rPr>
                <w:sz w:val="18"/>
                <w:szCs w:val="18"/>
              </w:rPr>
              <w:t xml:space="preserve">Per-zone joins in 8.4 s; per-pixel masks written in the JVM</w:t>
            </w:r>
          </w:p>
        </w:tc>
      </w:tr>
      <w:tr>
        <w:trPr>
          <w:cantSplit/>
        </w:trPr>
        <w:tc>
          <w:tcPr>
            <w:tcW w:type="dxa" w:w="2108"/>
            <w:shd w:fill="F3F6FA" w:color="auto" w:val="clear"/>
            <w:tcMar>
              <w:top w:type="dxa" w:w="60"/>
              <w:left w:type="dxa" w:w="90"/>
              <w:bottom w:type="dxa" w:w="60"/>
              <w:right w:type="dxa" w:w="90"/>
            </w:tcMar>
            <w:vAlign w:val="center"/>
          </w:tcPr>
          <w:p>
            <w:pPr>
              <w:spacing w:after="20" w:line="250"/>
            </w:pPr>
            <w:r>
              <w:rPr>
                <w:sz w:val="18"/>
                <w:szCs w:val="18"/>
              </w:rPr>
              <w:t xml:space="preserve">ML needs labels and code</w:t>
            </w:r>
          </w:p>
        </w:tc>
        <w:tc>
          <w:tcPr>
            <w:tcW w:type="dxa" w:w="3614"/>
            <w:shd w:fill="F3F6FA" w:color="auto" w:val="clear"/>
            <w:tcMar>
              <w:top w:type="dxa" w:w="60"/>
              <w:left w:type="dxa" w:w="90"/>
              <w:bottom w:type="dxa" w:w="60"/>
              <w:right w:type="dxa" w:w="90"/>
            </w:tcMar>
            <w:vAlign w:val="center"/>
          </w:tcPr>
          <w:p>
            <w:pPr>
              <w:spacing w:after="20" w:line="250"/>
            </w:pPr>
            <w:r>
              <w:rPr>
                <w:sz w:val="18"/>
                <w:szCs w:val="18"/>
              </w:rPr>
              <w:t xml:space="preserve">Unsupervised K-Means, compiled to per-pixel map algebra</w:t>
            </w:r>
          </w:p>
        </w:tc>
        <w:tc>
          <w:tcPr>
            <w:tcW w:type="dxa" w:w="3916"/>
            <w:shd w:fill="F3F6FA" w:color="auto" w:val="clear"/>
            <w:tcMar>
              <w:top w:type="dxa" w:w="60"/>
              <w:left w:type="dxa" w:w="90"/>
              <w:bottom w:type="dxa" w:w="60"/>
              <w:right w:type="dxa" w:w="90"/>
            </w:tcMar>
            <w:vAlign w:val="center"/>
          </w:tcPr>
          <w:p>
            <w:pPr>
              <w:spacing w:after="20" w:line="250"/>
            </w:pPr>
            <w:r>
              <w:rPr>
                <w:sz w:val="18"/>
                <w:szCs w:val="18"/>
              </w:rPr>
              <w:t xml:space="preserve">Land-cover map in ~12 s; water IoU 0.58, snow precision 0.92 vs DLR masks</w:t>
            </w:r>
          </w:p>
        </w:tc>
      </w:tr>
    </w:tbl>
    <w:p>
      <w:pPr>
        <w:spacing w:after="120"/>
      </w:pPr>
    </w:p>
    <w:p>
      <w:pPr>
        <w:pStyle w:val="Heading2"/>
      </w:pPr>
      <w:bookmarkStart w:name="_Toc17" w:id="17"/>
      <w:r>
        <w:t xml:space="preserve">5.4 Expected outcome and impact</w:t>
      </w:r>
      <w:bookmarkEnd w:id="17"/>
    </w:p>
    <w:p>
      <w:pPr>
        <w:keepNext/>
        <w:spacing w:after="80" w:before="160"/>
      </w:pPr>
      <w:r>
        <w:rPr>
          <w:b/>
          <w:bCs/>
          <w:color w:val="52514E"/>
          <w:sz w:val="18"/>
          <w:szCs w:val="18"/>
        </w:rPr>
        <w:t xml:space="preserve">Table 9.</w:t>
      </w:r>
      <w:r>
        <w:rPr>
          <w:color w:val="52514E"/>
          <w:sz w:val="18"/>
          <w:szCs w:val="18"/>
        </w:rPr>
        <w:t xml:space="preserve"> Outcomes measured on the study scene (Apple M4 Pro laptop).</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409"/>
        <w:gridCol w:w="7229"/>
      </w:tblGrid>
      <w:tr>
        <w:trPr>
          <w:cantSplit/>
          <w:tblHeader/>
        </w:trPr>
        <w:tc>
          <w:tcPr>
            <w:tcW w:type="dxa" w:w="240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Outcome</w:t>
            </w:r>
          </w:p>
        </w:tc>
        <w:tc>
          <w:tcPr>
            <w:tcW w:type="dxa" w:w="722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Measured result</w:t>
            </w:r>
          </w:p>
        </w:tc>
      </w:tr>
      <w:tr>
        <w:trPr>
          <w:cantSplit/>
        </w:trPr>
        <w:tc>
          <w:tcPr>
            <w:tcW w:type="dxa" w:w="2409"/>
            <w:tcMar>
              <w:top w:type="dxa" w:w="60"/>
              <w:left w:type="dxa" w:w="90"/>
              <w:bottom w:type="dxa" w:w="60"/>
              <w:right w:type="dxa" w:w="90"/>
            </w:tcMar>
            <w:vAlign w:val="center"/>
          </w:tcPr>
          <w:p>
            <w:pPr>
              <w:spacing w:after="20" w:line="250"/>
            </w:pPr>
            <w:r>
              <w:rPr>
                <w:sz w:val="18"/>
                <w:szCs w:val="18"/>
              </w:rPr>
              <w:t xml:space="preserve">Speed</w:t>
            </w:r>
          </w:p>
        </w:tc>
        <w:tc>
          <w:tcPr>
            <w:tcW w:type="dxa" w:w="7229"/>
            <w:tcMar>
              <w:top w:type="dxa" w:w="60"/>
              <w:left w:type="dxa" w:w="90"/>
              <w:bottom w:type="dxa" w:w="60"/>
              <w:right w:type="dxa" w:w="90"/>
            </w:tcMar>
            <w:vAlign w:val="center"/>
          </w:tcPr>
          <w:p>
            <w:pPr>
              <w:spacing w:after="20" w:line="250"/>
            </w:pPr>
            <w:r>
              <w:rPr>
                <w:sz w:val="18"/>
                <w:szCs w:val="18"/>
              </w:rPr>
              <w:t xml:space="preserve">7 indices for the whole scene in 2.52 s (3.4× faster than one core); SAM in 0.99 s; PCA in 5.96 s</w:t>
            </w:r>
          </w:p>
        </w:tc>
      </w:tr>
      <w:tr>
        <w:trPr>
          <w:cantSplit/>
        </w:trPr>
        <w:tc>
          <w:tcPr>
            <w:tcW w:type="dxa" w:w="2409"/>
            <w:shd w:fill="F3F6FA" w:color="auto" w:val="clear"/>
            <w:tcMar>
              <w:top w:type="dxa" w:w="60"/>
              <w:left w:type="dxa" w:w="90"/>
              <w:bottom w:type="dxa" w:w="60"/>
              <w:right w:type="dxa" w:w="90"/>
            </w:tcMar>
            <w:vAlign w:val="center"/>
          </w:tcPr>
          <w:p>
            <w:pPr>
              <w:spacing w:after="20" w:line="250"/>
            </w:pPr>
            <w:r>
              <w:rPr>
                <w:sz w:val="18"/>
                <w:szCs w:val="18"/>
              </w:rPr>
              <w:t xml:space="preserve">Scalability of memory</w:t>
            </w:r>
          </w:p>
        </w:tc>
        <w:tc>
          <w:tcPr>
            <w:tcW w:type="dxa" w:w="7229"/>
            <w:shd w:fill="F3F6FA" w:color="auto" w:val="clear"/>
            <w:tcMar>
              <w:top w:type="dxa" w:w="60"/>
              <w:left w:type="dxa" w:w="90"/>
              <w:bottom w:type="dxa" w:w="60"/>
              <w:right w:type="dxa" w:w="90"/>
            </w:tcMar>
            <w:vAlign w:val="center"/>
          </w:tcPr>
          <w:p>
            <w:pPr>
              <w:spacing w:after="20" w:line="250"/>
            </w:pPr>
            <w:r>
              <w:rPr>
                <w:sz w:val="18"/>
                <w:szCs w:val="18"/>
              </w:rPr>
              <w:t xml:space="preserve">Peak memory depends on threads (1.4 → 4.4 GB), not on scene size</w:t>
            </w:r>
          </w:p>
        </w:tc>
      </w:tr>
      <w:tr>
        <w:trPr>
          <w:cantSplit/>
        </w:trPr>
        <w:tc>
          <w:tcPr>
            <w:tcW w:type="dxa" w:w="2409"/>
            <w:tcMar>
              <w:top w:type="dxa" w:w="60"/>
              <w:left w:type="dxa" w:w="90"/>
              <w:bottom w:type="dxa" w:w="60"/>
              <w:right w:type="dxa" w:w="90"/>
            </w:tcMar>
            <w:vAlign w:val="center"/>
          </w:tcPr>
          <w:p>
            <w:pPr>
              <w:spacing w:after="20" w:line="250"/>
            </w:pPr>
            <w:r>
              <w:rPr>
                <w:sz w:val="18"/>
                <w:szCs w:val="18"/>
              </w:rPr>
              <w:t xml:space="preserve">Machine-learning land cover</w:t>
            </w:r>
          </w:p>
        </w:tc>
        <w:tc>
          <w:tcPr>
            <w:tcW w:type="dxa" w:w="7229"/>
            <w:tcMar>
              <w:top w:type="dxa" w:w="60"/>
              <w:left w:type="dxa" w:w="90"/>
              <w:bottom w:type="dxa" w:w="60"/>
              <w:right w:type="dxa" w:w="90"/>
            </w:tcMar>
            <w:vAlign w:val="center"/>
          </w:tcPr>
          <w:p>
            <w:pPr>
              <w:spacing w:after="20" w:line="250"/>
            </w:pPr>
            <w:r>
              <w:rPr>
                <w:sz w:val="18"/>
                <w:szCs w:val="18"/>
              </w:rPr>
              <w:t xml:space="preserve">8-class map of 1,069,499 pixels in 12–14 s including Spark start-up</w:t>
            </w:r>
          </w:p>
        </w:tc>
      </w:tr>
      <w:tr>
        <w:trPr>
          <w:cantSplit/>
        </w:trPr>
        <w:tc>
          <w:tcPr>
            <w:tcW w:type="dxa" w:w="2409"/>
            <w:shd w:fill="F3F6FA" w:color="auto" w:val="clear"/>
            <w:tcMar>
              <w:top w:type="dxa" w:w="60"/>
              <w:left w:type="dxa" w:w="90"/>
              <w:bottom w:type="dxa" w:w="60"/>
              <w:right w:type="dxa" w:w="90"/>
            </w:tcMar>
            <w:vAlign w:val="center"/>
          </w:tcPr>
          <w:p>
            <w:pPr>
              <w:spacing w:after="20" w:line="250"/>
            </w:pPr>
            <w:r>
              <w:rPr>
                <w:sz w:val="18"/>
                <w:szCs w:val="18"/>
              </w:rPr>
              <w:t xml:space="preserve">Correctness</w:t>
            </w:r>
          </w:p>
        </w:tc>
        <w:tc>
          <w:tcPr>
            <w:tcW w:type="dxa" w:w="7229"/>
            <w:shd w:fill="F3F6FA" w:color="auto" w:val="clear"/>
            <w:tcMar>
              <w:top w:type="dxa" w:w="60"/>
              <w:left w:type="dxa" w:w="90"/>
              <w:bottom w:type="dxa" w:w="60"/>
              <w:right w:type="dxa" w:w="90"/>
            </w:tcMar>
            <w:vAlign w:val="center"/>
          </w:tcPr>
          <w:p>
            <w:pPr>
              <w:spacing w:after="20" w:line="250"/>
            </w:pPr>
            <w:r>
              <w:rPr>
                <w:sz w:val="18"/>
                <w:szCs w:val="18"/>
              </w:rPr>
              <w:t xml:space="preserve">Model-to-map agreement 100 %; raw-cube NDVI equal to an independent NumPy computation (0.5616)</w:t>
            </w:r>
          </w:p>
        </w:tc>
      </w:tr>
      <w:tr>
        <w:trPr>
          <w:cantSplit/>
        </w:trPr>
        <w:tc>
          <w:tcPr>
            <w:tcW w:type="dxa" w:w="2409"/>
            <w:tcMar>
              <w:top w:type="dxa" w:w="60"/>
              <w:left w:type="dxa" w:w="90"/>
              <w:bottom w:type="dxa" w:w="60"/>
              <w:right w:type="dxa" w:w="90"/>
            </w:tcMar>
            <w:vAlign w:val="center"/>
          </w:tcPr>
          <w:p>
            <w:pPr>
              <w:spacing w:after="20" w:line="250"/>
            </w:pPr>
            <w:r>
              <w:rPr>
                <w:sz w:val="18"/>
                <w:szCs w:val="18"/>
              </w:rPr>
              <w:t xml:space="preserve">Usability</w:t>
            </w:r>
          </w:p>
        </w:tc>
        <w:tc>
          <w:tcPr>
            <w:tcW w:type="dxa" w:w="7229"/>
            <w:tcMar>
              <w:top w:type="dxa" w:w="60"/>
              <w:left w:type="dxa" w:w="90"/>
              <w:bottom w:type="dxa" w:w="60"/>
              <w:right w:type="dxa" w:w="90"/>
            </w:tcMar>
            <w:vAlign w:val="center"/>
          </w:tcPr>
          <w:p>
            <w:pPr>
              <w:spacing w:after="20" w:line="250"/>
            </w:pPr>
            <w:r>
              <w:rPr>
                <w:sz w:val="18"/>
                <w:szCs w:val="18"/>
              </w:rPr>
              <w:t xml:space="preserve">QGIS never froze for more than 0.21 s during any job (automated test)</w:t>
            </w:r>
          </w:p>
        </w:tc>
      </w:tr>
      <w:tr>
        <w:trPr>
          <w:cantSplit/>
        </w:trPr>
        <w:tc>
          <w:tcPr>
            <w:tcW w:type="dxa" w:w="2409"/>
            <w:shd w:fill="F3F6FA" w:color="auto" w:val="clear"/>
            <w:tcMar>
              <w:top w:type="dxa" w:w="60"/>
              <w:left w:type="dxa" w:w="90"/>
              <w:bottom w:type="dxa" w:w="60"/>
              <w:right w:type="dxa" w:w="90"/>
            </w:tcMar>
            <w:vAlign w:val="center"/>
          </w:tcPr>
          <w:p>
            <w:pPr>
              <w:spacing w:after="20" w:line="250"/>
            </w:pPr>
            <w:r>
              <w:rPr>
                <w:sz w:val="18"/>
                <w:szCs w:val="18"/>
              </w:rPr>
              <w:t xml:space="preserve">Reliability</w:t>
            </w:r>
          </w:p>
        </w:tc>
        <w:tc>
          <w:tcPr>
            <w:tcW w:type="dxa" w:w="7229"/>
            <w:shd w:fill="F3F6FA" w:color="auto" w:val="clear"/>
            <w:tcMar>
              <w:top w:type="dxa" w:w="60"/>
              <w:left w:type="dxa" w:w="90"/>
              <w:bottom w:type="dxa" w:w="60"/>
              <w:right w:type="dxa" w:w="90"/>
            </w:tcMar>
            <w:vAlign w:val="center"/>
          </w:tcPr>
          <w:p>
            <w:pPr>
              <w:spacing w:after="20" w:line="250"/>
            </w:pPr>
            <w:r>
              <w:rPr>
                <w:sz w:val="18"/>
                <w:szCs w:val="18"/>
              </w:rPr>
              <w:t xml:space="preserve">4 defects found and fixed by validating on real data; 7 unit tests, 7 end-to-end checks and 10 QGIS-level checks pass</w:t>
            </w:r>
          </w:p>
        </w:tc>
      </w:tr>
    </w:tbl>
    <w:p>
      <w:pPr>
        <w:spacing w:after="120"/>
      </w:pPr>
    </w:p>
    <w:p>
      <w:r>
        <w:t xml:space="preserve">The expected impact is a lower barrier to hyperspectral analysis for GIS users, faster turnaround from new scene to map, and reproducible, open methods that others can verify and extend.</w:t>
      </w:r>
    </w:p>
    <w:p>
      <w:pPr>
        <w:pStyle w:val="Heading1"/>
      </w:pPr>
      <w:bookmarkStart w:name="_Toc18" w:id="18"/>
      <w:r>
        <w:t xml:space="preserve">6. System architecture</w:t>
      </w:r>
      <w:bookmarkEnd w:id="18"/>
    </w:p>
    <w:p>
      <w:pPr>
        <w:keepNext/>
        <w:spacing w:after="60" w:before="120"/>
        <w:jc w:val="center"/>
      </w:pPr>
      <w:r>
        <w:drawing>
          <wp:inline distT="0" distB="0" distL="0" distR="0">
            <wp:extent cx="6124575" cy="3848100"/>
            <wp:effectExtent t="0" r="0" b="0" l="0"/>
            <wp:docPr id="6" name="diag_system_architecture.png" descr="System architecture. Upper lane: processing plugin and C++ engine. Lower lane: analytics plugin and Spark/Sedona/MLlib. Both return layers to the QGIS canvas." title="System architecture. Upper lane: processing plugin and C++ engine. Lower lane: analytics plugin and Spark/Sedona/MLlib. Both return layers to the QGIS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3848100"/>
                    </a:xfrm>
                    <a:prstGeom prst="rect">
                      <a:avLst/>
                    </a:prstGeom>
                  </pic:spPr>
                </pic:pic>
              </a:graphicData>
            </a:graphic>
          </wp:inline>
        </w:drawing>
      </w:r>
    </w:p>
    <w:p>
      <w:pPr>
        <w:spacing w:after="200"/>
      </w:pPr>
      <w:r>
        <w:rPr>
          <w:b/>
          <w:bCs/>
          <w:color w:val="52514E"/>
          <w:sz w:val="18"/>
          <w:szCs w:val="18"/>
        </w:rPr>
        <w:t xml:space="preserve">Figure 6.</w:t>
      </w:r>
      <w:r>
        <w:rPr>
          <w:color w:val="52514E"/>
          <w:sz w:val="18"/>
          <w:szCs w:val="18"/>
        </w:rPr>
        <w:t xml:space="preserve"> System architecture. Upper lane: processing plugin and C++ engine. Lower lane: analytics plugin and Spark/Sedona/MLlib. Both return layers to the QGIS canvas.</w:t>
      </w:r>
    </w:p>
    <w:p>
      <w:r>
        <w:t xml:space="preserve">The two plugins communicate only through files: the engine's per-tile GeoTIFFs are both the source of the index layers and the input unit for Spark. The engine parallelises over tiles with OpenMP threads (each with its own GDAL handle) and can offload index, PCA and SAM kernels to an OpenCL GPU. The analytics plugin prepares inputs with GDAL on a worker thread, launches </w:t>
      </w:r>
      <w:r>
        <w:rPr>
          <w:rFonts w:ascii="Courier New" w:cs="Courier New" w:eastAsia="Courier New" w:hAnsi="Courier New"/>
          <w:sz w:val="19"/>
          <w:szCs w:val="19"/>
        </w:rPr>
        <w:t xml:space="preserve">spark-submit</w:t>
      </w:r>
      <w:r>
        <w:t xml:space="preserve">, and Sedona evaluates per-pixel functions inside the JVM; for K-Means, the model trained by MLlib is compiled into a map-algebra script so that every pixel is classified without leaving the JVM. Detailed architecture is given in the two plugin documents.</w:t>
      </w:r>
    </w:p>
    <w:p>
      <w:pPr>
        <w:pStyle w:val="Heading1"/>
      </w:pPr>
      <w:bookmarkStart w:name="_Toc19" w:id="19"/>
      <w:r>
        <w:t xml:space="preserve">7. Results summary</w:t>
      </w:r>
      <w:bookmarkEnd w:id="19"/>
    </w:p>
    <w:p>
      <w:pPr>
        <w:keepNext/>
        <w:spacing w:after="60" w:before="120"/>
        <w:jc w:val="center"/>
      </w:pPr>
      <w:r>
        <w:drawing>
          <wp:inline distT="0" distB="0" distL="0" distR="0">
            <wp:extent cx="6124575" cy="3124200"/>
            <wp:effectExtent t="0" r="0" b="0" l="0"/>
            <wp:docPr id="7" name="map_indices_grid.png" descr="All seven spectral indices from one 2.5-second engine run." title="All seven spectral indices from one 2.5-second engin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124200"/>
                    </a:xfrm>
                    <a:prstGeom prst="rect">
                      <a:avLst/>
                    </a:prstGeom>
                  </pic:spPr>
                </pic:pic>
              </a:graphicData>
            </a:graphic>
          </wp:inline>
        </w:drawing>
      </w:r>
    </w:p>
    <w:p>
      <w:pPr>
        <w:spacing w:after="200"/>
      </w:pPr>
      <w:r>
        <w:rPr>
          <w:b/>
          <w:bCs/>
          <w:color w:val="52514E"/>
          <w:sz w:val="18"/>
          <w:szCs w:val="18"/>
        </w:rPr>
        <w:t xml:space="preserve">Figure 7.</w:t>
      </w:r>
      <w:r>
        <w:rPr>
          <w:color w:val="52514E"/>
          <w:sz w:val="18"/>
          <w:szCs w:val="18"/>
        </w:rPr>
        <w:t xml:space="preserve"> All seven spectral indices from one 2.5-second engine run.</w:t>
      </w:r>
    </w:p>
    <w:p>
      <w:pPr>
        <w:keepNext/>
        <w:spacing w:after="60" w:before="120"/>
        <w:jc w:val="center"/>
      </w:pPr>
      <w:r>
        <w:drawing>
          <wp:inline distT="0" distB="0" distL="0" distR="0">
            <wp:extent cx="6124575" cy="3543300"/>
            <wp:effectExtent t="0" r="0" b="0" l="0"/>
            <wp:docPr id="8" name="chart_engine_scaling.png" descr="Engine scaling: runtime by thread count and backend, and peak memory." title="Engine scaling: runtime by thread count and backend, and peak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3543300"/>
                    </a:xfrm>
                    <a:prstGeom prst="rect">
                      <a:avLst/>
                    </a:prstGeom>
                  </pic:spPr>
                </pic:pic>
              </a:graphicData>
            </a:graphic>
          </wp:inline>
        </w:drawing>
      </w:r>
    </w:p>
    <w:p>
      <w:pPr>
        <w:spacing w:after="200"/>
      </w:pPr>
      <w:r>
        <w:rPr>
          <w:b/>
          <w:bCs/>
          <w:color w:val="52514E"/>
          <w:sz w:val="18"/>
          <w:szCs w:val="18"/>
        </w:rPr>
        <w:t xml:space="preserve">Figure 8.</w:t>
      </w:r>
      <w:r>
        <w:rPr>
          <w:color w:val="52514E"/>
          <w:sz w:val="18"/>
          <w:szCs w:val="18"/>
        </w:rPr>
        <w:t xml:space="preserve"> Engine scaling: runtime by thread count and backend, and peak memory.</w:t>
      </w:r>
    </w:p>
    <w:p>
      <w:pPr>
        <w:keepNext/>
        <w:spacing w:after="60" w:before="120"/>
        <w:jc w:val="center"/>
      </w:pPr>
      <w:r>
        <w:drawing>
          <wp:inline distT="0" distB="0" distL="0" distR="0">
            <wp:extent cx="5514975" cy="2971800"/>
            <wp:effectExtent t="0" r="0" b="0" l="0"/>
            <wp:docPr id="9" name="chart_q5_features.png" descr="K-Means feature design validated against DLR's masks: adding a brightness feature to the spectral shape makes water separable." title="K-Means feature design validated against DLR's masks: adding a brightness feature to the spectral shape makes water separ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14975" cy="2971800"/>
                    </a:xfrm>
                    <a:prstGeom prst="rect">
                      <a:avLst/>
                    </a:prstGeom>
                  </pic:spPr>
                </pic:pic>
              </a:graphicData>
            </a:graphic>
          </wp:inline>
        </w:drawing>
      </w:r>
    </w:p>
    <w:p>
      <w:pPr>
        <w:spacing w:after="200"/>
      </w:pPr>
      <w:r>
        <w:rPr>
          <w:b/>
          <w:bCs/>
          <w:color w:val="52514E"/>
          <w:sz w:val="18"/>
          <w:szCs w:val="18"/>
        </w:rPr>
        <w:t xml:space="preserve">Figure 9.</w:t>
      </w:r>
      <w:r>
        <w:rPr>
          <w:color w:val="52514E"/>
          <w:sz w:val="18"/>
          <w:szCs w:val="18"/>
        </w:rPr>
        <w:t xml:space="preserve"> K-Means feature design validated against DLR's masks: adding a brightness feature to the spectral shape makes water separable.</w:t>
      </w:r>
    </w:p>
    <w:p>
      <w:r>
        <w:t xml:space="preserve">Findings that matter for users: OpenMP scales well to 8 cores and memory stays bounded; on the Apple-silicon test machine the GPU backend is correct but not faster, because the index workload is dominated by file I/O; single-reference SAM is a precise target detector but not a general water mapper; and K-Means with shape-plus-brightness features separates water and snow reliably while clouds remain hard to distinguish from snow.</w:t>
      </w:r>
    </w:p>
    <w:p>
      <w:pPr>
        <w:pStyle w:val="Heading1"/>
      </w:pPr>
      <w:bookmarkStart w:name="_Toc20" w:id="20"/>
      <w:r>
        <w:t xml:space="preserve">8. Limitations and future work</w:t>
      </w:r>
      <w:bookmarkEnd w:id="20"/>
    </w:p>
    <w:p>
      <w:pPr>
        <w:pStyle w:val="ListParagraph"/>
        <w:numPr>
          <w:ilvl w:val="0"/>
          <w:numId w:val="2"/>
        </w:numPr>
        <w:spacing w:after="60"/>
      </w:pPr>
      <w:r>
        <w:rPr>
          <w:b/>
          <w:bCs/>
        </w:rPr>
        <w:t xml:space="preserve">Engine edge tiles (L2).</w:t>
      </w:r>
      <w:r>
        <w:t xml:space="preserve"> Tiles that are more than 50 % background currently receive no indices (6.7 % of the study scene's valid pixels); the bad-band rule should consider only the valid footprint.</w:t>
      </w:r>
    </w:p>
    <w:p>
      <w:pPr>
        <w:pStyle w:val="ListParagraph"/>
        <w:numPr>
          <w:ilvl w:val="0"/>
          <w:numId w:val="2"/>
        </w:numPr>
        <w:spacing w:after="60"/>
      </w:pPr>
      <w:r>
        <w:rPr>
          <w:b/>
          <w:bCs/>
        </w:rPr>
        <w:t xml:space="preserve">GPU speed-up.</w:t>
      </w:r>
      <w:r>
        <w:t xml:space="preserve"> No speed-up on Apple silicon for these I/O-bound operations; evaluate discrete GPUs and compute-heavier kernels; consider a Metal/Vulkan backend as Apple has deprecated OpenCL.</w:t>
      </w:r>
    </w:p>
    <w:p>
      <w:pPr>
        <w:pStyle w:val="ListParagraph"/>
        <w:numPr>
          <w:ilvl w:val="0"/>
          <w:numId w:val="2"/>
        </w:numPr>
        <w:spacing w:after="60"/>
      </w:pPr>
      <w:r>
        <w:rPr>
          <w:b/>
          <w:bCs/>
        </w:rPr>
        <w:t xml:space="preserve">Scale-out.</w:t>
      </w:r>
      <w:r>
        <w:t xml:space="preserve"> All results are single-machine; the Spark jobs are cluster-ready but not yet benchmarked on a cluster.</w:t>
      </w:r>
    </w:p>
    <w:p>
      <w:pPr>
        <w:pStyle w:val="ListParagraph"/>
        <w:numPr>
          <w:ilvl w:val="0"/>
          <w:numId w:val="2"/>
        </w:numPr>
        <w:spacing w:after="60"/>
      </w:pPr>
      <w:r>
        <w:rPr>
          <w:b/>
          <w:bCs/>
        </w:rPr>
        <w:t xml:space="preserve">Machine learning.</w:t>
      </w:r>
      <w:r>
        <w:t xml:space="preserve"> Add supervised classification (e.g. Random Forest in MLlib) when field labels exist; improve cloud/snow separation.</w:t>
      </w:r>
    </w:p>
    <w:p>
      <w:pPr>
        <w:pStyle w:val="ListParagraph"/>
        <w:numPr>
          <w:ilvl w:val="0"/>
          <w:numId w:val="2"/>
        </w:numPr>
        <w:spacing w:after="60"/>
      </w:pPr>
      <w:r>
        <w:rPr>
          <w:b/>
          <w:bCs/>
        </w:rPr>
        <w:t xml:space="preserve">Dashboard.</w:t>
      </w:r>
      <w:r>
        <w:t xml:space="preserve"> A lightweight web dashboard for sharing results beyond QGIS is a possible extension.</w:t>
      </w:r>
    </w:p>
    <w:p>
      <w:pPr>
        <w:pStyle w:val="ListParagraph"/>
        <w:numPr>
          <w:ilvl w:val="0"/>
          <w:numId w:val="2"/>
        </w:numPr>
        <w:spacing w:after="60"/>
      </w:pPr>
      <w:r>
        <w:rPr>
          <w:b/>
          <w:bCs/>
        </w:rPr>
        <w:t xml:space="preserve">Time series.</w:t>
      </w:r>
      <w:r>
        <w:t xml:space="preserve"> Multi-date analysis across several scenes.</w:t>
      </w:r>
    </w:p>
    <w:p>
      <w:pPr>
        <w:pStyle w:val="Heading1"/>
      </w:pPr>
      <w:bookmarkStart w:name="_Toc21" w:id="21"/>
      <w:r>
        <w:t xml:space="preserve">9. References</w:t>
      </w:r>
      <w:bookmarkEnd w:id="21"/>
    </w:p>
    <w:p>
      <w:pPr>
        <w:pStyle w:val="ListParagraph"/>
        <w:numPr>
          <w:ilvl w:val="0"/>
          <w:numId w:val="2"/>
        </w:numPr>
        <w:spacing w:after="60"/>
      </w:pPr>
      <w:r>
        <w:t xml:space="preserve">Guanter, L. et al. (2015). The EnMAP spaceborne imaging spectroscopy mission for Earth observation. </w:t>
      </w:r>
      <w:r>
        <w:rPr>
          <w:i/>
          <w:iCs/>
        </w:rPr>
        <w:t xml:space="preserve">Remote Sensing</w:t>
      </w:r>
      <w:r>
        <w:t xml:space="preserve"> 7(7), 8830–8857.</w:t>
      </w:r>
    </w:p>
    <w:p>
      <w:pPr>
        <w:pStyle w:val="ListParagraph"/>
        <w:numPr>
          <w:ilvl w:val="0"/>
          <w:numId w:val="2"/>
        </w:numPr>
        <w:spacing w:after="60"/>
      </w:pPr>
      <w:r>
        <w:t xml:space="preserve">Jakimow, B. et al. (2023). EnMAP-Box: Imaging spectroscopy in QGIS. </w:t>
      </w:r>
      <w:r>
        <w:rPr>
          <w:i/>
          <w:iCs/>
        </w:rPr>
        <w:t xml:space="preserve">SoftwareX</w:t>
      </w:r>
      <w:r>
        <w:t xml:space="preserve"> 23, 101507.</w:t>
      </w:r>
    </w:p>
    <w:p>
      <w:pPr>
        <w:pStyle w:val="ListParagraph"/>
        <w:numPr>
          <w:ilvl w:val="0"/>
          <w:numId w:val="2"/>
        </w:numPr>
        <w:spacing w:after="60"/>
      </w:pPr>
      <w:r>
        <w:t xml:space="preserve">Yu, J., Zhang, Z., Sarwat, M. (2019). Spatial data management in Apache Spark: the GeoSpark perspective and beyond. </w:t>
      </w:r>
      <w:r>
        <w:rPr>
          <w:i/>
          <w:iCs/>
        </w:rPr>
        <w:t xml:space="preserve">GeoInformatica</w:t>
      </w:r>
      <w:r>
        <w:t xml:space="preserve"> 23, 37–78.</w:t>
      </w:r>
    </w:p>
    <w:p>
      <w:pPr>
        <w:pStyle w:val="ListParagraph"/>
        <w:numPr>
          <w:ilvl w:val="0"/>
          <w:numId w:val="2"/>
        </w:numPr>
        <w:spacing w:after="60"/>
      </w:pPr>
      <w:r>
        <w:t xml:space="preserve">Zaharia, M. et al. (2016). Apache Spark: a unified engine for big data processing. </w:t>
      </w:r>
      <w:r>
        <w:rPr>
          <w:i/>
          <w:iCs/>
        </w:rPr>
        <w:t xml:space="preserve">Communications of the ACM</w:t>
      </w:r>
      <w:r>
        <w:t xml:space="preserve"> 59(11), 56–65.</w:t>
      </w:r>
    </w:p>
    <w:p>
      <w:pPr>
        <w:pStyle w:val="ListParagraph"/>
        <w:numPr>
          <w:ilvl w:val="0"/>
          <w:numId w:val="2"/>
        </w:numPr>
        <w:spacing w:after="60"/>
      </w:pPr>
      <w:r>
        <w:t xml:space="preserve">Meng, X. et al. (2016). MLlib: Machine Learning in Apache Spark. </w:t>
      </w:r>
      <w:r>
        <w:rPr>
          <w:i/>
          <w:iCs/>
        </w:rPr>
        <w:t xml:space="preserve">Journal of Machine Learning Research</w:t>
      </w:r>
      <w:r>
        <w:t xml:space="preserve"> 17(34), 1–7.</w:t>
      </w:r>
    </w:p>
    <w:p>
      <w:pPr>
        <w:pStyle w:val="ListParagraph"/>
        <w:numPr>
          <w:ilvl w:val="0"/>
          <w:numId w:val="2"/>
        </w:numPr>
        <w:spacing w:after="60"/>
      </w:pPr>
      <w:r>
        <w:t xml:space="preserve">Kruse, F. A. et al. (1993). The spectral image processing system (SIPS). </w:t>
      </w:r>
      <w:r>
        <w:rPr>
          <w:i/>
          <w:iCs/>
        </w:rPr>
        <w:t xml:space="preserve">Remote Sensing of Environment</w:t>
      </w:r>
      <w:r>
        <w:t xml:space="preserve"> 44, 145–163.</w:t>
      </w:r>
    </w:p>
    <w:p>
      <w:pPr>
        <w:pStyle w:val="ListParagraph"/>
        <w:numPr>
          <w:ilvl w:val="0"/>
          <w:numId w:val="2"/>
        </w:numPr>
        <w:spacing w:after="60"/>
      </w:pPr>
      <w:r>
        <w:t xml:space="preserve">Rouse, J. W. et al. (1974). Monitoring vegetation systems in the Great Plains with ERTS. </w:t>
      </w:r>
      <w:r>
        <w:rPr>
          <w:i/>
          <w:iCs/>
        </w:rPr>
        <w:t xml:space="preserve">NASA SP-351</w:t>
      </w:r>
      <w:r>
        <w:t xml:space="preserve">, 309–317.</w:t>
      </w:r>
    </w:p>
    <w:p>
      <w:pPr>
        <w:pStyle w:val="ListParagraph"/>
        <w:numPr>
          <w:ilvl w:val="0"/>
          <w:numId w:val="2"/>
        </w:numPr>
        <w:spacing w:after="60"/>
      </w:pPr>
      <w:r>
        <w:t xml:space="preserve">McFeeters, S. K. (1996). The use of the Normalized Difference Water Index (NDWI). </w:t>
      </w:r>
      <w:r>
        <w:rPr>
          <w:i/>
          <w:iCs/>
        </w:rPr>
        <w:t xml:space="preserve">International Journal of Remote Sensing</w:t>
      </w:r>
      <w:r>
        <w:t xml:space="preserve"> 17(7), 1425–1432.</w:t>
      </w:r>
    </w:p>
    <w:p>
      <w:pPr>
        <w:pStyle w:val="ListParagraph"/>
        <w:numPr>
          <w:ilvl w:val="0"/>
          <w:numId w:val="2"/>
        </w:numPr>
        <w:spacing w:after="60"/>
      </w:pPr>
      <w:r>
        <w:t xml:space="preserve">Hall, D. K. et al. (2002). MODIS snow-cover products. </w:t>
      </w:r>
      <w:r>
        <w:rPr>
          <w:i/>
          <w:iCs/>
        </w:rPr>
        <w:t xml:space="preserve">Remote Sensing of Environment</w:t>
      </w:r>
      <w:r>
        <w:t xml:space="preserve"> 83, 181–194.</w:t>
      </w:r>
    </w:p>
    <w:p>
      <w:pPr>
        <w:pStyle w:val="ListParagraph"/>
        <w:numPr>
          <w:ilvl w:val="0"/>
          <w:numId w:val="2"/>
        </w:numPr>
        <w:spacing w:after="60"/>
      </w:pPr>
      <w:r>
        <w:t xml:space="preserve">QGIS Development Team. </w:t>
      </w:r>
      <w:r>
        <w:rPr>
          <w:i/>
          <w:iCs/>
        </w:rPr>
        <w:t xml:space="preserve">QGIS Geographic Information System</w:t>
      </w:r>
      <w:r>
        <w:t xml:space="preserve">. Open Source Geospatial Foundation.</w:t>
      </w:r>
    </w:p>
    <w:sectPr>
      <w:headerReference w:type="default" r:id="rId6"/>
      <w:footerReference w:type="default" r:id="rId7"/>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8D3" w:sz="4" w:space="4"/>
      </w:pBdr>
      <w:tabs>
        <w:tab w:val="right" w:pos="9638"/>
      </w:tabs>
    </w:pPr>
    <w:r>
      <w:rPr>
        <w:b/>
        <w:bCs/>
        <w:color w:val="12355B"/>
        <w:sz w:val="17"/>
        <w:szCs w:val="17"/>
      </w:rPr>
      <w:t xml:space="preserve">HyperSpatial</w:t>
    </w:r>
    <w:r>
      <w:rPr>
        <w:color w:val="52514E"/>
        <w:sz w:val="17"/>
        <w:szCs w:val="17"/>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lvl w:ilvl="1" w:tentative="1">
      <w:start w:val="1"/>
      <w:numFmt w:val="bullet"/>
      <w:lvlText w:val="–"/>
      <w:lvlJc w:val="left"/>
      <w:pPr>
        <w:ind w:left="800" w:hanging="240"/>
      </w:pPr>
    </w:lvl>
  </w:abstractNum>
  <w:abstractNum w:abstractNumId="3" w15:restartNumberingAfterBreak="0">
    <w:multiLevelType w:val="hybridMultilevel"/>
    <w:lvl w:ilvl="0" w: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2355B"/>
      <w:sz w:val="32"/>
      <w:szCs w:val="32"/>
    </w:rPr>
  </w:style>
  <w:style w:type="paragraph" w:styleId="Heading2">
    <w:name w:val="Heading 2"/>
    <w:basedOn w:val="Normal"/>
    <w:next w:val="Normal"/>
    <w:qFormat/>
    <w:pPr>
      <w:keepNext/>
      <w:spacing w:after="120" w:before="280"/>
      <w:outlineLvl w:val="1"/>
    </w:pPr>
    <w:rPr>
      <w:rFonts w:ascii="Cambria" w:cs="Cambria" w:eastAsia="Cambria" w:hAnsi="Cambria"/>
      <w:b/>
      <w:bCs/>
      <w:color w:val="12355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A78D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eddef5dcf11ef24fd7934c5b4506eeaee73c35b.png"/><Relationship Id="rId10" Type="http://schemas.openxmlformats.org/officeDocument/2006/relationships/image" Target="media/e5677f049adfaea0669a85a6f22ce5a9e2133cd9.png"/><Relationship Id="rId11" Type="http://schemas.openxmlformats.org/officeDocument/2006/relationships/image" Target="media/0dc730da0d761ef42ce01b0a46c97da52b0c75a2.png"/><Relationship Id="rId12" Type="http://schemas.openxmlformats.org/officeDocument/2006/relationships/image" Target="media/06841805d64b1f751a26b75513a8c080869642cc.png"/><Relationship Id="rId13" Type="http://schemas.openxmlformats.org/officeDocument/2006/relationships/image" Target="media/5bf76035172f4328185d9da98c7b9025d576edd4.png"/><Relationship Id="rId14" Type="http://schemas.openxmlformats.org/officeDocument/2006/relationships/image" Target="media/c2c3f5bb53e5fc9b8b4448931df769adbc29a957.png"/><Relationship Id="rId15" Type="http://schemas.openxmlformats.org/officeDocument/2006/relationships/image" Target="media/d183db07eca5166e03fcec7e9a524d3fb6ab7a0f.png"/><Relationship Id="rId16" Type="http://schemas.openxmlformats.org/officeDocument/2006/relationships/image" Target="media/67b9e810d96d82cfa312248431daa8a10f66321a.png"/><Relationship Id="rId17" Type="http://schemas.openxmlformats.org/officeDocument/2006/relationships/image" Target="media/9864777f31829a56204164b718a3f0e8fac7bbd2.png"/><Relationship Id="rId18" Type="http://schemas.openxmlformats.org/officeDocument/2006/relationships/image" Target="media/b43ffd6a09c22439b7d382534d0de43c2083011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HyperSpatial: A Local-First Parallel and Distributed Hyperspectral Analytics Suite for QGIS</dc:title>
  <dc:creator>Aaron R</dc:creator>
  <dc:description>EnMAP hyperspectral imagery processed by a C++ OpenMP/OpenCL engine and analysed with Apache Spark, Apache Sedona and Spark MLlib — all inside QGIS, on one's own computer</dc:description>
  <cp:lastModifiedBy>Un-named</cp:lastModifiedBy>
  <cp:revision>1</cp:revision>
  <dcterms:created xsi:type="dcterms:W3CDTF">2026-10-16T05:02:25.784Z</dcterms:created>
  <dcterms:modified xsi:type="dcterms:W3CDTF">2026-10-16T05:02:25.784Z</dcterms:modified>
</cp:coreProperties>
</file>

<file path=docProps/custom.xml><?xml version="1.0" encoding="utf-8"?>
<Properties xmlns="http://schemas.openxmlformats.org/officeDocument/2006/custom-properties" xmlns:vt="http://schemas.openxmlformats.org/officeDocument/2006/docPropsVTypes"/>
</file>