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aps/>
          <w:color w:val="2A78D6"/>
          <w:sz w:val="22"/>
          <w:szCs w:val="22"/>
        </w:rPr>
        <w:t xml:space="preserve">Technical documentation · QGIS plugin 2 of 2</w:t>
      </w:r>
    </w:p>
    <w:p>
      <w:pPr>
        <w:spacing w:after="160"/>
      </w:pPr>
      <w:r>
        <w:rPr>
          <w:rFonts w:ascii="Cambria" w:cs="Cambria" w:eastAsia="Cambria" w:hAnsi="Cambria"/>
          <w:b/>
          <w:bCs/>
          <w:color w:val="12355B"/>
          <w:sz w:val="52"/>
          <w:szCs w:val="52"/>
        </w:rPr>
        <w:t xml:space="preserve">HyperSpatial Sedona Analytics</w:t>
      </w:r>
    </w:p>
    <w:p>
      <w:pPr>
        <w:spacing w:after="480"/>
      </w:pPr>
      <w:r>
        <w:rPr>
          <w:rFonts w:ascii="Calibri" w:cs="Calibri" w:eastAsia="Calibri" w:hAnsi="Calibri"/>
          <w:color w:val="52514E"/>
          <w:sz w:val="26"/>
          <w:szCs w:val="26"/>
        </w:rPr>
        <w:t xml:space="preserve">Per-pixel spatial SQL and machine learning over hyperspectral rasters with Apache Spark, Apache Sedona and Spark MLlib, inside QGIS</w:t>
      </w:r>
    </w:p>
    <w:p>
      <w:pPr>
        <w:spacing w:after="360"/>
        <w:jc w:val="left"/>
      </w:pPr>
      <w:r>
        <w:drawing>
          <wp:inline distT="0" distB="0" distL="0" distR="0">
            <wp:extent cx="4895850" cy="2924175"/>
            <wp:effectExtent t="0" r="0" b="0" l="0"/>
            <wp:docPr id="12" name="cover" descr="ui_analytics_kmeans_canvas.png"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95850" cy="2924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13"/>
        <w:gridCol w:w="7325"/>
      </w:tblGrid>
      <w:tr>
        <w:tc>
          <w:tcPr>
            <w:tcW w:type="dxa" w:w="2313"/>
            <w:tcMar>
              <w:top w:type="dxa" w:w="60"/>
              <w:left w:type="dxa" w:w="90"/>
              <w:bottom w:type="dxa" w:w="60"/>
              <w:right w:type="dxa" w:w="90"/>
            </w:tcMar>
            <w:vAlign w:val="center"/>
          </w:tcPr>
          <w:p>
            <w:pPr>
              <w:spacing w:after="20" w:line="250"/>
            </w:pPr>
            <w:r>
              <w:rPr>
                <w:b/>
                <w:bCs/>
                <w:color w:val="12355B"/>
                <w:sz w:val="18"/>
                <w:szCs w:val="18"/>
              </w:rPr>
              <w:t xml:space="preserve">Document</w:t>
            </w:r>
          </w:p>
        </w:tc>
        <w:tc>
          <w:tcPr>
            <w:tcW w:type="dxa" w:w="7325"/>
            <w:tcMar>
              <w:top w:type="dxa" w:w="60"/>
              <w:left w:type="dxa" w:w="90"/>
              <w:bottom w:type="dxa" w:w="60"/>
              <w:right w:type="dxa" w:w="90"/>
            </w:tcMar>
            <w:vAlign w:val="center"/>
          </w:tcPr>
          <w:p>
            <w:pPr>
              <w:spacing w:after="20" w:line="250"/>
            </w:pPr>
            <w:r>
              <w:rPr>
                <w:sz w:val="18"/>
                <w:szCs w:val="18"/>
              </w:rPr>
              <w:t xml:space="preserve">Plugin documentation (architecture, usage, validation)</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Project</w:t>
            </w:r>
          </w:p>
        </w:tc>
        <w:tc>
          <w:tcPr>
            <w:tcW w:type="dxa" w:w="7325"/>
            <w:tcMar>
              <w:top w:type="dxa" w:w="60"/>
              <w:left w:type="dxa" w:w="90"/>
              <w:bottom w:type="dxa" w:w="60"/>
              <w:right w:type="dxa" w:w="90"/>
            </w:tcMar>
            <w:vAlign w:val="center"/>
          </w:tcPr>
          <w:p>
            <w:pPr>
              <w:spacing w:after="20" w:line="250"/>
            </w:pPr>
            <w:r>
              <w:rPr>
                <w:sz w:val="18"/>
                <w:szCs w:val="18"/>
              </w:rPr>
              <w:t xml:space="preserve">HyperSpatial — local-first hyperspectral analytics for QGIS</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Author</w:t>
            </w:r>
          </w:p>
        </w:tc>
        <w:tc>
          <w:tcPr>
            <w:tcW w:type="dxa" w:w="7325"/>
            <w:tcMar>
              <w:top w:type="dxa" w:w="60"/>
              <w:left w:type="dxa" w:w="90"/>
              <w:bottom w:type="dxa" w:w="60"/>
              <w:right w:type="dxa" w:w="90"/>
            </w:tcMar>
            <w:vAlign w:val="center"/>
          </w:tcPr>
          <w:p>
            <w:pPr>
              <w:spacing w:after="20" w:line="250"/>
            </w:pPr>
            <w:r>
              <w:rPr>
                <w:sz w:val="18"/>
                <w:szCs w:val="18"/>
              </w:rPr>
              <w:t xml:space="preserve">Aaron R</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Institution</w:t>
            </w:r>
          </w:p>
        </w:tc>
        <w:tc>
          <w:tcPr>
            <w:tcW w:type="dxa" w:w="7325"/>
            <w:tcMar>
              <w:top w:type="dxa" w:w="60"/>
              <w:left w:type="dxa" w:w="90"/>
              <w:bottom w:type="dxa" w:w="60"/>
              <w:right w:type="dxa" w:w="90"/>
            </w:tcMar>
            <w:vAlign w:val="center"/>
          </w:tcPr>
          <w:p>
            <w:pPr>
              <w:spacing w:after="20" w:line="250"/>
            </w:pPr>
            <w:r>
              <w:rPr>
                <w:sz w:val="18"/>
                <w:szCs w:val="18"/>
              </w:rPr>
              <w:t xml:space="preserve">Digital University Kerala</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Version / date</w:t>
            </w:r>
          </w:p>
        </w:tc>
        <w:tc>
          <w:tcPr>
            <w:tcW w:type="dxa" w:w="7325"/>
            <w:tcMar>
              <w:top w:type="dxa" w:w="60"/>
              <w:left w:type="dxa" w:w="90"/>
              <w:bottom w:type="dxa" w:w="60"/>
              <w:right w:type="dxa" w:w="90"/>
            </w:tcMar>
            <w:vAlign w:val="center"/>
          </w:tcPr>
          <w:p>
            <w:pPr>
              <w:spacing w:after="20" w:line="250"/>
            </w:pPr>
            <w:r>
              <w:rPr>
                <w:sz w:val="18"/>
                <w:szCs w:val="18"/>
              </w:rPr>
              <w:t xml:space="preserve">Plugin v0.2 · 16 October 2026</w:t>
            </w:r>
          </w:p>
        </w:tc>
      </w:tr>
      <w:tr>
        <w:tc>
          <w:tcPr>
            <w:tcW w:type="dxa" w:w="2313"/>
            <w:tcMar>
              <w:top w:type="dxa" w:w="60"/>
              <w:left w:type="dxa" w:w="90"/>
              <w:bottom w:type="dxa" w:w="60"/>
              <w:right w:type="dxa" w:w="90"/>
            </w:tcMar>
            <w:vAlign w:val="center"/>
          </w:tcPr>
          <w:p>
            <w:pPr>
              <w:spacing w:after="20" w:line="250"/>
            </w:pPr>
            <w:r>
              <w:rPr>
                <w:b/>
                <w:bCs/>
                <w:color w:val="12355B"/>
                <w:sz w:val="18"/>
                <w:szCs w:val="18"/>
              </w:rPr>
              <w:t xml:space="preserve">Repository</w:t>
            </w:r>
          </w:p>
        </w:tc>
        <w:tc>
          <w:tcPr>
            <w:tcW w:type="dxa" w:w="7325"/>
            <w:tcMar>
              <w:top w:type="dxa" w:w="60"/>
              <w:left w:type="dxa" w:w="90"/>
              <w:bottom w:type="dxa" w:w="60"/>
              <w:right w:type="dxa" w:w="90"/>
            </w:tcMar>
            <w:vAlign w:val="center"/>
          </w:tcPr>
          <w:p>
            <w:pPr>
              <w:spacing w:after="20" w:line="250"/>
            </w:pPr>
            <w:r>
              <w:rPr>
                <w:sz w:val="18"/>
                <w:szCs w:val="18"/>
              </w:rPr>
              <w:t xml:space="preserve">github.com/aaron43210/HYPERSPECTRAL_DATA_DISTRIBUTED_SYSTEM</w:t>
            </w:r>
          </w:p>
        </w:tc>
      </w:tr>
    </w:tbl>
    <w:p>
      <w:pPr>
        <w:sectPr>
          <w:pgSz w:w="11906" w:h="16838" w:orient="portrait"/>
          <w:pgMar w:top="1134" w:right="1134" w:bottom="1134" w:left="1134" w:header="708" w:footer="708" w:gutter="0"/>
          <w:pgNumType/>
          <w:docGrid w:linePitch="360"/>
        </w:sectPr>
      </w:pPr>
    </w:p>
    <w:p>
      <w:pPr>
        <w:spacing w:after="200"/>
      </w:pPr>
      <w:r>
        <w:rPr>
          <w:rFonts w:ascii="Cambria" w:cs="Cambria" w:eastAsia="Cambria" w:hAnsi="Cambria"/>
          <w:b/>
          <w:bCs/>
          <w:color w:val="12355B"/>
          <w:sz w:val="32"/>
          <w:szCs w:val="32"/>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Architecture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2.1 Components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2.2 Threads, processes and signals</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2.3 Distributed execution model</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2.4 Job interface contract</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Installation and environment</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3.1 Requirements</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3.2 Installing the plugin</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3.3 How the child environment is prepared</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4. User interface</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5. Index jobs Q1–Q4</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5.1 Q1 — AOI filter</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5.2 Q2 — Spatial join of zones and pixels</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5.3 Q3 — NDVI filter with per-pixel masks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5.4 Q4 — NDVI straight from a raw cube</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6. Q5 — Machine learning: K-Means land cover</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6.1 Purpose</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6.2 Pipeline</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6.3 Feature design</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6.4 Compiling the model to Jiffle</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6.5 Cluster labelling</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6.6 Outputs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6.7 Results on the test scene</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7. Data contracts and the raw-cube tile rules</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8. Validation and testing</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8.1 Unit tests (no Spark, no QGIS)</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8.2 End-to-end validation on a real scene</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8.3 Headless QGIS smoke test</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9. Performance</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10. Defects fixed in version 0.2</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11. Limitations and troubleshooting</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11.1 Known limitations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11.2 Troubleshooting</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Appendix A. Job command-line reference</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Appendix B. References</w:t>
            </w:r>
            <w:r>
              <w:tab/>
            </w:r>
            <w:r>
              <w:fldChar w:fldCharType="begin" w:dirty="true"/>
              <w:instrText xml:space="preserve">PAGEREF _Toc36 \h</w:instrText>
              <w:fldChar w:fldCharType="separate"/>
              <w:fldChar w:fldCharType="end"/>
            </w:r>
          </w:hyperlink>
        </w:p>
        <w:p>
          <w:r>
            <w:fldChar w:fldCharType="end"/>
          </w:r>
        </w:p>
      </w:sdtContent>
    </w:sdt>
    <w:p>
      <w:r>
        <w:br w:type="page"/>
      </w:r>
    </w:p>
    <w:p>
      <w:pPr>
        <w:pStyle w:val="Heading1"/>
      </w:pPr>
      <w:bookmarkStart w:name="_Toc1" w:id="1"/>
      <w:r>
        <w:t xml:space="preserve">1. Overview</w:t>
      </w:r>
      <w:bookmarkEnd w:id="1"/>
    </w:p>
    <w:p>
      <w:r>
        <w:rPr>
          <w:b/>
          <w:bCs/>
        </w:rPr>
        <w:t xml:space="preserve">HyperSpatial Sedona Analytics</w:t>
      </w:r>
      <w:r>
        <w:t xml:space="preserve"> is the second of the two HyperSpatial QGIS plugins. The first plugin (HyperSpectral Processer) turns a hyperspectral scene into analysis-ready raster tiles with a native C++ engine; this plugin runs </w:t>
      </w:r>
      <w:r>
        <w:rPr>
          <w:b/>
          <w:bCs/>
        </w:rPr>
        <w:t xml:space="preserve">distributed, per-pixel analytics</w:t>
      </w:r>
      <w:r>
        <w:t xml:space="preserve"> on rasters with </w:t>
      </w:r>
      <w:r>
        <w:rPr>
          <w:b/>
          <w:bCs/>
        </w:rPr>
        <w:t xml:space="preserve">Apache Spark</w:t>
      </w:r>
      <w:r>
        <w:t xml:space="preserve"> and </w:t>
      </w:r>
      <w:r>
        <w:rPr>
          <w:b/>
          <w:bCs/>
        </w:rPr>
        <w:t xml:space="preserve">Apache Sedona</w:t>
      </w:r>
      <w:r>
        <w:t xml:space="preserve">, and adds an unsupervised </w:t>
      </w:r>
      <w:r>
        <w:rPr>
          <w:b/>
          <w:bCs/>
        </w:rPr>
        <w:t xml:space="preserve">machine-learning</w:t>
      </w:r>
      <w:r>
        <w:t xml:space="preserve"> land-cover classifier built on </w:t>
      </w:r>
      <w:r>
        <w:rPr>
          <w:b/>
          <w:bCs/>
        </w:rPr>
        <w:t xml:space="preserve">Spark MLlib</w:t>
      </w:r>
      <w:r>
        <w:t xml:space="preserve">. Everything runs on the user's own machine: the plugin launches </w:t>
      </w:r>
      <w:r>
        <w:rPr>
          <w:rFonts w:ascii="Courier New" w:cs="Courier New" w:eastAsia="Courier New" w:hAnsi="Courier New"/>
          <w:sz w:val="19"/>
          <w:szCs w:val="19"/>
        </w:rPr>
        <w:t xml:space="preserve">spark-submit</w:t>
      </w:r>
      <w:r>
        <w:t xml:space="preserve"> as a background process, Sedona reads the GeoTIFFs directly, and the results come back to the QGIS canvas as styled layers.</w:t>
      </w:r>
    </w:p>
    <w:p>
      <w:r>
        <w:t xml:space="preserve">The plugin answers five questions about a scene. Four work on spectral indices (NDVI and related ratios); the fifth learns land-cover classes from the reflectance spectra themselves without any training labels.</w:t>
      </w:r>
    </w:p>
    <w:p>
      <w:pPr>
        <w:keepNext/>
        <w:spacing w:after="80" w:before="160"/>
      </w:pPr>
      <w:r>
        <w:rPr>
          <w:b/>
          <w:bCs/>
          <w:color w:val="52514E"/>
          <w:sz w:val="18"/>
          <w:szCs w:val="18"/>
        </w:rPr>
        <w:t xml:space="preserve">Table 1.</w:t>
      </w:r>
      <w:r>
        <w:rPr>
          <w:color w:val="52514E"/>
          <w:sz w:val="18"/>
          <w:szCs w:val="18"/>
        </w:rPr>
        <w:t xml:space="preserve"> The five analytics jobs.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584"/>
        <w:gridCol w:w="3036"/>
        <w:gridCol w:w="2112"/>
        <w:gridCol w:w="2906"/>
      </w:tblGrid>
      <w:tr>
        <w:trPr>
          <w:cantSplit/>
          <w:tblHeader/>
        </w:trPr>
        <w:tc>
          <w:tcPr>
            <w:tcW w:type="dxa" w:w="158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Job</w:t>
            </w:r>
          </w:p>
        </w:tc>
        <w:tc>
          <w:tcPr>
            <w:tcW w:type="dxa" w:w="303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Question it answers</w:t>
            </w:r>
          </w:p>
        </w:tc>
        <w:tc>
          <w:tcPr>
            <w:tcW w:type="dxa" w:w="211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Input</w:t>
            </w:r>
          </w:p>
        </w:tc>
        <w:tc>
          <w:tcPr>
            <w:tcW w:type="dxa" w:w="290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Output</w:t>
            </w:r>
          </w:p>
        </w:tc>
      </w:tr>
      <w:tr>
        <w:trPr>
          <w:cantSplit/>
        </w:trPr>
        <w:tc>
          <w:tcPr>
            <w:tcW w:type="dxa" w:w="1584"/>
            <w:tcMar>
              <w:top w:type="dxa" w:w="60"/>
              <w:left w:type="dxa" w:w="90"/>
              <w:bottom w:type="dxa" w:w="60"/>
              <w:right w:type="dxa" w:w="90"/>
            </w:tcMar>
            <w:vAlign w:val="center"/>
          </w:tcPr>
          <w:p>
            <w:pPr>
              <w:spacing w:after="20" w:line="250"/>
            </w:pPr>
            <w:r>
              <w:rPr>
                <w:sz w:val="18"/>
                <w:szCs w:val="18"/>
              </w:rPr>
              <w:t xml:space="preserve">Q1 AOI filter</w:t>
            </w:r>
          </w:p>
        </w:tc>
        <w:tc>
          <w:tcPr>
            <w:tcW w:type="dxa" w:w="3036"/>
            <w:tcMar>
              <w:top w:type="dxa" w:w="60"/>
              <w:left w:type="dxa" w:w="90"/>
              <w:bottom w:type="dxa" w:w="60"/>
              <w:right w:type="dxa" w:w="90"/>
            </w:tcMar>
            <w:vAlign w:val="center"/>
          </w:tcPr>
          <w:p>
            <w:pPr>
              <w:spacing w:after="20" w:line="250"/>
            </w:pPr>
            <w:r>
              <w:rPr>
                <w:sz w:val="18"/>
                <w:szCs w:val="18"/>
              </w:rPr>
              <w:t xml:space="preserve">How green is the land inside my area of interest?</w:t>
            </w:r>
          </w:p>
        </w:tc>
        <w:tc>
          <w:tcPr>
            <w:tcW w:type="dxa" w:w="2112"/>
            <w:tcMar>
              <w:top w:type="dxa" w:w="60"/>
              <w:left w:type="dxa" w:w="90"/>
              <w:bottom w:type="dxa" w:w="60"/>
              <w:right w:type="dxa" w:w="90"/>
            </w:tcMar>
            <w:vAlign w:val="center"/>
          </w:tcPr>
          <w:p>
            <w:pPr>
              <w:spacing w:after="20" w:line="250"/>
            </w:pPr>
            <w:r>
              <w:rPr>
                <w:sz w:val="18"/>
                <w:szCs w:val="18"/>
              </w:rPr>
              <w:t xml:space="preserve">Engine tiles + AOI GeoJSON</w:t>
            </w:r>
          </w:p>
        </w:tc>
        <w:tc>
          <w:tcPr>
            <w:tcW w:type="dxa" w:w="2906"/>
            <w:tcMar>
              <w:top w:type="dxa" w:w="60"/>
              <w:left w:type="dxa" w:w="90"/>
              <w:bottom w:type="dxa" w:w="60"/>
              <w:right w:type="dxa" w:w="90"/>
            </w:tcMar>
            <w:vAlign w:val="center"/>
          </w:tcPr>
          <w:p>
            <w:pPr>
              <w:spacing w:after="20" w:line="250"/>
            </w:pPr>
            <w:r>
              <w:rPr>
                <w:sz w:val="18"/>
                <w:szCs w:val="18"/>
              </w:rPr>
              <w:t xml:space="preserve">Per-tile mean NDVI and pixel count inside the AOI (CSV)</w:t>
            </w:r>
          </w:p>
        </w:tc>
      </w:tr>
      <w:tr>
        <w:trPr>
          <w:cantSplit/>
        </w:trPr>
        <w:tc>
          <w:tcPr>
            <w:tcW w:type="dxa" w:w="1584"/>
            <w:shd w:fill="F3F6FA" w:color="auto" w:val="clear"/>
            <w:tcMar>
              <w:top w:type="dxa" w:w="60"/>
              <w:left w:type="dxa" w:w="90"/>
              <w:bottom w:type="dxa" w:w="60"/>
              <w:right w:type="dxa" w:w="90"/>
            </w:tcMar>
            <w:vAlign w:val="center"/>
          </w:tcPr>
          <w:p>
            <w:pPr>
              <w:spacing w:after="20" w:line="250"/>
            </w:pPr>
            <w:r>
              <w:rPr>
                <w:sz w:val="18"/>
                <w:szCs w:val="18"/>
              </w:rPr>
              <w:t xml:space="preserve">Q2 Spatial join</w:t>
            </w:r>
          </w:p>
        </w:tc>
        <w:tc>
          <w:tcPr>
            <w:tcW w:type="dxa" w:w="3036"/>
            <w:shd w:fill="F3F6FA" w:color="auto" w:val="clear"/>
            <w:tcMar>
              <w:top w:type="dxa" w:w="60"/>
              <w:left w:type="dxa" w:w="90"/>
              <w:bottom w:type="dxa" w:w="60"/>
              <w:right w:type="dxa" w:w="90"/>
            </w:tcMar>
            <w:vAlign w:val="center"/>
          </w:tcPr>
          <w:p>
            <w:pPr>
              <w:spacing w:after="20" w:line="250"/>
            </w:pPr>
            <w:r>
              <w:rPr>
                <w:sz w:val="18"/>
                <w:szCs w:val="18"/>
              </w:rPr>
              <w:t xml:space="preserve">What are the NDVI / NDWI / NDBI means of each field or zone?</w:t>
            </w:r>
          </w:p>
        </w:tc>
        <w:tc>
          <w:tcPr>
            <w:tcW w:type="dxa" w:w="2112"/>
            <w:shd w:fill="F3F6FA" w:color="auto" w:val="clear"/>
            <w:tcMar>
              <w:top w:type="dxa" w:w="60"/>
              <w:left w:type="dxa" w:w="90"/>
              <w:bottom w:type="dxa" w:w="60"/>
              <w:right w:type="dxa" w:w="90"/>
            </w:tcMar>
            <w:vAlign w:val="center"/>
          </w:tcPr>
          <w:p>
            <w:pPr>
              <w:spacing w:after="20" w:line="250"/>
            </w:pPr>
            <w:r>
              <w:rPr>
                <w:sz w:val="18"/>
                <w:szCs w:val="18"/>
              </w:rPr>
              <w:t xml:space="preserve">Engine tiles + field GeoJSON</w:t>
            </w:r>
          </w:p>
        </w:tc>
        <w:tc>
          <w:tcPr>
            <w:tcW w:type="dxa" w:w="2906"/>
            <w:shd w:fill="F3F6FA" w:color="auto" w:val="clear"/>
            <w:tcMar>
              <w:top w:type="dxa" w:w="60"/>
              <w:left w:type="dxa" w:w="90"/>
              <w:bottom w:type="dxa" w:w="60"/>
              <w:right w:type="dxa" w:w="90"/>
            </w:tcMar>
            <w:vAlign w:val="center"/>
          </w:tcPr>
          <w:p>
            <w:pPr>
              <w:spacing w:after="20" w:line="250"/>
            </w:pPr>
            <w:r>
              <w:rPr>
                <w:sz w:val="18"/>
                <w:szCs w:val="18"/>
              </w:rPr>
              <w:t xml:space="preserve">One row per field, pixel-weighted across tiles (CSV)</w:t>
            </w:r>
          </w:p>
        </w:tc>
      </w:tr>
      <w:tr>
        <w:trPr>
          <w:cantSplit/>
        </w:trPr>
        <w:tc>
          <w:tcPr>
            <w:tcW w:type="dxa" w:w="1584"/>
            <w:tcMar>
              <w:top w:type="dxa" w:w="60"/>
              <w:left w:type="dxa" w:w="90"/>
              <w:bottom w:type="dxa" w:w="60"/>
              <w:right w:type="dxa" w:w="90"/>
            </w:tcMar>
            <w:vAlign w:val="center"/>
          </w:tcPr>
          <w:p>
            <w:pPr>
              <w:spacing w:after="20" w:line="250"/>
            </w:pPr>
            <w:r>
              <w:rPr>
                <w:sz w:val="18"/>
                <w:szCs w:val="18"/>
              </w:rPr>
              <w:t xml:space="preserve">Q3 NDVI filter</w:t>
            </w:r>
          </w:p>
        </w:tc>
        <w:tc>
          <w:tcPr>
            <w:tcW w:type="dxa" w:w="3036"/>
            <w:tcMar>
              <w:top w:type="dxa" w:w="60"/>
              <w:left w:type="dxa" w:w="90"/>
              <w:bottom w:type="dxa" w:w="60"/>
              <w:right w:type="dxa" w:w="90"/>
            </w:tcMar>
            <w:vAlign w:val="center"/>
          </w:tcPr>
          <w:p>
            <w:pPr>
              <w:spacing w:after="20" w:line="250"/>
            </w:pPr>
            <w:r>
              <w:rPr>
                <w:sz w:val="18"/>
                <w:szCs w:val="18"/>
              </w:rPr>
              <w:t xml:space="preserve">Which tiles are vegetated, and where exactly?</w:t>
            </w:r>
          </w:p>
        </w:tc>
        <w:tc>
          <w:tcPr>
            <w:tcW w:type="dxa" w:w="2112"/>
            <w:tcMar>
              <w:top w:type="dxa" w:w="60"/>
              <w:left w:type="dxa" w:w="90"/>
              <w:bottom w:type="dxa" w:w="60"/>
              <w:right w:type="dxa" w:w="90"/>
            </w:tcMar>
            <w:vAlign w:val="center"/>
          </w:tcPr>
          <w:p>
            <w:pPr>
              <w:spacing w:after="20" w:line="250"/>
            </w:pPr>
            <w:r>
              <w:rPr>
                <w:sz w:val="18"/>
                <w:szCs w:val="18"/>
              </w:rPr>
              <w:t xml:space="preserve">Engine tiles + threshold</w:t>
            </w:r>
          </w:p>
        </w:tc>
        <w:tc>
          <w:tcPr>
            <w:tcW w:type="dxa" w:w="2906"/>
            <w:tcMar>
              <w:top w:type="dxa" w:w="60"/>
              <w:left w:type="dxa" w:w="90"/>
              <w:bottom w:type="dxa" w:w="60"/>
              <w:right w:type="dxa" w:w="90"/>
            </w:tcMar>
            <w:vAlign w:val="center"/>
          </w:tcPr>
          <w:p>
            <w:pPr>
              <w:spacing w:after="20" w:line="250"/>
            </w:pPr>
            <w:r>
              <w:rPr>
                <w:sz w:val="18"/>
                <w:szCs w:val="18"/>
              </w:rPr>
              <w:t xml:space="preserve">Tile list (CSV) + per-pixel vegetation masks (GeoTIFF)</w:t>
            </w:r>
          </w:p>
        </w:tc>
      </w:tr>
      <w:tr>
        <w:trPr>
          <w:cantSplit/>
        </w:trPr>
        <w:tc>
          <w:tcPr>
            <w:tcW w:type="dxa" w:w="1584"/>
            <w:shd w:fill="F3F6FA" w:color="auto" w:val="clear"/>
            <w:tcMar>
              <w:top w:type="dxa" w:w="60"/>
              <w:left w:type="dxa" w:w="90"/>
              <w:bottom w:type="dxa" w:w="60"/>
              <w:right w:type="dxa" w:w="90"/>
            </w:tcMar>
            <w:vAlign w:val="center"/>
          </w:tcPr>
          <w:p>
            <w:pPr>
              <w:spacing w:after="20" w:line="250"/>
            </w:pPr>
            <w:r>
              <w:rPr>
                <w:sz w:val="18"/>
                <w:szCs w:val="18"/>
              </w:rPr>
              <w:t xml:space="preserve">Q4 Raw-cube NDVI</w:t>
            </w:r>
          </w:p>
        </w:tc>
        <w:tc>
          <w:tcPr>
            <w:tcW w:type="dxa" w:w="3036"/>
            <w:shd w:fill="F3F6FA" w:color="auto" w:val="clear"/>
            <w:tcMar>
              <w:top w:type="dxa" w:w="60"/>
              <w:left w:type="dxa" w:w="90"/>
              <w:bottom w:type="dxa" w:w="60"/>
              <w:right w:type="dxa" w:w="90"/>
            </w:tcMar>
            <w:vAlign w:val="center"/>
          </w:tcPr>
          <w:p>
            <w:pPr>
              <w:spacing w:after="20" w:line="250"/>
            </w:pPr>
            <w:r>
              <w:rPr>
                <w:sz w:val="18"/>
                <w:szCs w:val="18"/>
              </w:rPr>
              <w:t xml:space="preserve">What is the NDVI of a raw cube without running the engine?</w:t>
            </w:r>
          </w:p>
        </w:tc>
        <w:tc>
          <w:tcPr>
            <w:tcW w:type="dxa" w:w="2112"/>
            <w:shd w:fill="F3F6FA" w:color="auto" w:val="clear"/>
            <w:tcMar>
              <w:top w:type="dxa" w:w="60"/>
              <w:left w:type="dxa" w:w="90"/>
              <w:bottom w:type="dxa" w:w="60"/>
              <w:right w:type="dxa" w:w="90"/>
            </w:tcMar>
            <w:vAlign w:val="center"/>
          </w:tcPr>
          <w:p>
            <w:pPr>
              <w:spacing w:after="20" w:line="250"/>
            </w:pPr>
            <w:r>
              <w:rPr>
                <w:sz w:val="18"/>
                <w:szCs w:val="18"/>
              </w:rPr>
              <w:t xml:space="preserve">BSQ / ENVI / GeoTIFF cube</w:t>
            </w:r>
          </w:p>
        </w:tc>
        <w:tc>
          <w:tcPr>
            <w:tcW w:type="dxa" w:w="2906"/>
            <w:shd w:fill="F3F6FA" w:color="auto" w:val="clear"/>
            <w:tcMar>
              <w:top w:type="dxa" w:w="60"/>
              <w:left w:type="dxa" w:w="90"/>
              <w:bottom w:type="dxa" w:w="60"/>
              <w:right w:type="dxa" w:w="90"/>
            </w:tcMar>
            <w:vAlign w:val="center"/>
          </w:tcPr>
          <w:p>
            <w:pPr>
              <w:spacing w:after="20" w:line="250"/>
            </w:pPr>
            <w:r>
              <w:rPr>
                <w:sz w:val="18"/>
                <w:szCs w:val="18"/>
              </w:rPr>
              <w:t xml:space="preserve">Mean NDVI (CSV) + NDVI raster</w:t>
            </w:r>
          </w:p>
        </w:tc>
      </w:tr>
      <w:tr>
        <w:trPr>
          <w:cantSplit/>
        </w:trPr>
        <w:tc>
          <w:tcPr>
            <w:tcW w:type="dxa" w:w="1584"/>
            <w:tcMar>
              <w:top w:type="dxa" w:w="60"/>
              <w:left w:type="dxa" w:w="90"/>
              <w:bottom w:type="dxa" w:w="60"/>
              <w:right w:type="dxa" w:w="90"/>
            </w:tcMar>
            <w:vAlign w:val="center"/>
          </w:tcPr>
          <w:p>
            <w:pPr>
              <w:spacing w:after="20" w:line="250"/>
            </w:pPr>
            <w:r>
              <w:rPr>
                <w:sz w:val="18"/>
                <w:szCs w:val="18"/>
              </w:rPr>
              <w:t xml:space="preserve">Q5 K-Means land cover</w:t>
            </w:r>
          </w:p>
        </w:tc>
        <w:tc>
          <w:tcPr>
            <w:tcW w:type="dxa" w:w="3036"/>
            <w:tcMar>
              <w:top w:type="dxa" w:w="60"/>
              <w:left w:type="dxa" w:w="90"/>
              <w:bottom w:type="dxa" w:w="60"/>
              <w:right w:type="dxa" w:w="90"/>
            </w:tcMar>
            <w:vAlign w:val="center"/>
          </w:tcPr>
          <w:p>
            <w:pPr>
              <w:spacing w:after="20" w:line="250"/>
            </w:pPr>
            <w:r>
              <w:rPr>
                <w:sz w:val="18"/>
                <w:szCs w:val="18"/>
              </w:rPr>
              <w:t xml:space="preserve">Which land-cover classes does the scene contain?</w:t>
            </w:r>
          </w:p>
        </w:tc>
        <w:tc>
          <w:tcPr>
            <w:tcW w:type="dxa" w:w="2112"/>
            <w:tcMar>
              <w:top w:type="dxa" w:w="60"/>
              <w:left w:type="dxa" w:w="90"/>
              <w:bottom w:type="dxa" w:w="60"/>
              <w:right w:type="dxa" w:w="90"/>
            </w:tcMar>
            <w:vAlign w:val="center"/>
          </w:tcPr>
          <w:p>
            <w:pPr>
              <w:spacing w:after="20" w:line="250"/>
            </w:pPr>
            <w:r>
              <w:rPr>
                <w:sz w:val="18"/>
                <w:szCs w:val="18"/>
              </w:rPr>
              <w:t xml:space="preserve">BSQ / ENVI / GeoTIFF cube</w:t>
            </w:r>
          </w:p>
        </w:tc>
        <w:tc>
          <w:tcPr>
            <w:tcW w:type="dxa" w:w="2906"/>
            <w:tcMar>
              <w:top w:type="dxa" w:w="60"/>
              <w:left w:type="dxa" w:w="90"/>
              <w:bottom w:type="dxa" w:w="60"/>
              <w:right w:type="dxa" w:w="90"/>
            </w:tcMar>
            <w:vAlign w:val="center"/>
          </w:tcPr>
          <w:p>
            <w:pPr>
              <w:spacing w:after="20" w:line="250"/>
            </w:pPr>
            <w:r>
              <w:rPr>
                <w:sz w:val="18"/>
                <w:szCs w:val="18"/>
              </w:rPr>
              <w:t xml:space="preserve">Class map with labelled legend + cluster table (CSV)</w:t>
            </w:r>
          </w:p>
        </w:tc>
      </w:tr>
    </w:tbl>
    <w:p>
      <w:pPr>
        <w:spacing w:after="120"/>
      </w:pPr>
    </w:p>
    <w:p>
      <w:pPr>
        <w:keepNext/>
        <w:spacing w:after="80" w:before="160"/>
      </w:pPr>
      <w:r>
        <w:rPr>
          <w:b/>
          <w:bCs/>
          <w:color w:val="52514E"/>
          <w:sz w:val="18"/>
          <w:szCs w:val="18"/>
        </w:rPr>
        <w:t xml:space="preserve">Table 2.</w:t>
      </w:r>
      <w:r>
        <w:rPr>
          <w:color w:val="52514E"/>
          <w:sz w:val="18"/>
          <w:szCs w:val="18"/>
        </w:rPr>
        <w:t xml:space="preserve"> Plugin facts.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90"/>
        <w:gridCol w:w="7448"/>
      </w:tblGrid>
      <w:tr>
        <w:trPr>
          <w:cantSplit/>
          <w:tblHeader/>
        </w:trPr>
        <w:tc>
          <w:tcPr>
            <w:tcW w:type="dxa" w:w="219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Item</w:t>
            </w:r>
          </w:p>
        </w:tc>
        <w:tc>
          <w:tcPr>
            <w:tcW w:type="dxa" w:w="744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Value</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QGIS plugin package</w:t>
            </w:r>
          </w:p>
        </w:tc>
        <w:tc>
          <w:tcPr>
            <w:tcW w:type="dxa" w:w="744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hyperspatial_analytics</w:t>
            </w:r>
            <w:r>
              <w:rPr>
                <w:sz w:val="18"/>
                <w:szCs w:val="18"/>
              </w:rPr>
              <w:t xml:space="preserve"> (display name: HyperSpatial Sedona Analytics), version 0.2, experimental</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QGIS versions</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3.0 – 4.99 declared; tested on QGIS 4.2.3 (Qt 6.11, GDAL 3.13) on macOS (Apple M4 Pro)</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Compute stack</w:t>
            </w:r>
          </w:p>
        </w:tc>
        <w:tc>
          <w:tcPr>
            <w:tcW w:type="dxa" w:w="7448"/>
            <w:tcMar>
              <w:top w:type="dxa" w:w="60"/>
              <w:left w:type="dxa" w:w="90"/>
              <w:bottom w:type="dxa" w:w="60"/>
              <w:right w:type="dxa" w:w="90"/>
            </w:tcMar>
            <w:vAlign w:val="center"/>
          </w:tcPr>
          <w:p>
            <w:pPr>
              <w:spacing w:after="20" w:line="250"/>
            </w:pPr>
            <w:r>
              <w:rPr>
                <w:sz w:val="18"/>
                <w:szCs w:val="18"/>
              </w:rPr>
              <w:t xml:space="preserve">Apache Spark / PySpark 3.4.2, Apache Sedona 1.5.1 (</w:t>
            </w:r>
            <w:r>
              <w:rPr>
                <w:rFonts w:ascii="Courier New" w:cs="Courier New" w:eastAsia="Courier New" w:hAnsi="Courier New"/>
                <w:sz w:val="16"/>
                <w:szCs w:val="16"/>
              </w:rPr>
              <w:t xml:space="preserve">sedona-spark-shaded-3.4_2.12</w:t>
            </w:r>
            <w:r>
              <w:rPr>
                <w:sz w:val="18"/>
                <w:szCs w:val="18"/>
              </w:rPr>
              <w:t xml:space="preserve">), </w:t>
            </w:r>
            <w:r>
              <w:rPr>
                <w:rFonts w:ascii="Courier New" w:cs="Courier New" w:eastAsia="Courier New" w:hAnsi="Courier New"/>
                <w:sz w:val="16"/>
                <w:szCs w:val="16"/>
              </w:rPr>
              <w:t xml:space="preserve">geotools-wrapper 1.5.1-28.2</w:t>
            </w:r>
            <w:r>
              <w:rPr>
                <w:sz w:val="18"/>
                <w:szCs w:val="18"/>
              </w:rPr>
              <w:t xml:space="preserve"> (provides the Jiffle map-algebra engine), Spark MLlib, Java 17</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Python environment</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A dedicated environment for Spark (tested: </w:t>
            </w:r>
            <w:r>
              <w:rPr>
                <w:rFonts w:ascii="Courier New" w:cs="Courier New" w:eastAsia="Courier New" w:hAnsi="Courier New"/>
                <w:sz w:val="16"/>
                <w:szCs w:val="16"/>
              </w:rPr>
              <w:t xml:space="preserve">~/hyperspatial-venv</w:t>
            </w:r>
            <w:r>
              <w:rPr>
                <w:sz w:val="18"/>
                <w:szCs w:val="18"/>
              </w:rPr>
              <w:t xml:space="preserve"> with Python 3.11, PySpark 3.4.2, Sedona 1.5.1, NumPy 1.26, Shapely 2). </w:t>
            </w:r>
            <w:r>
              <w:rPr>
                <w:sz w:val="18"/>
                <w:szCs w:val="18"/>
              </w:rPr>
              <w:t xml:space="preserve">No pyarrow</w:t>
            </w:r>
            <w:r>
              <w:rPr>
                <w:sz w:val="18"/>
                <w:szCs w:val="18"/>
              </w:rPr>
              <w:t xml:space="preserve"> (see §3)</w:t>
            </w:r>
          </w:p>
        </w:tc>
      </w:tr>
      <w:tr>
        <w:trPr>
          <w:cantSplit/>
        </w:trPr>
        <w:tc>
          <w:tcPr>
            <w:tcW w:type="dxa" w:w="2190"/>
            <w:tcMar>
              <w:top w:type="dxa" w:w="60"/>
              <w:left w:type="dxa" w:w="90"/>
              <w:bottom w:type="dxa" w:w="60"/>
              <w:right w:type="dxa" w:w="90"/>
            </w:tcMar>
            <w:vAlign w:val="center"/>
          </w:tcPr>
          <w:p>
            <w:pPr>
              <w:spacing w:after="20" w:line="250"/>
            </w:pPr>
            <w:r>
              <w:rPr>
                <w:sz w:val="18"/>
                <w:szCs w:val="18"/>
              </w:rPr>
              <w:t xml:space="preserve">Data exchange</w:t>
            </w:r>
          </w:p>
        </w:tc>
        <w:tc>
          <w:tcPr>
            <w:tcW w:type="dxa" w:w="7448"/>
            <w:tcMar>
              <w:top w:type="dxa" w:w="60"/>
              <w:left w:type="dxa" w:w="90"/>
              <w:bottom w:type="dxa" w:w="60"/>
              <w:right w:type="dxa" w:w="90"/>
            </w:tcMar>
            <w:vAlign w:val="center"/>
          </w:tcPr>
          <w:p>
            <w:pPr>
              <w:spacing w:after="20" w:line="250"/>
            </w:pPr>
            <w:r>
              <w:rPr>
                <w:sz w:val="18"/>
                <w:szCs w:val="18"/>
              </w:rPr>
              <w:t xml:space="preserve">GeoTIFF rasters, GeoJSON / WKT geometries, CSV tables — no GeoParquet</w:t>
            </w:r>
          </w:p>
        </w:tc>
      </w:tr>
      <w:tr>
        <w:trPr>
          <w:cantSplit/>
        </w:trPr>
        <w:tc>
          <w:tcPr>
            <w:tcW w:type="dxa" w:w="2190"/>
            <w:shd w:fill="F3F6FA" w:color="auto" w:val="clear"/>
            <w:tcMar>
              <w:top w:type="dxa" w:w="60"/>
              <w:left w:type="dxa" w:w="90"/>
              <w:bottom w:type="dxa" w:w="60"/>
              <w:right w:type="dxa" w:w="90"/>
            </w:tcMar>
            <w:vAlign w:val="center"/>
          </w:tcPr>
          <w:p>
            <w:pPr>
              <w:spacing w:after="20" w:line="250"/>
            </w:pPr>
            <w:r>
              <w:rPr>
                <w:sz w:val="18"/>
                <w:szCs w:val="18"/>
              </w:rPr>
              <w:t xml:space="preserve">Licence</w:t>
            </w:r>
          </w:p>
        </w:tc>
        <w:tc>
          <w:tcPr>
            <w:tcW w:type="dxa" w:w="7448"/>
            <w:shd w:fill="F3F6FA" w:color="auto" w:val="clear"/>
            <w:tcMar>
              <w:top w:type="dxa" w:w="60"/>
              <w:left w:type="dxa" w:w="90"/>
              <w:bottom w:type="dxa" w:w="60"/>
              <w:right w:type="dxa" w:w="90"/>
            </w:tcMar>
            <w:vAlign w:val="center"/>
          </w:tcPr>
          <w:p>
            <w:pPr>
              <w:spacing w:after="20" w:line="250"/>
            </w:pPr>
            <w:r>
              <w:rPr>
                <w:sz w:val="18"/>
                <w:szCs w:val="18"/>
              </w:rPr>
              <w:t xml:space="preserve">GPL-2.0</w:t>
            </w:r>
          </w:p>
        </w:tc>
      </w:tr>
    </w:tbl>
    <w:p>
      <w:pPr>
        <w:spacing w:after="120"/>
      </w:pPr>
    </w:p>
    <w:tbl>
      <w:tblPr>
        <w:tblW w:type="dxa" w:w="9638"/>
        <w:tblBorders>
          <w:top w:val="single" w:color="B7D3F6" w:sz="6"/>
          <w:left w:val="single" w:color="B7D3F6" w:sz="6"/>
          <w:bottom w:val="single" w:color="B7D3F6" w:sz="6"/>
          <w:right w:val="single" w:color="B7D3F6" w:sz="6"/>
          <w:insideH w:val="single" w:color="B7D3F6" w:sz="6"/>
          <w:insideV w:val="single" w:color="B7D3F6" w:sz="6"/>
        </w:tblBorders>
      </w:tblPr>
      <w:tblGrid>
        <w:gridCol w:w="9638"/>
      </w:tblGrid>
      <w:tr>
        <w:trPr>
          <w:cantSplit/>
        </w:trPr>
        <w:tc>
          <w:tcPr>
            <w:tcW w:type="dxa" w:w="9638"/>
            <w:shd w:fill="EEF4FB" w:color="auto" w:val="clear"/>
            <w:tcMar>
              <w:top w:type="dxa" w:w="120"/>
              <w:left w:type="dxa" w:w="180"/>
              <w:bottom w:type="dxa" w:w="120"/>
              <w:right w:type="dxa" w:w="180"/>
            </w:tcMar>
          </w:tcPr>
          <w:p>
            <w:pPr>
              <w:spacing w:after="60"/>
            </w:pPr>
            <w:r>
              <w:rPr>
                <w:b/>
                <w:bCs/>
                <w:color w:val="12355B"/>
              </w:rPr>
              <w:t xml:space="preserve">What is new in version 0.2</w:t>
            </w:r>
          </w:p>
          <w:p>
            <w:pPr>
              <w:pStyle w:val="ListParagraph"/>
              <w:numPr>
                <w:ilvl w:val="0"/>
                <w:numId w:val="2"/>
              </w:numPr>
              <w:spacing w:after="40"/>
            </w:pPr>
            <w:r>
              <w:rPr>
                <w:b/>
                <w:bCs/>
              </w:rPr>
              <w:t xml:space="preserve">Q5 K-Means land cover</w:t>
            </w:r>
            <w:r>
              <w:t xml:space="preserve"> — the machine-learning job (§6).</w:t>
            </w:r>
          </w:p>
          <w:p>
            <w:pPr>
              <w:pStyle w:val="ListParagraph"/>
              <w:numPr>
                <w:ilvl w:val="0"/>
                <w:numId w:val="2"/>
              </w:numPr>
              <w:spacing w:after="40"/>
            </w:pPr>
            <w:r>
              <w:rPr>
                <w:b/>
                <w:bCs/>
              </w:rPr>
              <w:t xml:space="preserve">Q4 NDVI bias fixed</w:t>
            </w:r>
            <w:r>
              <w:t xml:space="preserve"> — EnMAP's no-data background was averaged in as NDVI 0 (mean 0.393 instead of 0.562).</w:t>
            </w:r>
          </w:p>
          <w:p>
            <w:pPr>
              <w:pStyle w:val="ListParagraph"/>
              <w:numPr>
                <w:ilvl w:val="0"/>
                <w:numId w:val="2"/>
              </w:numPr>
              <w:spacing w:after="40"/>
            </w:pPr>
            <w:r>
              <w:rPr>
                <w:b/>
                <w:bCs/>
              </w:rPr>
              <w:t xml:space="preserve">Q1–Q3 now run on full EnMAP engine output</w:t>
            </w:r>
            <w:r>
              <w:t xml:space="preserve"> — they previously failed with </w:t>
            </w:r>
            <w:r>
              <w:rPr>
                <w:rFonts w:ascii="Courier New" w:cs="Courier New" w:eastAsia="Courier New" w:hAnsi="Courier New"/>
                <w:sz w:val="19"/>
                <w:szCs w:val="19"/>
              </w:rPr>
              <w:t xml:space="preserve">OutOfMemoryError</w:t>
            </w:r>
            <w:r>
              <w:t xml:space="preserve">.</w:t>
            </w:r>
          </w:p>
          <w:p>
            <w:pPr>
              <w:pStyle w:val="ListParagraph"/>
              <w:numPr>
                <w:ilvl w:val="0"/>
                <w:numId w:val="2"/>
              </w:numPr>
              <w:spacing w:after="40"/>
            </w:pPr>
            <w:r>
              <w:rPr>
                <w:b/>
                <w:bCs/>
              </w:rPr>
              <w:t xml:space="preserve">Q3 no longer reports empty tiles as vegetated</w:t>
            </w:r>
            <w:r>
              <w:t xml:space="preserve"> (Spark orders NaN above every number).</w:t>
            </w:r>
          </w:p>
          <w:p>
            <w:pPr>
              <w:pStyle w:val="ListParagraph"/>
              <w:numPr>
                <w:ilvl w:val="0"/>
                <w:numId w:val="2"/>
              </w:numPr>
              <w:spacing w:after="40"/>
            </w:pPr>
            <w:r>
              <w:rPr>
                <w:b/>
                <w:bCs/>
              </w:rPr>
              <w:t xml:space="preserve">Spark is protected from QGIS's own Python settings</w:t>
            </w:r>
            <w:r>
              <w:t xml:space="preserve"> (</w:t>
            </w:r>
            <w:r>
              <w:rPr>
                <w:rFonts w:ascii="Courier New" w:cs="Courier New" w:eastAsia="Courier New" w:hAnsi="Courier New"/>
                <w:sz w:val="19"/>
                <w:szCs w:val="19"/>
              </w:rPr>
              <w:t xml:space="preserve">PYTHONHOME</w:t>
            </w:r>
            <w:r>
              <w:t xml:space="preserve"> / </w:t>
            </w:r>
            <w:r>
              <w:rPr>
                <w:rFonts w:ascii="Courier New" w:cs="Courier New" w:eastAsia="Courier New" w:hAnsi="Courier New"/>
                <w:sz w:val="19"/>
                <w:szCs w:val="19"/>
              </w:rPr>
              <w:t xml:space="preserve">PYTHONPATH</w:t>
            </w:r>
            <w:r>
              <w:t xml:space="preserve"> are removed from the child environment).</w:t>
            </w:r>
          </w:p>
        </w:tc>
      </w:tr>
    </w:tbl>
    <w:p>
      <w:pPr>
        <w:spacing w:after="120"/>
      </w:pPr>
    </w:p>
    <w:p>
      <w:pPr>
        <w:pStyle w:val="Heading1"/>
      </w:pPr>
      <w:bookmarkStart w:name="_Toc2" w:id="2"/>
      <w:r>
        <w:t xml:space="preserve">2. Architecture</w:t>
      </w:r>
      <w:bookmarkEnd w:id="2"/>
    </w:p>
    <w:p>
      <w:r>
        <w:t xml:space="preserve">The plugin is a thin user interface in front of a set of PySpark job scripts. It never computes on pixels in the QGIS process: QGIS's GDAL is used only to </w:t>
      </w:r>
      <w:r>
        <w:rPr>
          <w:i/>
          <w:iCs/>
        </w:rPr>
        <w:t xml:space="preserve">prepare</w:t>
      </w:r>
      <w:r>
        <w:t xml:space="preserve"> GeoTIFF inputs and to mosaic results, and all per-pixel work happens in the Spark JVM through Sedona's raster functions. Figure 1 shows where the plugin sits in the complete HyperSpatial system, and Figure 2 shows the plugin's own data flow.</w:t>
      </w:r>
    </w:p>
    <w:p>
      <w:pPr>
        <w:keepNext/>
        <w:spacing w:after="60" w:before="120"/>
        <w:jc w:val="center"/>
      </w:pPr>
      <w:r>
        <w:drawing>
          <wp:inline distT="0" distB="0" distL="0" distR="0">
            <wp:extent cx="6124575" cy="3848100"/>
            <wp:effectExtent t="0" r="0" b="0" l="0"/>
            <wp:docPr id="1" name="diag_system_architecture.png" descr="HyperSpatial system context. The analytics plugin (lower lane) consumes the engine's tiles for Q1–Q3 and the raw cube for Q4–Q5." title="HyperSpatial system context. The analytics plugin (lower lane) consumes the engine's tiles for Q1–Q3 and the raw cube for Q4–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848100"/>
                    </a:xfrm>
                    <a:prstGeom prst="rect">
                      <a:avLst/>
                    </a:prstGeom>
                  </pic:spPr>
                </pic:pic>
              </a:graphicData>
            </a:graphic>
          </wp:inline>
        </w:drawing>
      </w:r>
    </w:p>
    <w:p>
      <w:pPr>
        <w:spacing w:after="200"/>
      </w:pPr>
      <w:r>
        <w:rPr>
          <w:b/>
          <w:bCs/>
          <w:color w:val="52514E"/>
          <w:sz w:val="18"/>
          <w:szCs w:val="18"/>
        </w:rPr>
        <w:t xml:space="preserve">Figure 1.</w:t>
      </w:r>
      <w:r>
        <w:rPr>
          <w:color w:val="52514E"/>
          <w:sz w:val="18"/>
          <w:szCs w:val="18"/>
        </w:rPr>
        <w:t xml:space="preserve"> HyperSpatial system context. The analytics plugin (lower lane) consumes the engine's tiles for Q1–Q3 and the raw cube for Q4–Q5.</w:t>
      </w:r>
    </w:p>
    <w:p>
      <w:pPr>
        <w:keepNext/>
        <w:spacing w:after="60" w:before="120"/>
        <w:jc w:val="center"/>
      </w:pPr>
      <w:r>
        <w:drawing>
          <wp:inline distT="0" distB="0" distL="0" distR="0">
            <wp:extent cx="6124575" cy="3343275"/>
            <wp:effectExtent t="0" r="0" b="0" l="0"/>
            <wp:docPr id="2" name="diag_sedona_flow.png" descr="Analytics data flow: the dialog validates inputs, a worker thread prepares GeoTIFF inputs with GDAL, `spark-submit` runs a Sedona job in the JVM, and the results return to the canvas." title="Analytics data flow: the dialog validates inputs, a worker thread prepares GeoTIFF inputs with GDAL, `spark-submit` runs a Sedona job in the JVM, and the results return to the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3343275"/>
                    </a:xfrm>
                    <a:prstGeom prst="rect">
                      <a:avLst/>
                    </a:prstGeom>
                  </pic:spPr>
                </pic:pic>
              </a:graphicData>
            </a:graphic>
          </wp:inline>
        </w:drawing>
      </w:r>
    </w:p>
    <w:p>
      <w:pPr>
        <w:spacing w:after="200"/>
      </w:pPr>
      <w:r>
        <w:rPr>
          <w:b/>
          <w:bCs/>
          <w:color w:val="52514E"/>
          <w:sz w:val="18"/>
          <w:szCs w:val="18"/>
        </w:rPr>
        <w:t xml:space="preserve">Figure 2.</w:t>
      </w:r>
      <w:r>
        <w:rPr>
          <w:color w:val="52514E"/>
          <w:sz w:val="18"/>
          <w:szCs w:val="18"/>
        </w:rPr>
        <w:t xml:space="preserve"> Analytics data flow: the dialog validates inputs, a worker thread prepares GeoTIFF inputs with GDAL, </w:t>
      </w:r>
      <w:r>
        <w:rPr>
          <w:rFonts w:ascii="Courier New" w:cs="Courier New" w:eastAsia="Courier New" w:hAnsi="Courier New"/>
          <w:color w:val="52514E"/>
          <w:sz w:val="16"/>
          <w:szCs w:val="16"/>
        </w:rPr>
        <w:t xml:space="preserve">spark-submit</w:t>
      </w:r>
      <w:r>
        <w:rPr>
          <w:color w:val="52514E"/>
          <w:sz w:val="18"/>
          <w:szCs w:val="18"/>
        </w:rPr>
        <w:t xml:space="preserve"> runs a Sedona job in the JVM, and the results return to the canvas.</w:t>
      </w:r>
    </w:p>
    <w:p>
      <w:pPr>
        <w:pStyle w:val="Heading2"/>
      </w:pPr>
      <w:bookmarkStart w:name="_Toc3" w:id="3"/>
      <w:r>
        <w:t xml:space="preserve">2.1 Components</w:t>
      </w:r>
      <w:bookmarkEnd w:id="3"/>
    </w:p>
    <w:p>
      <w:pPr>
        <w:keepNext/>
        <w:spacing w:after="80" w:before="160"/>
      </w:pPr>
      <w:r>
        <w:rPr>
          <w:b/>
          <w:bCs/>
          <w:color w:val="52514E"/>
          <w:sz w:val="18"/>
          <w:szCs w:val="18"/>
        </w:rPr>
        <w:t xml:space="preserve">Table 3.</w:t>
      </w:r>
      <w:r>
        <w:rPr>
          <w:color w:val="52514E"/>
          <w:sz w:val="18"/>
          <w:szCs w:val="18"/>
        </w:rPr>
        <w:t xml:space="preserve"> Plugin components.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658"/>
        <w:gridCol w:w="6980"/>
      </w:tblGrid>
      <w:tr>
        <w:trPr>
          <w:cantSplit/>
          <w:tblHeader/>
        </w:trPr>
        <w:tc>
          <w:tcPr>
            <w:tcW w:type="dxa" w:w="265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File</w:t>
            </w:r>
          </w:p>
        </w:tc>
        <w:tc>
          <w:tcPr>
            <w:tcW w:type="dxa" w:w="698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Role</w:t>
            </w:r>
          </w:p>
        </w:tc>
      </w:tr>
      <w:tr>
        <w:trPr>
          <w:cantSplit/>
        </w:trPr>
        <w:tc>
          <w:tcPr>
            <w:tcW w:type="dxa" w:w="26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plugin.py</w:t>
            </w:r>
          </w:p>
        </w:tc>
        <w:tc>
          <w:tcPr>
            <w:tcW w:type="dxa" w:w="6980"/>
            <w:tcMar>
              <w:top w:type="dxa" w:w="60"/>
              <w:left w:type="dxa" w:w="90"/>
              <w:bottom w:type="dxa" w:w="60"/>
              <w:right w:type="dxa" w:w="90"/>
            </w:tcMar>
            <w:vAlign w:val="center"/>
          </w:tcPr>
          <w:p>
            <w:pPr>
              <w:spacing w:after="20" w:line="250"/>
            </w:pPr>
            <w:r>
              <w:rPr>
                <w:sz w:val="18"/>
                <w:szCs w:val="18"/>
              </w:rPr>
              <w:t xml:space="preserve">Registers the toolbar action and opens the dialog (modeless, so QGIS stays usable).</w:t>
            </w:r>
          </w:p>
        </w:tc>
      </w:tr>
      <w:tr>
        <w:trPr>
          <w:cantSplit/>
        </w:trPr>
        <w:tc>
          <w:tcPr>
            <w:tcW w:type="dxa" w:w="26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dialog.py</w:t>
            </w:r>
          </w:p>
        </w:tc>
        <w:tc>
          <w:tcPr>
            <w:tcW w:type="dxa" w:w="6980"/>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SedonaAnalyticsDialog</w:t>
            </w:r>
            <w:r>
              <w:rPr>
                <w:sz w:val="18"/>
                <w:szCs w:val="18"/>
              </w:rPr>
              <w:t xml:space="preserve">: input widgets, job selection, worker threads, Qt signals, layer loading and styling.</w:t>
            </w:r>
          </w:p>
        </w:tc>
      </w:tr>
      <w:tr>
        <w:trPr>
          <w:cantSplit/>
        </w:trPr>
        <w:tc>
          <w:tcPr>
            <w:tcW w:type="dxa" w:w="26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spark_locator.py</w:t>
            </w:r>
          </w:p>
        </w:tc>
        <w:tc>
          <w:tcPr>
            <w:tcW w:type="dxa" w:w="6980"/>
            <w:tcMar>
              <w:top w:type="dxa" w:w="60"/>
              <w:left w:type="dxa" w:w="90"/>
              <w:bottom w:type="dxa" w:w="60"/>
              <w:right w:type="dxa" w:w="90"/>
            </w:tcMar>
            <w:vAlign w:val="center"/>
          </w:tcPr>
          <w:p>
            <w:pPr>
              <w:spacing w:after="20" w:line="250"/>
            </w:pPr>
            <w:r>
              <w:rPr>
                <w:sz w:val="18"/>
                <w:szCs w:val="18"/>
              </w:rPr>
              <w:t xml:space="preserve">Finds </w:t>
            </w:r>
            <w:r>
              <w:rPr>
                <w:rFonts w:ascii="Courier New" w:cs="Courier New" w:eastAsia="Courier New" w:hAnsi="Courier New"/>
                <w:sz w:val="16"/>
                <w:szCs w:val="16"/>
              </w:rPr>
              <w:t xml:space="preserve">spark-submit</w:t>
            </w:r>
            <w:r>
              <w:rPr>
                <w:sz w:val="18"/>
                <w:szCs w:val="18"/>
              </w:rPr>
              <w:t xml:space="preserve"> (saved setting → </w:t>
            </w:r>
            <w:r>
              <w:rPr>
                <w:rFonts w:ascii="Courier New" w:cs="Courier New" w:eastAsia="Courier New" w:hAnsi="Courier New"/>
                <w:sz w:val="16"/>
                <w:szCs w:val="16"/>
              </w:rPr>
              <w:t xml:space="preserve">SPARK_HOME</w:t>
            </w:r>
            <w:r>
              <w:rPr>
                <w:sz w:val="18"/>
                <w:szCs w:val="18"/>
              </w:rPr>
              <w:t xml:space="preserve"> → </w:t>
            </w:r>
            <w:r>
              <w:rPr>
                <w:rFonts w:ascii="Courier New" w:cs="Courier New" w:eastAsia="Courier New" w:hAnsi="Courier New"/>
                <w:sz w:val="16"/>
                <w:szCs w:val="16"/>
              </w:rPr>
              <w:t xml:space="preserve">PATH</w:t>
            </w:r>
            <w:r>
              <w:rPr>
                <w:sz w:val="18"/>
                <w:szCs w:val="18"/>
              </w:rPr>
              <w:t xml:space="preserve"> → common install dirs → login shell) and builds a clean child environment (</w:t>
            </w:r>
            <w:r>
              <w:rPr>
                <w:rFonts w:ascii="Courier New" w:cs="Courier New" w:eastAsia="Courier New" w:hAnsi="Courier New"/>
                <w:sz w:val="16"/>
                <w:szCs w:val="16"/>
              </w:rPr>
              <w:t xml:space="preserve">spark_env</w:t>
            </w:r>
            <w:r>
              <w:rPr>
                <w:sz w:val="18"/>
                <w:szCs w:val="18"/>
              </w:rPr>
              <w:t xml:space="preserve">).</w:t>
            </w:r>
          </w:p>
        </w:tc>
      </w:tr>
      <w:tr>
        <w:trPr>
          <w:cantSplit/>
        </w:trPr>
        <w:tc>
          <w:tcPr>
            <w:tcW w:type="dxa" w:w="26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raster_prep.py</w:t>
            </w:r>
          </w:p>
        </w:tc>
        <w:tc>
          <w:tcPr>
            <w:tcW w:type="dxa" w:w="6980"/>
            <w:shd w:fill="F3F6FA" w:color="auto" w:val="clear"/>
            <w:tcMar>
              <w:top w:type="dxa" w:w="60"/>
              <w:left w:type="dxa" w:w="90"/>
              <w:bottom w:type="dxa" w:w="60"/>
              <w:right w:type="dxa" w:w="90"/>
            </w:tcMar>
            <w:vAlign w:val="center"/>
          </w:tcPr>
          <w:p>
            <w:pPr>
              <w:spacing w:after="20" w:line="250"/>
            </w:pPr>
            <w:r>
              <w:rPr>
                <w:sz w:val="18"/>
                <w:szCs w:val="18"/>
              </w:rPr>
              <w:t xml:space="preserve">GDAL helpers run by the plugin: wavelength-based band detection, raw-cube tiling, 7-band index extraction from engine tiles.</w:t>
            </w:r>
          </w:p>
        </w:tc>
      </w:tr>
      <w:tr>
        <w:trPr>
          <w:cantSplit/>
        </w:trPr>
        <w:tc>
          <w:tcPr>
            <w:tcW w:type="dxa" w:w="26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spark-sedona/jobs/q1…q5</w:t>
            </w:r>
          </w:p>
        </w:tc>
        <w:tc>
          <w:tcPr>
            <w:tcW w:type="dxa" w:w="6980"/>
            <w:tcMar>
              <w:top w:type="dxa" w:w="60"/>
              <w:left w:type="dxa" w:w="90"/>
              <w:bottom w:type="dxa" w:w="60"/>
              <w:right w:type="dxa" w:w="90"/>
            </w:tcMar>
            <w:vAlign w:val="center"/>
          </w:tcPr>
          <w:p>
            <w:pPr>
              <w:spacing w:after="20" w:line="250"/>
            </w:pPr>
            <w:r>
              <w:rPr>
                <w:sz w:val="18"/>
                <w:szCs w:val="18"/>
              </w:rPr>
              <w:t xml:space="preserve">The PySpark + Sedona job scripts (bundled copy of the repository's </w:t>
            </w:r>
            <w:r>
              <w:rPr>
                <w:rFonts w:ascii="Courier New" w:cs="Courier New" w:eastAsia="Courier New" w:hAnsi="Courier New"/>
                <w:sz w:val="16"/>
                <w:szCs w:val="16"/>
              </w:rPr>
              <w:t xml:space="preserve">spark-sedona/</w:t>
            </w:r>
            <w:r>
              <w:rPr>
                <w:sz w:val="18"/>
                <w:szCs w:val="18"/>
              </w:rPr>
              <w:t xml:space="preserve">).</w:t>
            </w:r>
          </w:p>
        </w:tc>
      </w:tr>
      <w:tr>
        <w:trPr>
          <w:cantSplit/>
        </w:trPr>
        <w:tc>
          <w:tcPr>
            <w:tcW w:type="dxa" w:w="26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spark-sedona/utils/sedona_session.py</w:t>
            </w:r>
          </w:p>
        </w:tc>
        <w:tc>
          <w:tcPr>
            <w:tcW w:type="dxa" w:w="6980"/>
            <w:shd w:fill="F3F6FA" w:color="auto" w:val="clear"/>
            <w:tcMar>
              <w:top w:type="dxa" w:w="60"/>
              <w:left w:type="dxa" w:w="90"/>
              <w:bottom w:type="dxa" w:w="60"/>
              <w:right w:type="dxa" w:w="90"/>
            </w:tcMar>
            <w:vAlign w:val="center"/>
          </w:tcPr>
          <w:p>
            <w:pPr>
              <w:spacing w:after="20" w:line="250"/>
            </w:pPr>
            <w:r>
              <w:rPr>
                <w:sz w:val="18"/>
                <w:szCs w:val="18"/>
              </w:rPr>
              <w:t xml:space="preserve">Creates the </w:t>
            </w:r>
            <w:r>
              <w:rPr>
                <w:rFonts w:ascii="Courier New" w:cs="Courier New" w:eastAsia="Courier New" w:hAnsi="Courier New"/>
                <w:sz w:val="16"/>
                <w:szCs w:val="16"/>
              </w:rPr>
              <w:t xml:space="preserve">SedonaContext</w:t>
            </w:r>
            <w:r>
              <w:rPr>
                <w:sz w:val="18"/>
                <w:szCs w:val="18"/>
              </w:rPr>
              <w:t xml:space="preserve"> (Kryo serializer, Sedona registrator).</w:t>
            </w:r>
          </w:p>
        </w:tc>
      </w:tr>
      <w:tr>
        <w:trPr>
          <w:cantSplit/>
        </w:trPr>
        <w:tc>
          <w:tcPr>
            <w:tcW w:type="dxa" w:w="26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spark-sedona/utils/raster_io.py</w:t>
            </w:r>
          </w:p>
        </w:tc>
        <w:tc>
          <w:tcPr>
            <w:tcW w:type="dxa" w:w="6980"/>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load_tiles</w:t>
            </w:r>
            <w:r>
              <w:rPr>
                <w:sz w:val="18"/>
                <w:szCs w:val="18"/>
              </w:rPr>
              <w:t xml:space="preserve">: reads </w:t>
            </w:r>
            <w:r>
              <w:rPr>
                <w:rFonts w:ascii="Courier New" w:cs="Courier New" w:eastAsia="Courier New" w:hAnsi="Courier New"/>
                <w:sz w:val="16"/>
                <w:szCs w:val="16"/>
              </w:rPr>
              <w:t xml:space="preserve">tile_r*.tif</w:t>
            </w:r>
            <w:r>
              <w:rPr>
                <w:sz w:val="18"/>
                <w:szCs w:val="18"/>
              </w:rPr>
              <w:t xml:space="preserve"> with </w:t>
            </w:r>
            <w:r>
              <w:rPr>
                <w:rFonts w:ascii="Courier New" w:cs="Courier New" w:eastAsia="Courier New" w:hAnsi="Courier New"/>
                <w:sz w:val="16"/>
                <w:szCs w:val="16"/>
              </w:rPr>
              <w:t xml:space="preserve">binaryFile</w:t>
            </w:r>
            <w:r>
              <w:rPr>
                <w:sz w:val="18"/>
                <w:szCs w:val="18"/>
              </w:rPr>
              <w:t xml:space="preserve"> + </w:t>
            </w:r>
            <w:r>
              <w:rPr>
                <w:rFonts w:ascii="Courier New" w:cs="Courier New" w:eastAsia="Courier New" w:hAnsi="Courier New"/>
                <w:sz w:val="16"/>
                <w:szCs w:val="16"/>
              </w:rPr>
              <w:t xml:space="preserve">RS_FromGeoTiff</w:t>
            </w:r>
            <w:r>
              <w:rPr>
                <w:sz w:val="18"/>
                <w:szCs w:val="18"/>
              </w:rPr>
              <w:t xml:space="preserve">, derives index band numbers and tile footprints.</w:t>
            </w:r>
          </w:p>
        </w:tc>
      </w:tr>
      <w:tr>
        <w:trPr>
          <w:cantSplit/>
        </w:trPr>
        <w:tc>
          <w:tcPr>
            <w:tcW w:type="dxa" w:w="26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spark-sedona/utils/ml_jiffle.py</w:t>
            </w:r>
          </w:p>
        </w:tc>
        <w:tc>
          <w:tcPr>
            <w:tcW w:type="dxa" w:w="6980"/>
            <w:shd w:fill="F3F6FA" w:color="auto" w:val="clear"/>
            <w:tcMar>
              <w:top w:type="dxa" w:w="60"/>
              <w:left w:type="dxa" w:w="90"/>
              <w:bottom w:type="dxa" w:w="60"/>
              <w:right w:type="dxa" w:w="90"/>
            </w:tcMar>
            <w:vAlign w:val="center"/>
          </w:tcPr>
          <w:p>
            <w:pPr>
              <w:spacing w:after="20" w:line="250"/>
            </w:pPr>
            <w:r>
              <w:rPr>
                <w:sz w:val="18"/>
                <w:szCs w:val="18"/>
              </w:rPr>
              <w:t xml:space="preserve">Q5: feature definitions (Spark and Jiffle from one source), model-to-Jiffle compiler, cluster labelling.</w:t>
            </w:r>
          </w:p>
        </w:tc>
      </w:tr>
      <w:tr>
        <w:trPr>
          <w:cantSplit/>
        </w:trPr>
        <w:tc>
          <w:tcPr>
            <w:tcW w:type="dxa" w:w="26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tests/</w:t>
            </w:r>
            <w:r>
              <w:rPr>
                <w:sz w:val="18"/>
                <w:szCs w:val="18"/>
              </w:rPr>
              <w:t xml:space="preserve"> (not packaged)</w:t>
            </w:r>
          </w:p>
        </w:tc>
        <w:tc>
          <w:tcPr>
            <w:tcW w:type="dxa" w:w="6980"/>
            <w:tcMar>
              <w:top w:type="dxa" w:w="60"/>
              <w:left w:type="dxa" w:w="90"/>
              <w:bottom w:type="dxa" w:w="60"/>
              <w:right w:type="dxa" w:w="90"/>
            </w:tcMar>
            <w:vAlign w:val="center"/>
          </w:tcPr>
          <w:p>
            <w:pPr>
              <w:spacing w:after="20" w:line="250"/>
            </w:pPr>
            <w:r>
              <w:rPr>
                <w:sz w:val="18"/>
                <w:szCs w:val="18"/>
              </w:rPr>
              <w:t xml:space="preserve">Unit tests, end-to-end validation against a real EnMAP scene, headless QGIS dialog smoke test (§8).</w:t>
            </w:r>
          </w:p>
        </w:tc>
      </w:tr>
    </w:tbl>
    <w:p>
      <w:pPr>
        <w:spacing w:after="120"/>
      </w:pPr>
    </w:p>
    <w:p>
      <w:pPr>
        <w:pStyle w:val="Heading2"/>
      </w:pPr>
      <w:bookmarkStart w:name="_Toc4" w:id="4"/>
      <w:r>
        <w:t xml:space="preserve">2.2 Threads, processes and signals</w:t>
      </w:r>
      <w:bookmarkEnd w:id="4"/>
    </w:p>
    <w:p>
      <w:r>
        <w:t xml:space="preserve">QGIS must never freeze while Spark runs (a scene-level job takes 7–15 seconds, longer on bigger data). The plugin therefore uses three execution contexts and passes results between them only through Qt signals:</w:t>
      </w:r>
    </w:p>
    <w:p>
      <w:pPr>
        <w:keepNext/>
        <w:spacing w:after="80" w:before="160"/>
      </w:pPr>
      <w:r>
        <w:rPr>
          <w:b/>
          <w:bCs/>
          <w:color w:val="52514E"/>
          <w:sz w:val="18"/>
          <w:szCs w:val="18"/>
        </w:rPr>
        <w:t xml:space="preserve">Table 4.</w:t>
      </w:r>
      <w:r>
        <w:rPr>
          <w:color w:val="52514E"/>
          <w:sz w:val="18"/>
          <w:szCs w:val="18"/>
        </w:rPr>
        <w:t xml:space="preserve"> Execution contexts.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76"/>
        <w:gridCol w:w="4041"/>
        <w:gridCol w:w="3421"/>
      </w:tblGrid>
      <w:tr>
        <w:trPr>
          <w:cantSplit/>
          <w:tblHeader/>
        </w:trPr>
        <w:tc>
          <w:tcPr>
            <w:tcW w:type="dxa" w:w="217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Context</w:t>
            </w:r>
          </w:p>
        </w:tc>
        <w:tc>
          <w:tcPr>
            <w:tcW w:type="dxa" w:w="404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Runs</w:t>
            </w:r>
          </w:p>
        </w:tc>
        <w:tc>
          <w:tcPr>
            <w:tcW w:type="dxa" w:w="342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Never does</w:t>
            </w:r>
          </w:p>
        </w:tc>
      </w:tr>
      <w:tr>
        <w:trPr>
          <w:cantSplit/>
        </w:trPr>
        <w:tc>
          <w:tcPr>
            <w:tcW w:type="dxa" w:w="2176"/>
            <w:tcMar>
              <w:top w:type="dxa" w:w="60"/>
              <w:left w:type="dxa" w:w="90"/>
              <w:bottom w:type="dxa" w:w="60"/>
              <w:right w:type="dxa" w:w="90"/>
            </w:tcMar>
            <w:vAlign w:val="center"/>
          </w:tcPr>
          <w:p>
            <w:pPr>
              <w:spacing w:after="20" w:line="250"/>
            </w:pPr>
            <w:r>
              <w:rPr>
                <w:sz w:val="18"/>
                <w:szCs w:val="18"/>
              </w:rPr>
              <w:t xml:space="preserve">GUI thread</w:t>
            </w:r>
          </w:p>
        </w:tc>
        <w:tc>
          <w:tcPr>
            <w:tcW w:type="dxa" w:w="4041"/>
            <w:tcMar>
              <w:top w:type="dxa" w:w="60"/>
              <w:left w:type="dxa" w:w="90"/>
              <w:bottom w:type="dxa" w:w="60"/>
              <w:right w:type="dxa" w:w="90"/>
            </w:tcMar>
            <w:vAlign w:val="center"/>
          </w:tcPr>
          <w:p>
            <w:pPr>
              <w:spacing w:after="20" w:line="250"/>
            </w:pPr>
            <w:r>
              <w:rPr>
                <w:sz w:val="18"/>
                <w:szCs w:val="18"/>
              </w:rPr>
              <w:t xml:space="preserve">Widget handling, input validation, creating map layers and renderers (signal slots)</w:t>
            </w:r>
          </w:p>
        </w:tc>
        <w:tc>
          <w:tcPr>
            <w:tcW w:type="dxa" w:w="3421"/>
            <w:tcMar>
              <w:top w:type="dxa" w:w="60"/>
              <w:left w:type="dxa" w:w="90"/>
              <w:bottom w:type="dxa" w:w="60"/>
              <w:right w:type="dxa" w:w="90"/>
            </w:tcMar>
            <w:vAlign w:val="center"/>
          </w:tcPr>
          <w:p>
            <w:pPr>
              <w:spacing w:after="20" w:line="250"/>
            </w:pPr>
            <w:r>
              <w:rPr>
                <w:sz w:val="18"/>
                <w:szCs w:val="18"/>
              </w:rPr>
              <w:t xml:space="preserve">GDAL work on large files, waiting for Spark</w:t>
            </w:r>
          </w:p>
        </w:tc>
      </w:tr>
      <w:tr>
        <w:trPr>
          <w:cantSplit/>
        </w:trPr>
        <w:tc>
          <w:tcPr>
            <w:tcW w:type="dxa" w:w="2176"/>
            <w:shd w:fill="F3F6FA" w:color="auto" w:val="clear"/>
            <w:tcMar>
              <w:top w:type="dxa" w:w="60"/>
              <w:left w:type="dxa" w:w="90"/>
              <w:bottom w:type="dxa" w:w="60"/>
              <w:right w:type="dxa" w:w="90"/>
            </w:tcMar>
            <w:vAlign w:val="center"/>
          </w:tcPr>
          <w:p>
            <w:pPr>
              <w:spacing w:after="20" w:line="250"/>
            </w:pPr>
            <w:r>
              <w:rPr>
                <w:sz w:val="18"/>
                <w:szCs w:val="18"/>
              </w:rPr>
              <w:t xml:space="preserve">Worker thread (</w:t>
            </w:r>
            <w:r>
              <w:rPr>
                <w:rFonts w:ascii="Courier New" w:cs="Courier New" w:eastAsia="Courier New" w:hAnsi="Courier New"/>
                <w:sz w:val="16"/>
                <w:szCs w:val="16"/>
              </w:rPr>
              <w:t xml:space="preserve">threading.Thread</w:t>
            </w:r>
            <w:r>
              <w:rPr>
                <w:sz w:val="18"/>
                <w:szCs w:val="18"/>
              </w:rPr>
              <w:t xml:space="preserve">)</w:t>
            </w:r>
          </w:p>
        </w:tc>
        <w:tc>
          <w:tcPr>
            <w:tcW w:type="dxa" w:w="4041"/>
            <w:shd w:fill="F3F6FA" w:color="auto" w:val="clear"/>
            <w:tcMar>
              <w:top w:type="dxa" w:w="60"/>
              <w:left w:type="dxa" w:w="90"/>
              <w:bottom w:type="dxa" w:w="60"/>
              <w:right w:type="dxa" w:w="90"/>
            </w:tcMar>
            <w:vAlign w:val="center"/>
          </w:tcPr>
          <w:p>
            <w:pPr>
              <w:spacing w:after="20" w:line="250"/>
            </w:pPr>
            <w:r>
              <w:rPr>
                <w:sz w:val="18"/>
                <w:szCs w:val="18"/>
              </w:rPr>
              <w:t xml:space="preserve">GDAL preparation, launching </w:t>
            </w:r>
            <w:r>
              <w:rPr>
                <w:rFonts w:ascii="Courier New" w:cs="Courier New" w:eastAsia="Courier New" w:hAnsi="Courier New"/>
                <w:sz w:val="16"/>
                <w:szCs w:val="16"/>
              </w:rPr>
              <w:t xml:space="preserve">spark-submit</w:t>
            </w:r>
            <w:r>
              <w:rPr>
                <w:sz w:val="18"/>
                <w:szCs w:val="18"/>
              </w:rPr>
              <w:t xml:space="preserve">, streaming its log, building the VRT mosaic</w:t>
            </w:r>
          </w:p>
        </w:tc>
        <w:tc>
          <w:tcPr>
            <w:tcW w:type="dxa" w:w="3421"/>
            <w:shd w:fill="F3F6FA" w:color="auto" w:val="clear"/>
            <w:tcMar>
              <w:top w:type="dxa" w:w="60"/>
              <w:left w:type="dxa" w:w="90"/>
              <w:bottom w:type="dxa" w:w="60"/>
              <w:right w:type="dxa" w:w="90"/>
            </w:tcMar>
            <w:vAlign w:val="center"/>
          </w:tcPr>
          <w:p>
            <w:pPr>
              <w:spacing w:after="20" w:line="250"/>
            </w:pPr>
            <w:r>
              <w:rPr>
                <w:sz w:val="18"/>
                <w:szCs w:val="18"/>
              </w:rPr>
              <w:t xml:space="preserve">Touching Qt widgets or </w:t>
            </w:r>
            <w:r>
              <w:rPr>
                <w:rFonts w:ascii="Courier New" w:cs="Courier New" w:eastAsia="Courier New" w:hAnsi="Courier New"/>
                <w:sz w:val="16"/>
                <w:szCs w:val="16"/>
              </w:rPr>
              <w:t xml:space="preserve">QgsProject</w:t>
            </w:r>
            <w:r>
              <w:rPr>
                <w:sz w:val="18"/>
                <w:szCs w:val="18"/>
              </w:rPr>
              <w:t xml:space="preserve"> directly</w:t>
            </w:r>
          </w:p>
        </w:tc>
      </w:tr>
      <w:tr>
        <w:trPr>
          <w:cantSplit/>
        </w:trPr>
        <w:tc>
          <w:tcPr>
            <w:tcW w:type="dxa" w:w="2176"/>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spark-submit</w:t>
            </w:r>
            <w:r>
              <w:rPr>
                <w:sz w:val="18"/>
                <w:szCs w:val="18"/>
              </w:rPr>
              <w:t xml:space="preserve"> child process</w:t>
            </w:r>
          </w:p>
        </w:tc>
        <w:tc>
          <w:tcPr>
            <w:tcW w:type="dxa" w:w="4041"/>
            <w:tcMar>
              <w:top w:type="dxa" w:w="60"/>
              <w:left w:type="dxa" w:w="90"/>
              <w:bottom w:type="dxa" w:w="60"/>
              <w:right w:type="dxa" w:w="90"/>
            </w:tcMar>
            <w:vAlign w:val="center"/>
          </w:tcPr>
          <w:p>
            <w:pPr>
              <w:spacing w:after="20" w:line="250"/>
            </w:pPr>
            <w:r>
              <w:rPr>
                <w:sz w:val="18"/>
                <w:szCs w:val="18"/>
              </w:rPr>
              <w:t xml:space="preserve">Spark driver + executors (JVM) and the PySpark job script</w:t>
            </w:r>
          </w:p>
        </w:tc>
        <w:tc>
          <w:tcPr>
            <w:tcW w:type="dxa" w:w="3421"/>
            <w:tcMar>
              <w:top w:type="dxa" w:w="60"/>
              <w:left w:type="dxa" w:w="90"/>
              <w:bottom w:type="dxa" w:w="60"/>
              <w:right w:type="dxa" w:w="90"/>
            </w:tcMar>
            <w:vAlign w:val="center"/>
          </w:tcPr>
          <w:p>
            <w:pPr>
              <w:spacing w:after="20" w:line="250"/>
            </w:pPr>
            <w:r>
              <w:rPr>
                <w:sz w:val="18"/>
                <w:szCs w:val="18"/>
              </w:rPr>
              <w:t xml:space="preserve">Anything in the QGIS process</w:t>
            </w:r>
          </w:p>
        </w:tc>
      </w:tr>
    </w:tbl>
    <w:p>
      <w:pPr>
        <w:spacing w:after="120"/>
      </w:pPr>
    </w:p>
    <w:p>
      <w:pPr>
        <w:keepNext/>
        <w:spacing w:after="80" w:before="160"/>
      </w:pPr>
      <w:r>
        <w:rPr>
          <w:b/>
          <w:bCs/>
          <w:color w:val="52514E"/>
          <w:sz w:val="18"/>
          <w:szCs w:val="18"/>
        </w:rPr>
        <w:t xml:space="preserve">Table 5.</w:t>
      </w:r>
      <w:r>
        <w:rPr>
          <w:color w:val="52514E"/>
          <w:sz w:val="18"/>
          <w:szCs w:val="18"/>
        </w:rPr>
        <w:t xml:space="preserve"> Qt signals between the worker thread and the GUI.</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294"/>
        <w:gridCol w:w="3365"/>
        <w:gridCol w:w="3979"/>
      </w:tblGrid>
      <w:tr>
        <w:trPr>
          <w:cantSplit/>
          <w:tblHeader/>
        </w:trPr>
        <w:tc>
          <w:tcPr>
            <w:tcW w:type="dxa" w:w="229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Signal</w:t>
            </w:r>
          </w:p>
        </w:tc>
        <w:tc>
          <w:tcPr>
            <w:tcW w:type="dxa" w:w="336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Emitted by</w:t>
            </w:r>
          </w:p>
        </w:tc>
        <w:tc>
          <w:tcPr>
            <w:tcW w:type="dxa" w:w="397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Slot (GUI thread)</w:t>
            </w:r>
          </w:p>
        </w:tc>
      </w:tr>
      <w:tr>
        <w:trPr>
          <w:cantSplit/>
        </w:trPr>
        <w:tc>
          <w:tcPr>
            <w:tcW w:type="dxa" w:w="229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spark_log(str)</w:t>
            </w:r>
          </w:p>
        </w:tc>
        <w:tc>
          <w:tcPr>
            <w:tcW w:type="dxa" w:w="3365"/>
            <w:tcMar>
              <w:top w:type="dxa" w:w="60"/>
              <w:left w:type="dxa" w:w="90"/>
              <w:bottom w:type="dxa" w:w="60"/>
              <w:right w:type="dxa" w:w="90"/>
            </w:tcMar>
            <w:vAlign w:val="center"/>
          </w:tcPr>
          <w:p>
            <w:pPr>
              <w:spacing w:after="20" w:line="250"/>
            </w:pPr>
            <w:r>
              <w:rPr>
                <w:sz w:val="18"/>
                <w:szCs w:val="18"/>
              </w:rPr>
              <w:t xml:space="preserve">Worker, for every log line</w:t>
            </w:r>
          </w:p>
        </w:tc>
        <w:tc>
          <w:tcPr>
            <w:tcW w:type="dxa" w:w="3979"/>
            <w:tcMar>
              <w:top w:type="dxa" w:w="60"/>
              <w:left w:type="dxa" w:w="90"/>
              <w:bottom w:type="dxa" w:w="60"/>
              <w:right w:type="dxa" w:w="90"/>
            </w:tcMar>
            <w:vAlign w:val="center"/>
          </w:tcPr>
          <w:p>
            <w:pPr>
              <w:spacing w:after="20" w:line="250"/>
            </w:pPr>
            <w:r>
              <w:rPr>
                <w:sz w:val="18"/>
                <w:szCs w:val="18"/>
              </w:rPr>
              <w:t xml:space="preserve">Appends to the log panel</w:t>
            </w:r>
          </w:p>
        </w:tc>
      </w:tr>
      <w:tr>
        <w:trPr>
          <w:cantSplit/>
        </w:trPr>
        <w:tc>
          <w:tcPr>
            <w:tcW w:type="dxa" w:w="229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spark_finished()</w:t>
            </w:r>
          </w:p>
        </w:tc>
        <w:tc>
          <w:tcPr>
            <w:tcW w:type="dxa" w:w="3365"/>
            <w:shd w:fill="F3F6FA" w:color="auto" w:val="clear"/>
            <w:tcMar>
              <w:top w:type="dxa" w:w="60"/>
              <w:left w:type="dxa" w:w="90"/>
              <w:bottom w:type="dxa" w:w="60"/>
              <w:right w:type="dxa" w:w="90"/>
            </w:tcMar>
            <w:vAlign w:val="center"/>
          </w:tcPr>
          <w:p>
            <w:pPr>
              <w:spacing w:after="20" w:line="250"/>
            </w:pPr>
            <w:r>
              <w:rPr>
                <w:sz w:val="18"/>
                <w:szCs w:val="18"/>
              </w:rPr>
              <w:t xml:space="preserve">Worker, always (in </w:t>
            </w:r>
            <w:r>
              <w:rPr>
                <w:rFonts w:ascii="Courier New" w:cs="Courier New" w:eastAsia="Courier New" w:hAnsi="Courier New"/>
                <w:sz w:val="16"/>
                <w:szCs w:val="16"/>
              </w:rPr>
              <w:t xml:space="preserve">finally</w:t>
            </w:r>
            <w:r>
              <w:rPr>
                <w:sz w:val="18"/>
                <w:szCs w:val="18"/>
              </w:rPr>
              <w:t xml:space="preserve">)</w:t>
            </w:r>
          </w:p>
        </w:tc>
        <w:tc>
          <w:tcPr>
            <w:tcW w:type="dxa" w:w="3979"/>
            <w:shd w:fill="F3F6FA" w:color="auto" w:val="clear"/>
            <w:tcMar>
              <w:top w:type="dxa" w:w="60"/>
              <w:left w:type="dxa" w:w="90"/>
              <w:bottom w:type="dxa" w:w="60"/>
              <w:right w:type="dxa" w:w="90"/>
            </w:tcMar>
            <w:vAlign w:val="center"/>
          </w:tcPr>
          <w:p>
            <w:pPr>
              <w:spacing w:after="20" w:line="250"/>
            </w:pPr>
            <w:r>
              <w:rPr>
                <w:sz w:val="18"/>
                <w:szCs w:val="18"/>
              </w:rPr>
              <w:t xml:space="preserve">Re-enables the RUN button</w:t>
            </w:r>
          </w:p>
        </w:tc>
      </w:tr>
      <w:tr>
        <w:trPr>
          <w:cantSplit/>
        </w:trPr>
        <w:tc>
          <w:tcPr>
            <w:tcW w:type="dxa" w:w="2294"/>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rasters_ready(str)</w:t>
            </w:r>
          </w:p>
        </w:tc>
        <w:tc>
          <w:tcPr>
            <w:tcW w:type="dxa" w:w="3365"/>
            <w:tcMar>
              <w:top w:type="dxa" w:w="60"/>
              <w:left w:type="dxa" w:w="90"/>
              <w:bottom w:type="dxa" w:w="60"/>
              <w:right w:type="dxa" w:w="90"/>
            </w:tcMar>
            <w:vAlign w:val="center"/>
          </w:tcPr>
          <w:p>
            <w:pPr>
              <w:spacing w:after="20" w:line="250"/>
            </w:pPr>
            <w:r>
              <w:rPr>
                <w:sz w:val="18"/>
                <w:szCs w:val="18"/>
              </w:rPr>
              <w:t xml:space="preserve">Worker after a successful Q3 / Q4 run</w:t>
            </w:r>
          </w:p>
        </w:tc>
        <w:tc>
          <w:tcPr>
            <w:tcW w:type="dxa" w:w="3979"/>
            <w:tcMar>
              <w:top w:type="dxa" w:w="60"/>
              <w:left w:type="dxa" w:w="90"/>
              <w:bottom w:type="dxa" w:w="60"/>
              <w:right w:type="dxa" w:w="90"/>
            </w:tcMar>
            <w:vAlign w:val="center"/>
          </w:tcPr>
          <w:p>
            <w:pPr>
              <w:spacing w:after="20" w:line="250"/>
            </w:pPr>
            <w:r>
              <w:rPr>
                <w:sz w:val="18"/>
                <w:szCs w:val="18"/>
              </w:rPr>
              <w:t xml:space="preserve">Loads each result GeoTIFF as a layer</w:t>
            </w:r>
          </w:p>
        </w:tc>
      </w:tr>
      <w:tr>
        <w:trPr>
          <w:cantSplit/>
        </w:trPr>
        <w:tc>
          <w:tcPr>
            <w:tcW w:type="dxa" w:w="2294"/>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kmeans_ready(str, str)</w:t>
            </w:r>
          </w:p>
        </w:tc>
        <w:tc>
          <w:tcPr>
            <w:tcW w:type="dxa" w:w="3365"/>
            <w:shd w:fill="F3F6FA" w:color="auto" w:val="clear"/>
            <w:tcMar>
              <w:top w:type="dxa" w:w="60"/>
              <w:left w:type="dxa" w:w="90"/>
              <w:bottom w:type="dxa" w:w="60"/>
              <w:right w:type="dxa" w:w="90"/>
            </w:tcMar>
            <w:vAlign w:val="center"/>
          </w:tcPr>
          <w:p>
            <w:pPr>
              <w:spacing w:after="20" w:line="250"/>
            </w:pPr>
            <w:r>
              <w:rPr>
                <w:sz w:val="18"/>
                <w:szCs w:val="18"/>
              </w:rPr>
              <w:t xml:space="preserve">Worker after a successful Q5 run</w:t>
            </w:r>
          </w:p>
        </w:tc>
        <w:tc>
          <w:tcPr>
            <w:tcW w:type="dxa" w:w="3979"/>
            <w:shd w:fill="F3F6FA" w:color="auto" w:val="clear"/>
            <w:tcMar>
              <w:top w:type="dxa" w:w="60"/>
              <w:left w:type="dxa" w:w="90"/>
              <w:bottom w:type="dxa" w:w="60"/>
              <w:right w:type="dxa" w:w="90"/>
            </w:tcMar>
            <w:vAlign w:val="center"/>
          </w:tcPr>
          <w:p>
            <w:pPr>
              <w:spacing w:after="20" w:line="250"/>
            </w:pPr>
            <w:r>
              <w:rPr>
                <w:sz w:val="18"/>
                <w:szCs w:val="18"/>
              </w:rPr>
              <w:t xml:space="preserve">Adds the class-map VRT with a paletted legend built from </w:t>
            </w:r>
            <w:r>
              <w:rPr>
                <w:rFonts w:ascii="Courier New" w:cs="Courier New" w:eastAsia="Courier New" w:hAnsi="Courier New"/>
                <w:sz w:val="16"/>
                <w:szCs w:val="16"/>
              </w:rPr>
              <w:t xml:space="preserve">clusters.csv</w:t>
            </w:r>
          </w:p>
        </w:tc>
      </w:tr>
    </w:tbl>
    <w:p>
      <w:pPr>
        <w:spacing w:after="120"/>
      </w:pPr>
    </w:p>
    <w:p>
      <w:pPr>
        <w:pStyle w:val="Heading2"/>
      </w:pPr>
      <w:bookmarkStart w:name="_Toc5" w:id="5"/>
      <w:r>
        <w:t xml:space="preserve">2.3 Distributed execution model</w:t>
      </w:r>
      <w:bookmarkEnd w:id="5"/>
    </w:p>
    <w:p>
      <w:r>
        <w:t xml:space="preserve">Each job is an ordinary Spark application. </w:t>
      </w:r>
      <w:r>
        <w:rPr>
          <w:rFonts w:ascii="Courier New" w:cs="Courier New" w:eastAsia="Courier New" w:hAnsi="Courier New"/>
          <w:sz w:val="19"/>
          <w:szCs w:val="19"/>
        </w:rPr>
        <w:t xml:space="preserve">spark.read.format("binaryFile")</w:t>
      </w:r>
      <w:r>
        <w:t xml:space="preserve"> turns every GeoTIFF into one row, so </w:t>
      </w:r>
      <w:r>
        <w:rPr>
          <w:b/>
          <w:bCs/>
        </w:rPr>
        <w:t xml:space="preserve">the tile is the unit of parallelism</w:t>
      </w:r>
      <w:r>
        <w:t xml:space="preserve">: Spark splits the files into partitions and runs one task per partition on each available core. Sedona's </w:t>
      </w:r>
      <w:r>
        <w:rPr>
          <w:rFonts w:ascii="Courier New" w:cs="Courier New" w:eastAsia="Courier New" w:hAnsi="Courier New"/>
          <w:sz w:val="19"/>
          <w:szCs w:val="19"/>
        </w:rPr>
        <w:t xml:space="preserve">RS_*</w:t>
      </w:r>
      <w:r>
        <w:t xml:space="preserve"> functions run inside those tasks, in the JVM, so raster data is never serialised into Python. Aggregations (for example Q2's per-field weighted means) are ordinary Spark SQL </w:t>
      </w:r>
      <w:r>
        <w:rPr>
          <w:rFonts w:ascii="Courier New" w:cs="Courier New" w:eastAsia="Courier New" w:hAnsi="Courier New"/>
          <w:sz w:val="19"/>
          <w:szCs w:val="19"/>
        </w:rPr>
        <w:t xml:space="preserve">GROUP BY</w:t>
      </w:r>
      <w:r>
        <w:t xml:space="preserve">s, which Spark executes as a distributed shuffle.</w:t>
      </w:r>
    </w:p>
    <w:p>
      <w:r>
        <w:t xml:space="preserve">The plugin starts Spark in local mode (</w:t>
      </w:r>
      <w:r>
        <w:rPr>
          <w:rFonts w:ascii="Courier New" w:cs="Courier New" w:eastAsia="Courier New" w:hAnsi="Courier New"/>
          <w:sz w:val="19"/>
          <w:szCs w:val="19"/>
        </w:rPr>
        <w:t xml:space="preserve">local[*]</w:t>
      </w:r>
      <w:r>
        <w:t xml:space="preserve">: one JVM using every core), which is the right choice for a single workstation. Because the jobs are plain Spark, the same scripts run unchanged on a multi-machine cluster by pointing </w:t>
      </w:r>
      <w:r>
        <w:rPr>
          <w:rFonts w:ascii="Courier New" w:cs="Courier New" w:eastAsia="Courier New" w:hAnsi="Courier New"/>
          <w:sz w:val="19"/>
          <w:szCs w:val="19"/>
        </w:rPr>
        <w:t xml:space="preserve">spark-submit</w:t>
      </w:r>
      <w:r>
        <w:t xml:space="preserve"> at a cluster master and putting the tiles on shared storage; this is the scale-out path, but the results in this document were all measured on one machine.</w:t>
      </w:r>
    </w:p>
    <w:p>
      <w:pPr>
        <w:pStyle w:val="Heading2"/>
      </w:pPr>
      <w:bookmarkStart w:name="_Toc6" w:id="6"/>
      <w:r>
        <w:t xml:space="preserve">2.4 Job interface contract</w:t>
      </w:r>
      <w:bookmarkEnd w:id="6"/>
    </w:p>
    <w:p>
      <w:r>
        <w:t xml:space="preserve">The plugin and the jobs communicate only through command-line arguments and files. A wrong argument name makes the job exit before Spark starts, so the contract is fixed (full reference in Appendix A):</w:t>
      </w:r>
    </w:p>
    <w:p>
      <w:pPr>
        <w:shd w:fill="F4F3EF" w:color="auto" w:val="clear"/>
        <w:spacing w:after="0" w:before="80" w:line="240"/>
      </w:pPr>
      <w:r>
        <w:rPr>
          <w:rFonts w:ascii="Courier New" w:cs="Courier New" w:eastAsia="Courier New" w:hAnsi="Courier New"/>
          <w:color w:val="1F1F1F"/>
          <w:sz w:val="16"/>
          <w:szCs w:val="16"/>
        </w:rPr>
        <w:t xml:space="preserve">spark-submit --packages org.apache.sedona:sedona-spark-shaded-3.4_2.12:1.5.1,\</w:t>
      </w:r>
    </w:p>
    <w:p>
      <w:pPr>
        <w:shd w:fill="F4F3EF" w:color="auto" w:val="clear"/>
        <w:spacing w:after="0" w:before="0" w:line="240"/>
      </w:pPr>
      <w:r>
        <w:rPr>
          <w:rFonts w:ascii="Courier New" w:cs="Courier New" w:eastAsia="Courier New" w:hAnsi="Courier New"/>
          <w:color w:val="1F1F1F"/>
          <w:sz w:val="16"/>
          <w:szCs w:val="16"/>
        </w:rPr>
        <w:t xml:space="preserve">                        org.datasyslab:geotools-wrapper:1.5.1-28.2 \</w:t>
      </w:r>
    </w:p>
    <w:p>
      <w:pPr>
        <w:shd w:fill="F4F3EF" w:color="auto" w:val="clear"/>
        <w:spacing w:after="0" w:before="0" w:line="240"/>
      </w:pPr>
      <w:r>
        <w:rPr>
          <w:rFonts w:ascii="Courier New" w:cs="Courier New" w:eastAsia="Courier New" w:hAnsi="Courier New"/>
          <w:color w:val="1F1F1F"/>
          <w:sz w:val="16"/>
          <w:szCs w:val="16"/>
        </w:rPr>
        <w:t xml:space="preserve">             --repositories https://artifacts.unidata.ucar.edu/repository/unidata-all \</w:t>
      </w:r>
    </w:p>
    <w:p>
      <w:pPr>
        <w:shd w:fill="F4F3EF" w:color="auto" w:val="clear"/>
        <w:spacing w:after="0" w:before="0" w:line="240"/>
      </w:pPr>
      <w:r>
        <w:rPr>
          <w:rFonts w:ascii="Courier New" w:cs="Courier New" w:eastAsia="Courier New" w:hAnsi="Courier New"/>
          <w:color w:val="1F1F1F"/>
          <w:sz w:val="16"/>
          <w:szCs w:val="16"/>
        </w:rPr>
        <w:t xml:space="preserve">             &lt;job&gt;.py --rasters &lt;dir of tile_r*.tif&gt; --output &lt;dir&gt; [job options]</w:t>
      </w:r>
    </w:p>
    <w:p>
      <w:pPr>
        <w:spacing w:after="120"/>
      </w:pPr>
    </w:p>
    <w:p>
      <w:r>
        <w:t xml:space="preserve">The Sedona jars must be on the </w:t>
      </w:r>
      <w:r>
        <w:rPr>
          <w:rFonts w:ascii="Courier New" w:cs="Courier New" w:eastAsia="Courier New" w:hAnsi="Courier New"/>
          <w:sz w:val="19"/>
          <w:szCs w:val="19"/>
        </w:rPr>
        <w:t xml:space="preserve">spark-submit</w:t>
      </w:r>
      <w:r>
        <w:t xml:space="preserve"> command line (</w:t>
      </w:r>
      <w:r>
        <w:rPr>
          <w:rFonts w:ascii="Courier New" w:cs="Courier New" w:eastAsia="Courier New" w:hAnsi="Courier New"/>
          <w:sz w:val="19"/>
          <w:szCs w:val="19"/>
        </w:rPr>
        <w:t xml:space="preserve">--packages</w:t>
      </w:r>
      <w:r>
        <w:t xml:space="preserve">): configuring them inside the job has no effect once the JVM is running, and the </w:t>
      </w:r>
      <w:r>
        <w:rPr>
          <w:rFonts w:ascii="Courier New" w:cs="Courier New" w:eastAsia="Courier New" w:hAnsi="Courier New"/>
          <w:sz w:val="19"/>
          <w:szCs w:val="19"/>
        </w:rPr>
        <w:t xml:space="preserve">RS_*</w:t>
      </w:r>
      <w:r>
        <w:t xml:space="preserve"> functions would be missing.</w:t>
      </w:r>
    </w:p>
    <w:p>
      <w:pPr>
        <w:pStyle w:val="Heading1"/>
      </w:pPr>
      <w:bookmarkStart w:name="_Toc7" w:id="7"/>
      <w:r>
        <w:t xml:space="preserve">3. Installation and environment</w:t>
      </w:r>
      <w:bookmarkEnd w:id="7"/>
    </w:p>
    <w:p>
      <w:pPr>
        <w:pStyle w:val="Heading2"/>
      </w:pPr>
      <w:bookmarkStart w:name="_Toc8" w:id="8"/>
      <w:r>
        <w:t xml:space="preserve">3.1 Requirements</w:t>
      </w:r>
      <w:bookmarkEnd w:id="8"/>
    </w:p>
    <w:p>
      <w:pPr>
        <w:pStyle w:val="ListParagraph"/>
        <w:numPr>
          <w:ilvl w:val="0"/>
          <w:numId w:val="2"/>
        </w:numPr>
        <w:spacing w:after="60"/>
      </w:pPr>
      <w:r>
        <w:t xml:space="preserve">QGIS 3.x or 4.x with its bundled GDAL (used only for preparing inputs and mosaics).</w:t>
      </w:r>
    </w:p>
    <w:p>
      <w:pPr>
        <w:pStyle w:val="ListParagraph"/>
        <w:numPr>
          <w:ilvl w:val="0"/>
          <w:numId w:val="2"/>
        </w:numPr>
        <w:spacing w:after="60"/>
      </w:pPr>
      <w:r>
        <w:t xml:space="preserve">Java 17 (Spark 3.4 also supports 8 and 11). On macOS: </w:t>
      </w:r>
      <w:r>
        <w:rPr>
          <w:rFonts w:ascii="Courier New" w:cs="Courier New" w:eastAsia="Courier New" w:hAnsi="Courier New"/>
          <w:sz w:val="19"/>
          <w:szCs w:val="19"/>
        </w:rPr>
        <w:t xml:space="preserve">brew install openjdk@17</w:t>
      </w:r>
      <w:r>
        <w:t xml:space="preserve">.</w:t>
      </w:r>
    </w:p>
    <w:p>
      <w:pPr>
        <w:pStyle w:val="ListParagraph"/>
        <w:numPr>
          <w:ilvl w:val="0"/>
          <w:numId w:val="2"/>
        </w:numPr>
        <w:spacing w:after="60"/>
      </w:pPr>
      <w:r>
        <w:t xml:space="preserve">A separate Python 3.11 environment containing PySpark 3.4 and Apache Sedona 1.5.1, for example </w:t>
      </w:r>
      <w:r>
        <w:rPr>
          <w:rFonts w:ascii="Courier New" w:cs="Courier New" w:eastAsia="Courier New" w:hAnsi="Courier New"/>
          <w:sz w:val="19"/>
          <w:szCs w:val="19"/>
        </w:rPr>
        <w:t xml:space="preserve">python3.11 -m venv ~/hyperspatial-venv</w:t>
      </w:r>
      <w:r>
        <w:t xml:space="preserve"> then </w:t>
      </w:r>
      <w:r>
        <w:rPr>
          <w:rFonts w:ascii="Courier New" w:cs="Courier New" w:eastAsia="Courier New" w:hAnsi="Courier New"/>
          <w:sz w:val="19"/>
          <w:szCs w:val="19"/>
        </w:rPr>
        <w:t xml:space="preserve">pip install "pyspark==3.4.*" "apache-sedona[spark]==1.5.1" shapely numpy</w:t>
      </w:r>
      <w:r>
        <w:t xml:space="preserve">, or the repository's </w:t>
      </w:r>
      <w:r>
        <w:rPr>
          <w:rFonts w:ascii="Courier New" w:cs="Courier New" w:eastAsia="Courier New" w:hAnsi="Courier New"/>
          <w:sz w:val="19"/>
          <w:szCs w:val="19"/>
        </w:rPr>
        <w:t xml:space="preserve">environment.yml</w:t>
      </w:r>
      <w:r>
        <w:t xml:space="preserve"> with conda.</w:t>
      </w:r>
    </w:p>
    <w:p>
      <w:pPr>
        <w:pStyle w:val="ListParagraph"/>
        <w:numPr>
          <w:ilvl w:val="0"/>
          <w:numId w:val="2"/>
        </w:numPr>
        <w:spacing w:after="60"/>
      </w:pPr>
      <w:r>
        <w:t xml:space="preserve">Internet access on the first run only: </w:t>
      </w:r>
      <w:r>
        <w:rPr>
          <w:rFonts w:ascii="Courier New" w:cs="Courier New" w:eastAsia="Courier New" w:hAnsi="Courier New"/>
          <w:sz w:val="19"/>
          <w:szCs w:val="19"/>
        </w:rPr>
        <w:t xml:space="preserve">--packages</w:t>
      </w:r>
      <w:r>
        <w:t xml:space="preserve"> downloads the Sedona jars into the Ivy cache (</w:t>
      </w:r>
      <w:r>
        <w:rPr>
          <w:rFonts w:ascii="Courier New" w:cs="Courier New" w:eastAsia="Courier New" w:hAnsi="Courier New"/>
          <w:sz w:val="19"/>
          <w:szCs w:val="19"/>
        </w:rPr>
        <w:t xml:space="preserve">~/.ivy2</w:t>
      </w:r>
      <w:r>
        <w:t xml:space="preserve">); later runs use the cache.</w:t>
      </w:r>
    </w:p>
    <w:tbl>
      <w:tblPr>
        <w:tblW w:type="dxa" w:w="9638"/>
        <w:tblBorders>
          <w:top w:val="single" w:color="B7D3F6" w:sz="6"/>
          <w:left w:val="single" w:color="B7D3F6" w:sz="6"/>
          <w:bottom w:val="single" w:color="B7D3F6" w:sz="6"/>
          <w:right w:val="single" w:color="B7D3F6" w:sz="6"/>
          <w:insideH w:val="single" w:color="B7D3F6" w:sz="6"/>
          <w:insideV w:val="single" w:color="B7D3F6" w:sz="6"/>
        </w:tblBorders>
      </w:tblPr>
      <w:tblGrid>
        <w:gridCol w:w="9638"/>
      </w:tblGrid>
      <w:tr>
        <w:trPr>
          <w:cantSplit/>
        </w:trPr>
        <w:tc>
          <w:tcPr>
            <w:tcW w:type="dxa" w:w="9638"/>
            <w:shd w:fill="EEF4FB" w:color="auto" w:val="clear"/>
            <w:tcMar>
              <w:top w:type="dxa" w:w="120"/>
              <w:left w:type="dxa" w:w="180"/>
              <w:bottom w:type="dxa" w:w="120"/>
              <w:right w:type="dxa" w:w="180"/>
            </w:tcMar>
          </w:tcPr>
          <w:p>
            <w:pPr>
              <w:spacing w:after="60"/>
            </w:pPr>
            <w:r>
              <w:rPr>
                <w:b/>
                <w:bCs/>
                <w:color w:val="12355B"/>
              </w:rPr>
              <w:t xml:space="preserve">Do not install pyarrow in the Spark environment</w:t>
            </w:r>
          </w:p>
          <w:p>
            <w:pPr>
              <w:spacing w:after="60"/>
            </w:pPr>
            <w:r>
              <w:t xml:space="preserve">On macOS, pyarrow bundled into the Spark/Python process collides with the system GDAL libraries and crashes the process. The jobs therefore exchange tables only as CSV and geometries only as GeoJSON/WKT, and never use </w:t>
            </w:r>
            <w:r>
              <w:rPr>
                <w:rFonts w:ascii="Courier New" w:cs="Courier New" w:eastAsia="Courier New" w:hAnsi="Courier New"/>
                <w:sz w:val="19"/>
                <w:szCs w:val="19"/>
              </w:rPr>
              <w:t xml:space="preserve">pandas_udf</w:t>
            </w:r>
            <w:r>
              <w:t xml:space="preserve">, </w:t>
            </w:r>
            <w:r>
              <w:rPr>
                <w:rFonts w:ascii="Courier New" w:cs="Courier New" w:eastAsia="Courier New" w:hAnsi="Courier New"/>
                <w:sz w:val="19"/>
                <w:szCs w:val="19"/>
              </w:rPr>
              <w:t xml:space="preserve">mapInPandas</w:t>
            </w:r>
            <w:r>
              <w:t xml:space="preserve"> or Arrow-backed </w:t>
            </w:r>
            <w:r>
              <w:rPr>
                <w:rFonts w:ascii="Courier New" w:cs="Courier New" w:eastAsia="Courier New" w:hAnsi="Courier New"/>
                <w:sz w:val="19"/>
                <w:szCs w:val="19"/>
              </w:rPr>
              <w:t xml:space="preserve">toPandas()</w:t>
            </w:r>
            <w:r>
              <w:t xml:space="preserve">. (A second environment on the test machine, </w:t>
            </w:r>
            <w:r>
              <w:rPr>
                <w:rFonts w:ascii="Courier New" w:cs="Courier New" w:eastAsia="Courier New" w:hAnsi="Courier New"/>
                <w:sz w:val="19"/>
                <w:szCs w:val="19"/>
              </w:rPr>
              <w:t xml:space="preserve">~/py311</w:t>
            </w:r>
            <w:r>
              <w:t xml:space="preserve">, contains pyarrow and a broken NumPy 2 / Shapely combination and must not be selected.)</w:t>
            </w:r>
          </w:p>
        </w:tc>
      </w:tr>
    </w:tbl>
    <w:p>
      <w:pPr>
        <w:spacing w:after="120"/>
      </w:pPr>
    </w:p>
    <w:p>
      <w:pPr>
        <w:pStyle w:val="Heading2"/>
      </w:pPr>
      <w:bookmarkStart w:name="_Toc9" w:id="9"/>
      <w:r>
        <w:t xml:space="preserve">3.2 Installing the plugin</w:t>
      </w:r>
      <w:bookmarkEnd w:id="9"/>
    </w:p>
    <w:p>
      <w:pPr>
        <w:pStyle w:val="ListParagraph"/>
        <w:numPr>
          <w:ilvl w:val="0"/>
          <w:numId w:val="3"/>
        </w:numPr>
        <w:spacing w:after="60"/>
      </w:pPr>
      <w:r>
        <w:t xml:space="preserve">Build the zip: </w:t>
      </w:r>
      <w:r>
        <w:rPr>
          <w:rFonts w:ascii="Courier New" w:cs="Courier New" w:eastAsia="Courier New" w:hAnsi="Courier New"/>
          <w:sz w:val="19"/>
          <w:szCs w:val="19"/>
        </w:rPr>
        <w:t xml:space="preserve">bash qgis-plugin/hyperspatial_analytics/package_plugin.sh</w:t>
      </w:r>
      <w:r>
        <w:t xml:space="preserve"> (produces </w:t>
      </w:r>
      <w:r>
        <w:rPr>
          <w:rFonts w:ascii="Courier New" w:cs="Courier New" w:eastAsia="Courier New" w:hAnsi="Courier New"/>
          <w:sz w:val="19"/>
          <w:szCs w:val="19"/>
        </w:rPr>
        <w:t xml:space="preserve">hyperspatial_analytics.zip</w:t>
      </w:r>
      <w:r>
        <w:t xml:space="preserve">, 40 KB, with the jobs bundled and the tests excluded).</w:t>
      </w:r>
    </w:p>
    <w:p>
      <w:pPr>
        <w:pStyle w:val="ListParagraph"/>
        <w:numPr>
          <w:ilvl w:val="0"/>
          <w:numId w:val="3"/>
        </w:numPr>
        <w:spacing w:after="60"/>
      </w:pPr>
      <w:r>
        <w:t xml:space="preserve">In QGIS: </w:t>
      </w:r>
      <w:r>
        <w:rPr>
          <w:b/>
          <w:bCs/>
        </w:rPr>
        <w:t xml:space="preserve">Plugins → Manage and Install Plugins → Install from ZIP</w:t>
      </w:r>
      <w:r>
        <w:t xml:space="preserve">, choose the zip, install.</w:t>
      </w:r>
    </w:p>
    <w:p>
      <w:pPr>
        <w:pStyle w:val="ListParagraph"/>
        <w:numPr>
          <w:ilvl w:val="0"/>
          <w:numId w:val="3"/>
        </w:numPr>
        <w:spacing w:after="60"/>
      </w:pPr>
      <w:r>
        <w:t xml:space="preserve">Open the plugin from the toolbar. On the </w:t>
      </w:r>
      <w:r>
        <w:rPr>
          <w:b/>
          <w:bCs/>
        </w:rPr>
        <w:t xml:space="preserve">Spark</w:t>
      </w:r>
      <w:r>
        <w:t xml:space="preserve"> row click </w:t>
      </w:r>
      <w:r>
        <w:rPr>
          <w:b/>
          <w:bCs/>
        </w:rPr>
        <w:t xml:space="preserve">Browse</w:t>
      </w:r>
      <w:r>
        <w:t xml:space="preserve"> and select the environment's </w:t>
      </w:r>
      <w:r>
        <w:rPr>
          <w:rFonts w:ascii="Courier New" w:cs="Courier New" w:eastAsia="Courier New" w:hAnsi="Courier New"/>
          <w:sz w:val="19"/>
          <w:szCs w:val="19"/>
        </w:rPr>
        <w:t xml:space="preserve">spark-submit</w:t>
      </w:r>
      <w:r>
        <w:t xml:space="preserve"> (for example </w:t>
      </w:r>
      <w:r>
        <w:rPr>
          <w:rFonts w:ascii="Courier New" w:cs="Courier New" w:eastAsia="Courier New" w:hAnsi="Courier New"/>
          <w:sz w:val="19"/>
          <w:szCs w:val="19"/>
        </w:rPr>
        <w:t xml:space="preserve">~/hyperspatial-venv/bin/spark-submit</w:t>
      </w:r>
      <w:r>
        <w:t xml:space="preserve">). The path is remembered.</w:t>
      </w:r>
    </w:p>
    <w:p>
      <w:pPr>
        <w:pStyle w:val="Heading2"/>
      </w:pPr>
      <w:bookmarkStart w:name="_Toc10" w:id="10"/>
      <w:r>
        <w:t xml:space="preserve">3.3 How the child environment is prepared</w:t>
      </w:r>
      <w:bookmarkEnd w:id="10"/>
    </w:p>
    <w:p>
      <w:r>
        <w:rPr>
          <w:rFonts w:ascii="Courier New" w:cs="Courier New" w:eastAsia="Courier New" w:hAnsi="Courier New"/>
          <w:sz w:val="19"/>
          <w:szCs w:val="19"/>
        </w:rPr>
        <w:t xml:space="preserve">spark_locator.spark_env()</w:t>
      </w:r>
      <w:r>
        <w:t xml:space="preserve"> builds the environment for the </w:t>
      </w:r>
      <w:r>
        <w:rPr>
          <w:rFonts w:ascii="Courier New" w:cs="Courier New" w:eastAsia="Courier New" w:hAnsi="Courier New"/>
          <w:sz w:val="19"/>
          <w:szCs w:val="19"/>
        </w:rPr>
        <w:t xml:space="preserve">spark-submit</w:t>
      </w:r>
      <w:r>
        <w:t xml:space="preserve"> process. Each item exists because its absence caused a real failure:</w:t>
      </w:r>
    </w:p>
    <w:p>
      <w:pPr>
        <w:keepNext/>
        <w:spacing w:after="80" w:before="160"/>
      </w:pPr>
      <w:r>
        <w:rPr>
          <w:b/>
          <w:bCs/>
          <w:color w:val="52514E"/>
          <w:sz w:val="18"/>
          <w:szCs w:val="18"/>
        </w:rPr>
        <w:t xml:space="preserve">Table 6.</w:t>
      </w:r>
      <w:r>
        <w:rPr>
          <w:color w:val="52514E"/>
          <w:sz w:val="18"/>
          <w:szCs w:val="18"/>
        </w:rPr>
        <w:t xml:space="preserve"> Child-process environment.</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409"/>
        <w:gridCol w:w="2409"/>
        <w:gridCol w:w="4820"/>
      </w:tblGrid>
      <w:tr>
        <w:trPr>
          <w:cantSplit/>
          <w:tblHeader/>
        </w:trPr>
        <w:tc>
          <w:tcPr>
            <w:tcW w:type="dxa" w:w="240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Setting</w:t>
            </w:r>
          </w:p>
        </w:tc>
        <w:tc>
          <w:tcPr>
            <w:tcW w:type="dxa" w:w="240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Value</w:t>
            </w:r>
          </w:p>
        </w:tc>
        <w:tc>
          <w:tcPr>
            <w:tcW w:type="dxa" w:w="482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Why</w:t>
            </w:r>
          </w:p>
        </w:tc>
      </w:tr>
      <w:tr>
        <w:trPr>
          <w:cantSplit/>
        </w:trPr>
        <w:tc>
          <w:tcPr>
            <w:tcW w:type="dxa" w:w="2409"/>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HADOOP_CONF_DIR</w:t>
            </w:r>
          </w:p>
        </w:tc>
        <w:tc>
          <w:tcPr>
            <w:tcW w:type="dxa" w:w="2409"/>
            <w:tcMar>
              <w:top w:type="dxa" w:w="60"/>
              <w:left w:type="dxa" w:w="90"/>
              <w:bottom w:type="dxa" w:w="60"/>
              <w:right w:type="dxa" w:w="90"/>
            </w:tcMar>
            <w:vAlign w:val="center"/>
          </w:tcPr>
          <w:p>
            <w:pPr>
              <w:spacing w:after="20" w:line="250"/>
            </w:pPr>
            <w:r>
              <w:rPr>
                <w:sz w:val="18"/>
                <w:szCs w:val="18"/>
              </w:rPr>
              <w:t xml:space="preserve">empty</w:t>
            </w:r>
          </w:p>
        </w:tc>
        <w:tc>
          <w:tcPr>
            <w:tcW w:type="dxa" w:w="4820"/>
            <w:tcMar>
              <w:top w:type="dxa" w:w="60"/>
              <w:left w:type="dxa" w:w="90"/>
              <w:bottom w:type="dxa" w:w="60"/>
              <w:right w:type="dxa" w:w="90"/>
            </w:tcMar>
            <w:vAlign w:val="center"/>
          </w:tcPr>
          <w:p>
            <w:pPr>
              <w:spacing w:after="20" w:line="250"/>
            </w:pPr>
            <w:r>
              <w:rPr>
                <w:sz w:val="18"/>
                <w:szCs w:val="18"/>
              </w:rPr>
              <w:t xml:space="preserve">A populated value makes the JVM parse local Hadoop XML and crash on macOS.</w:t>
            </w:r>
          </w:p>
        </w:tc>
      </w:tr>
      <w:tr>
        <w:trPr>
          <w:cantSplit/>
        </w:trPr>
        <w:tc>
          <w:tcPr>
            <w:tcW w:type="dxa" w:w="2409"/>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PYTHONHOME</w:t>
            </w:r>
            <w:r>
              <w:rPr>
                <w:sz w:val="18"/>
                <w:szCs w:val="18"/>
              </w:rPr>
              <w:t xml:space="preserve">, </w:t>
            </w:r>
            <w:r>
              <w:rPr>
                <w:rFonts w:ascii="Courier New" w:cs="Courier New" w:eastAsia="Courier New" w:hAnsi="Courier New"/>
                <w:sz w:val="16"/>
                <w:szCs w:val="16"/>
              </w:rPr>
              <w:t xml:space="preserve">PYTHONPATH</w:t>
            </w:r>
          </w:p>
        </w:tc>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removed</w:t>
            </w:r>
          </w:p>
        </w:tc>
        <w:tc>
          <w:tcPr>
            <w:tcW w:type="dxa" w:w="4820"/>
            <w:shd w:fill="F3F6FA" w:color="auto" w:val="clear"/>
            <w:tcMar>
              <w:top w:type="dxa" w:w="60"/>
              <w:left w:type="dxa" w:w="90"/>
              <w:bottom w:type="dxa" w:w="60"/>
              <w:right w:type="dxa" w:w="90"/>
            </w:tcMar>
            <w:vAlign w:val="center"/>
          </w:tcPr>
          <w:p>
            <w:pPr>
              <w:spacing w:after="20" w:line="250"/>
            </w:pPr>
            <w:r>
              <w:rPr>
                <w:sz w:val="18"/>
                <w:szCs w:val="18"/>
              </w:rPr>
              <w:t xml:space="preserve">QGIS's embedded Python may export them; the Spark environment's interpreter (a different Python version) would then load QGIS's standard library and die before Spark starts (“SRE module mismatch”).</w:t>
            </w:r>
          </w:p>
        </w:tc>
      </w:tr>
      <w:tr>
        <w:trPr>
          <w:cantSplit/>
        </w:trPr>
        <w:tc>
          <w:tcPr>
            <w:tcW w:type="dxa" w:w="2409"/>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PYSPARK_PYTHON</w:t>
            </w:r>
            <w:r>
              <w:rPr>
                <w:sz w:val="18"/>
                <w:szCs w:val="18"/>
              </w:rPr>
              <w:t xml:space="preserve">, </w:t>
            </w:r>
            <w:r>
              <w:rPr>
                <w:rFonts w:ascii="Courier New" w:cs="Courier New" w:eastAsia="Courier New" w:hAnsi="Courier New"/>
                <w:sz w:val="16"/>
                <w:szCs w:val="16"/>
              </w:rPr>
              <w:t xml:space="preserve">PYSPARK_DRIVER_PYTHON</w:t>
            </w:r>
          </w:p>
        </w:tc>
        <w:tc>
          <w:tcPr>
            <w:tcW w:type="dxa" w:w="2409"/>
            <w:tcMar>
              <w:top w:type="dxa" w:w="60"/>
              <w:left w:type="dxa" w:w="90"/>
              <w:bottom w:type="dxa" w:w="60"/>
              <w:right w:type="dxa" w:w="90"/>
            </w:tcMar>
            <w:vAlign w:val="center"/>
          </w:tcPr>
          <w:p>
            <w:pPr>
              <w:spacing w:after="20" w:line="250"/>
            </w:pPr>
            <w:r>
              <w:rPr>
                <w:sz w:val="18"/>
                <w:szCs w:val="18"/>
              </w:rPr>
              <w:t xml:space="preserve">the Python next to </w:t>
            </w:r>
            <w:r>
              <w:rPr>
                <w:rFonts w:ascii="Courier New" w:cs="Courier New" w:eastAsia="Courier New" w:hAnsi="Courier New"/>
                <w:sz w:val="16"/>
                <w:szCs w:val="16"/>
              </w:rPr>
              <w:t xml:space="preserve">spark-submit</w:t>
            </w:r>
          </w:p>
        </w:tc>
        <w:tc>
          <w:tcPr>
            <w:tcW w:type="dxa" w:w="4820"/>
            <w:tcMar>
              <w:top w:type="dxa" w:w="60"/>
              <w:left w:type="dxa" w:w="90"/>
              <w:bottom w:type="dxa" w:w="60"/>
              <w:right w:type="dxa" w:w="90"/>
            </w:tcMar>
            <w:vAlign w:val="center"/>
          </w:tcPr>
          <w:p>
            <w:pPr>
              <w:spacing w:after="20" w:line="250"/>
            </w:pPr>
            <w:r>
              <w:rPr>
                <w:sz w:val="18"/>
                <w:szCs w:val="18"/>
              </w:rPr>
              <w:t xml:space="preserve">Spark's Python must be the environment that contains PySpark and Sedona, not QGIS's Python.</w:t>
            </w:r>
          </w:p>
        </w:tc>
      </w:tr>
      <w:tr>
        <w:trPr>
          <w:cantSplit/>
        </w:trPr>
        <w:tc>
          <w:tcPr>
            <w:tcW w:type="dxa" w:w="2409"/>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JAVA_HOME</w:t>
            </w:r>
            <w:r>
              <w:rPr>
                <w:sz w:val="18"/>
                <w:szCs w:val="18"/>
              </w:rPr>
              <w:t xml:space="preserve">, </w:t>
            </w:r>
            <w:r>
              <w:rPr>
                <w:rFonts w:ascii="Courier New" w:cs="Courier New" w:eastAsia="Courier New" w:hAnsi="Courier New"/>
                <w:sz w:val="16"/>
                <w:szCs w:val="16"/>
              </w:rPr>
              <w:t xml:space="preserve">PATH</w:t>
            </w:r>
          </w:p>
        </w:tc>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detected JDK; </w:t>
            </w:r>
            <w:r>
              <w:rPr>
                <w:rFonts w:ascii="Courier New" w:cs="Courier New" w:eastAsia="Courier New" w:hAnsi="Courier New"/>
                <w:sz w:val="16"/>
                <w:szCs w:val="16"/>
              </w:rPr>
              <w:t xml:space="preserve">spark-submit</w:t>
            </w:r>
            <w:r>
              <w:rPr>
                <w:sz w:val="18"/>
                <w:szCs w:val="18"/>
              </w:rPr>
              <w:t xml:space="preserve"> and JDK bin dirs first</w:t>
            </w:r>
          </w:p>
        </w:tc>
        <w:tc>
          <w:tcPr>
            <w:tcW w:type="dxa" w:w="4820"/>
            <w:shd w:fill="F3F6FA" w:color="auto" w:val="clear"/>
            <w:tcMar>
              <w:top w:type="dxa" w:w="60"/>
              <w:left w:type="dxa" w:w="90"/>
              <w:bottom w:type="dxa" w:w="60"/>
              <w:right w:type="dxa" w:w="90"/>
            </w:tcMar>
            <w:vAlign w:val="center"/>
          </w:tcPr>
          <w:p>
            <w:pPr>
              <w:spacing w:after="20" w:line="250"/>
            </w:pPr>
            <w:r>
              <w:rPr>
                <w:sz w:val="18"/>
                <w:szCs w:val="18"/>
              </w:rPr>
              <w:t xml:space="preserve">QGIS launched from Finder does not inherit the login shell's </w:t>
            </w:r>
            <w:r>
              <w:rPr>
                <w:rFonts w:ascii="Courier New" w:cs="Courier New" w:eastAsia="Courier New" w:hAnsi="Courier New"/>
                <w:sz w:val="16"/>
                <w:szCs w:val="16"/>
              </w:rPr>
              <w:t xml:space="preserve">PATH</w:t>
            </w:r>
            <w:r>
              <w:rPr>
                <w:sz w:val="18"/>
                <w:szCs w:val="18"/>
              </w:rPr>
              <w:t xml:space="preserve">.</w:t>
            </w:r>
          </w:p>
        </w:tc>
      </w:tr>
    </w:tbl>
    <w:p>
      <w:pPr>
        <w:spacing w:after="120"/>
      </w:pPr>
    </w:p>
    <w:p>
      <w:pPr>
        <w:pStyle w:val="Heading1"/>
      </w:pPr>
      <w:bookmarkStart w:name="_Toc11" w:id="11"/>
      <w:r>
        <w:t xml:space="preserve">4. User interface</w:t>
      </w:r>
      <w:bookmarkEnd w:id="11"/>
    </w:p>
    <w:p>
      <w:r>
        <w:t xml:space="preserve">Figure 3 shows the dialog. All fields are visible at all times; each job reads only the fields it needs (Table 8).</w:t>
      </w:r>
    </w:p>
    <w:p>
      <w:pPr>
        <w:keepNext/>
        <w:spacing w:after="60" w:before="120"/>
        <w:jc w:val="center"/>
      </w:pPr>
      <w:r>
        <w:drawing>
          <wp:inline distT="0" distB="0" distL="0" distR="0">
            <wp:extent cx="6124575" cy="4524375"/>
            <wp:effectExtent t="0" r="0" b="0" l="0"/>
            <wp:docPr id="3" name="ui_analytics_dialog.png" descr="The HyperSpatial Sedona Analytics dialog in QGIS 4.2.3 (macOS, dark theme)." title="The HyperSpatial Sedona Analytics dialog in QGIS 4.2.3 (macOS, dark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524375"/>
                    </a:xfrm>
                    <a:prstGeom prst="rect">
                      <a:avLst/>
                    </a:prstGeom>
                  </pic:spPr>
                </pic:pic>
              </a:graphicData>
            </a:graphic>
          </wp:inline>
        </w:drawing>
      </w:r>
    </w:p>
    <w:p>
      <w:pPr>
        <w:spacing w:after="200"/>
      </w:pPr>
      <w:r>
        <w:rPr>
          <w:b/>
          <w:bCs/>
          <w:color w:val="52514E"/>
          <w:sz w:val="18"/>
          <w:szCs w:val="18"/>
        </w:rPr>
        <w:t xml:space="preserve">Figure 3.</w:t>
      </w:r>
      <w:r>
        <w:rPr>
          <w:color w:val="52514E"/>
          <w:sz w:val="18"/>
          <w:szCs w:val="18"/>
        </w:rPr>
        <w:t xml:space="preserve"> The HyperSpatial Sedona Analytics dialog in QGIS 4.2.3 (macOS, dark theme).</w:t>
      </w:r>
    </w:p>
    <w:p>
      <w:pPr>
        <w:keepNext/>
        <w:spacing w:after="80" w:before="160"/>
      </w:pPr>
      <w:r>
        <w:rPr>
          <w:b/>
          <w:bCs/>
          <w:color w:val="52514E"/>
          <w:sz w:val="18"/>
          <w:szCs w:val="18"/>
        </w:rPr>
        <w:t xml:space="preserve">Table 7.</w:t>
      </w:r>
      <w:r>
        <w:rPr>
          <w:color w:val="52514E"/>
          <w:sz w:val="18"/>
          <w:szCs w:val="18"/>
        </w:rPr>
        <w:t xml:space="preserve"> Dialog controls.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560"/>
        <w:gridCol w:w="1355"/>
        <w:gridCol w:w="5723"/>
      </w:tblGrid>
      <w:tr>
        <w:trPr>
          <w:cantSplit/>
          <w:tblHeader/>
        </w:trPr>
        <w:tc>
          <w:tcPr>
            <w:tcW w:type="dxa" w:w="256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Control</w:t>
            </w:r>
          </w:p>
        </w:tc>
        <w:tc>
          <w:tcPr>
            <w:tcW w:type="dxa" w:w="135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Used by</w:t>
            </w:r>
          </w:p>
        </w:tc>
        <w:tc>
          <w:tcPr>
            <w:tcW w:type="dxa" w:w="572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Meaning</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Query radio buttons</w:t>
            </w:r>
          </w:p>
        </w:tc>
        <w:tc>
          <w:tcPr>
            <w:tcW w:type="dxa" w:w="1355"/>
            <w:tcMar>
              <w:top w:type="dxa" w:w="60"/>
              <w:left w:type="dxa" w:w="90"/>
              <w:bottom w:type="dxa" w:w="60"/>
              <w:right w:type="dxa" w:w="90"/>
            </w:tcMar>
            <w:vAlign w:val="center"/>
          </w:tcPr>
          <w:p>
            <w:pPr>
              <w:spacing w:after="20" w:line="250"/>
            </w:pPr>
            <w:r>
              <w:rPr>
                <w:sz w:val="18"/>
                <w:szCs w:val="18"/>
              </w:rPr>
              <w:t xml:space="preserve">all</w:t>
            </w:r>
          </w:p>
        </w:tc>
        <w:tc>
          <w:tcPr>
            <w:tcW w:type="dxa" w:w="5723"/>
            <w:tcMar>
              <w:top w:type="dxa" w:w="60"/>
              <w:left w:type="dxa" w:w="90"/>
              <w:bottom w:type="dxa" w:w="60"/>
              <w:right w:type="dxa" w:w="90"/>
            </w:tcMar>
            <w:vAlign w:val="center"/>
          </w:tcPr>
          <w:p>
            <w:pPr>
              <w:spacing w:after="20" w:line="250"/>
            </w:pPr>
            <w:r>
              <w:rPr>
                <w:sz w:val="18"/>
                <w:szCs w:val="18"/>
              </w:rPr>
              <w:t xml:space="preserve">Selects the job (Q1–Q5).</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Tiles dir + Browse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Q1, Q2, Q3</w:t>
            </w:r>
          </w:p>
        </w:tc>
        <w:tc>
          <w:tcPr>
            <w:tcW w:type="dxa" w:w="5723"/>
            <w:shd w:fill="F3F6FA" w:color="auto" w:val="clear"/>
            <w:tcMar>
              <w:top w:type="dxa" w:w="60"/>
              <w:left w:type="dxa" w:w="90"/>
              <w:bottom w:type="dxa" w:w="60"/>
              <w:right w:type="dxa" w:w="90"/>
            </w:tcMar>
            <w:vAlign w:val="center"/>
          </w:tcPr>
          <w:p>
            <w:pPr>
              <w:spacing w:after="20" w:line="250"/>
            </w:pPr>
            <w:r>
              <w:rPr>
                <w:sz w:val="18"/>
                <w:szCs w:val="18"/>
              </w:rPr>
              <w:t xml:space="preserve">The processing plugin's output folder containing </w:t>
            </w:r>
            <w:r>
              <w:rPr>
                <w:rFonts w:ascii="Courier New" w:cs="Courier New" w:eastAsia="Courier New" w:hAnsi="Courier New"/>
                <w:sz w:val="16"/>
                <w:szCs w:val="16"/>
              </w:rPr>
              <w:t xml:space="preserve">tile_r####_c####.tif</w:t>
            </w:r>
            <w:r>
              <w:rPr>
                <w:sz w:val="18"/>
                <w:szCs w:val="18"/>
              </w:rPr>
              <w:t xml:space="preserve"> (224 raw + 7 index bands). Use the processing plugin's VRT output mode so the tiles are kept.</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AOI/Agri + Browse</w:t>
            </w:r>
          </w:p>
        </w:tc>
        <w:tc>
          <w:tcPr>
            <w:tcW w:type="dxa" w:w="1355"/>
            <w:tcMar>
              <w:top w:type="dxa" w:w="60"/>
              <w:left w:type="dxa" w:w="90"/>
              <w:bottom w:type="dxa" w:w="60"/>
              <w:right w:type="dxa" w:w="90"/>
            </w:tcMar>
            <w:vAlign w:val="center"/>
          </w:tcPr>
          <w:p>
            <w:pPr>
              <w:spacing w:after="20" w:line="250"/>
            </w:pPr>
            <w:r>
              <w:rPr>
                <w:sz w:val="18"/>
                <w:szCs w:val="18"/>
              </w:rPr>
              <w:t xml:space="preserve">Q1, Q2</w:t>
            </w:r>
          </w:p>
        </w:tc>
        <w:tc>
          <w:tcPr>
            <w:tcW w:type="dxa" w:w="5723"/>
            <w:tcMar>
              <w:top w:type="dxa" w:w="60"/>
              <w:left w:type="dxa" w:w="90"/>
              <w:bottom w:type="dxa" w:w="60"/>
              <w:right w:type="dxa" w:w="90"/>
            </w:tcMar>
            <w:vAlign w:val="center"/>
          </w:tcPr>
          <w:p>
            <w:pPr>
              <w:spacing w:after="20" w:line="250"/>
            </w:pPr>
            <w:r>
              <w:rPr>
                <w:sz w:val="18"/>
                <w:szCs w:val="18"/>
              </w:rPr>
              <w:t xml:space="preserve">GeoJSON polygon(s) in EPSG:4326. Q2 reads the </w:t>
            </w:r>
            <w:r>
              <w:rPr>
                <w:rFonts w:ascii="Courier New" w:cs="Courier New" w:eastAsia="Courier New" w:hAnsi="Courier New"/>
                <w:sz w:val="16"/>
                <w:szCs w:val="16"/>
              </w:rPr>
              <w:t xml:space="preserve">field_id</w:t>
            </w:r>
            <w:r>
              <w:rPr>
                <w:sz w:val="18"/>
                <w:szCs w:val="18"/>
              </w:rPr>
              <w:t xml:space="preserve"> and </w:t>
            </w:r>
            <w:r>
              <w:rPr>
                <w:rFonts w:ascii="Courier New" w:cs="Courier New" w:eastAsia="Courier New" w:hAnsi="Courier New"/>
                <w:sz w:val="16"/>
                <w:szCs w:val="16"/>
              </w:rPr>
              <w:t xml:space="preserve">crop_type</w:t>
            </w:r>
            <w:r>
              <w:rPr>
                <w:sz w:val="18"/>
                <w:szCs w:val="18"/>
              </w:rPr>
              <w:t xml:space="preserve"> properties.</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NDVI threshold</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Q3</w:t>
            </w:r>
          </w:p>
        </w:tc>
        <w:tc>
          <w:tcPr>
            <w:tcW w:type="dxa" w:w="5723"/>
            <w:shd w:fill="F3F6FA" w:color="auto" w:val="clear"/>
            <w:tcMar>
              <w:top w:type="dxa" w:w="60"/>
              <w:left w:type="dxa" w:w="90"/>
              <w:bottom w:type="dxa" w:w="60"/>
              <w:right w:type="dxa" w:w="90"/>
            </w:tcMar>
            <w:vAlign w:val="center"/>
          </w:tcPr>
          <w:p>
            <w:pPr>
              <w:spacing w:after="20" w:line="250"/>
            </w:pPr>
            <w:r>
              <w:rPr>
                <w:sz w:val="18"/>
                <w:szCs w:val="18"/>
              </w:rPr>
              <w:t xml:space="preserve">Vegetation threshold (default 0.40).</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Q3 veg-mask checkbox</w:t>
            </w:r>
          </w:p>
        </w:tc>
        <w:tc>
          <w:tcPr>
            <w:tcW w:type="dxa" w:w="1355"/>
            <w:tcMar>
              <w:top w:type="dxa" w:w="60"/>
              <w:left w:type="dxa" w:w="90"/>
              <w:bottom w:type="dxa" w:w="60"/>
              <w:right w:type="dxa" w:w="90"/>
            </w:tcMar>
            <w:vAlign w:val="center"/>
          </w:tcPr>
          <w:p>
            <w:pPr>
              <w:spacing w:after="20" w:line="250"/>
            </w:pPr>
            <w:r>
              <w:rPr>
                <w:sz w:val="18"/>
                <w:szCs w:val="18"/>
              </w:rPr>
              <w:t xml:space="preserve">Q3</w:t>
            </w:r>
          </w:p>
        </w:tc>
        <w:tc>
          <w:tcPr>
            <w:tcW w:type="dxa" w:w="5723"/>
            <w:tcMar>
              <w:top w:type="dxa" w:w="60"/>
              <w:left w:type="dxa" w:w="90"/>
              <w:bottom w:type="dxa" w:w="60"/>
              <w:right w:type="dxa" w:w="90"/>
            </w:tcMar>
            <w:vAlign w:val="center"/>
          </w:tcPr>
          <w:p>
            <w:pPr>
              <w:spacing w:after="20" w:line="250"/>
            </w:pPr>
            <w:r>
              <w:rPr>
                <w:sz w:val="18"/>
                <w:szCs w:val="18"/>
              </w:rPr>
              <w:t xml:space="preserve">Also write a per-pixel vegetation mask per tile and load it onto the canvas.</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Raw cube + Browse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Q4, Q5</w:t>
            </w:r>
          </w:p>
        </w:tc>
        <w:tc>
          <w:tcPr>
            <w:tcW w:type="dxa" w:w="5723"/>
            <w:shd w:fill="F3F6FA" w:color="auto" w:val="clear"/>
            <w:tcMar>
              <w:top w:type="dxa" w:w="60"/>
              <w:left w:type="dxa" w:w="90"/>
              <w:bottom w:type="dxa" w:w="60"/>
              <w:right w:type="dxa" w:w="90"/>
            </w:tcMar>
            <w:vAlign w:val="center"/>
          </w:tcPr>
          <w:p>
            <w:pPr>
              <w:spacing w:after="20" w:line="250"/>
            </w:pPr>
            <w:r>
              <w:rPr>
                <w:sz w:val="18"/>
                <w:szCs w:val="18"/>
              </w:rPr>
              <w:t xml:space="preserve">A BSQ / ENVI / GeoTIFF hyperspectral file (choosing the </w:t>
            </w:r>
            <w:r>
              <w:rPr>
                <w:rFonts w:ascii="Courier New" w:cs="Courier New" w:eastAsia="Courier New" w:hAnsi="Courier New"/>
                <w:sz w:val="16"/>
                <w:szCs w:val="16"/>
              </w:rPr>
              <w:t xml:space="preserve">.hdr</w:t>
            </w:r>
            <w:r>
              <w:rPr>
                <w:sz w:val="18"/>
                <w:szCs w:val="18"/>
              </w:rPr>
              <w:t xml:space="preserve"> also works).</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RED band / NIR band</w:t>
            </w:r>
          </w:p>
        </w:tc>
        <w:tc>
          <w:tcPr>
            <w:tcW w:type="dxa" w:w="1355"/>
            <w:tcMar>
              <w:top w:type="dxa" w:w="60"/>
              <w:left w:type="dxa" w:w="90"/>
              <w:bottom w:type="dxa" w:w="60"/>
              <w:right w:type="dxa" w:w="90"/>
            </w:tcMar>
            <w:vAlign w:val="center"/>
          </w:tcPr>
          <w:p>
            <w:pPr>
              <w:spacing w:after="20" w:line="250"/>
            </w:pPr>
            <w:r>
              <w:rPr>
                <w:sz w:val="18"/>
                <w:szCs w:val="18"/>
              </w:rPr>
              <w:t xml:space="preserve">Q4</w:t>
            </w:r>
          </w:p>
        </w:tc>
        <w:tc>
          <w:tcPr>
            <w:tcW w:type="dxa" w:w="5723"/>
            <w:tcMar>
              <w:top w:type="dxa" w:w="60"/>
              <w:left w:type="dxa" w:w="90"/>
              <w:bottom w:type="dxa" w:w="60"/>
              <w:right w:type="dxa" w:w="90"/>
            </w:tcMar>
            <w:vAlign w:val="center"/>
          </w:tcPr>
          <w:p>
            <w:pPr>
              <w:spacing w:after="20" w:line="250"/>
            </w:pPr>
            <w:r>
              <w:rPr>
                <w:sz w:val="18"/>
                <w:szCs w:val="18"/>
              </w:rPr>
              <w:t xml:space="preserve">Filled automatically from the cube's wavelengths when the cube is chosen; editable.</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K-Means clusters / features / training sample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Q5</w:t>
            </w:r>
          </w:p>
        </w:tc>
        <w:tc>
          <w:tcPr>
            <w:tcW w:type="dxa" w:w="5723"/>
            <w:shd w:fill="F3F6FA" w:color="auto" w:val="clear"/>
            <w:tcMar>
              <w:top w:type="dxa" w:w="60"/>
              <w:left w:type="dxa" w:w="90"/>
              <w:bottom w:type="dxa" w:w="60"/>
              <w:right w:type="dxa" w:w="90"/>
            </w:tcMar>
            <w:vAlign w:val="center"/>
          </w:tcPr>
          <w:p>
            <w:pPr>
              <w:spacing w:after="20" w:line="250"/>
            </w:pPr>
            <w:r>
              <w:rPr>
                <w:sz w:val="18"/>
                <w:szCs w:val="18"/>
              </w:rPr>
              <w:t xml:space="preserve">Number of clusters (2–12, default 8), feature mode (default shape + brightness) and training fraction (default 0.10).</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Spark + Browse</w:t>
            </w:r>
          </w:p>
        </w:tc>
        <w:tc>
          <w:tcPr>
            <w:tcW w:type="dxa" w:w="1355"/>
            <w:tcMar>
              <w:top w:type="dxa" w:w="60"/>
              <w:left w:type="dxa" w:w="90"/>
              <w:bottom w:type="dxa" w:w="60"/>
              <w:right w:type="dxa" w:w="90"/>
            </w:tcMar>
            <w:vAlign w:val="center"/>
          </w:tcPr>
          <w:p>
            <w:pPr>
              <w:spacing w:after="20" w:line="250"/>
            </w:pPr>
            <w:r>
              <w:rPr>
                <w:sz w:val="18"/>
                <w:szCs w:val="18"/>
              </w:rPr>
              <w:t xml:space="preserve">all</w:t>
            </w:r>
          </w:p>
        </w:tc>
        <w:tc>
          <w:tcPr>
            <w:tcW w:type="dxa" w:w="5723"/>
            <w:tcMar>
              <w:top w:type="dxa" w:w="60"/>
              <w:left w:type="dxa" w:w="90"/>
              <w:bottom w:type="dxa" w:w="60"/>
              <w:right w:type="dxa" w:w="90"/>
            </w:tcMar>
            <w:vAlign w:val="center"/>
          </w:tcPr>
          <w:p>
            <w:pPr>
              <w:spacing w:after="20" w:line="250"/>
            </w:pPr>
            <w:r>
              <w:rPr>
                <w:sz w:val="18"/>
                <w:szCs w:val="18"/>
              </w:rPr>
              <w:t xml:space="preserve">The </w:t>
            </w:r>
            <w:r>
              <w:rPr>
                <w:rFonts w:ascii="Courier New" w:cs="Courier New" w:eastAsia="Courier New" w:hAnsi="Courier New"/>
                <w:sz w:val="16"/>
                <w:szCs w:val="16"/>
              </w:rPr>
              <w:t xml:space="preserve">spark-submit</w:t>
            </w:r>
            <w:r>
              <w:rPr>
                <w:sz w:val="18"/>
                <w:szCs w:val="18"/>
              </w:rPr>
              <w:t xml:space="preserve"> executable (shown in red when not found).</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RUN SPARK JOB</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all</w:t>
            </w:r>
          </w:p>
        </w:tc>
        <w:tc>
          <w:tcPr>
            <w:tcW w:type="dxa" w:w="5723"/>
            <w:shd w:fill="F3F6FA" w:color="auto" w:val="clear"/>
            <w:tcMar>
              <w:top w:type="dxa" w:w="60"/>
              <w:left w:type="dxa" w:w="90"/>
              <w:bottom w:type="dxa" w:w="60"/>
              <w:right w:type="dxa" w:w="90"/>
            </w:tcMar>
            <w:vAlign w:val="center"/>
          </w:tcPr>
          <w:p>
            <w:pPr>
              <w:spacing w:after="20" w:line="250"/>
            </w:pPr>
            <w:r>
              <w:rPr>
                <w:sz w:val="18"/>
                <w:szCs w:val="18"/>
              </w:rPr>
              <w:t xml:space="preserve">Starts the job; disabled until the job finishes.</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Log panel</w:t>
            </w:r>
          </w:p>
        </w:tc>
        <w:tc>
          <w:tcPr>
            <w:tcW w:type="dxa" w:w="1355"/>
            <w:tcMar>
              <w:top w:type="dxa" w:w="60"/>
              <w:left w:type="dxa" w:w="90"/>
              <w:bottom w:type="dxa" w:w="60"/>
              <w:right w:type="dxa" w:w="90"/>
            </w:tcMar>
            <w:vAlign w:val="center"/>
          </w:tcPr>
          <w:p>
            <w:pPr>
              <w:spacing w:after="20" w:line="250"/>
            </w:pPr>
            <w:r>
              <w:rPr>
                <w:sz w:val="18"/>
                <w:szCs w:val="18"/>
              </w:rPr>
              <w:t xml:space="preserve">all</w:t>
            </w:r>
          </w:p>
        </w:tc>
        <w:tc>
          <w:tcPr>
            <w:tcW w:type="dxa" w:w="5723"/>
            <w:tcMar>
              <w:top w:type="dxa" w:w="60"/>
              <w:left w:type="dxa" w:w="90"/>
              <w:bottom w:type="dxa" w:w="60"/>
              <w:right w:type="dxa" w:w="90"/>
            </w:tcMar>
            <w:vAlign w:val="center"/>
          </w:tcPr>
          <w:p>
            <w:pPr>
              <w:spacing w:after="20" w:line="250"/>
            </w:pPr>
            <w:r>
              <w:rPr>
                <w:sz w:val="18"/>
                <w:szCs w:val="18"/>
              </w:rPr>
              <w:t xml:space="preserve">Live output of the preparation step and of Spark.</w:t>
            </w:r>
          </w:p>
        </w:tc>
      </w:tr>
    </w:tbl>
    <w:p>
      <w:pPr>
        <w:spacing w:after="120"/>
      </w:pPr>
    </w:p>
    <w:p>
      <w:pPr>
        <w:keepNext/>
        <w:spacing w:after="80" w:before="160"/>
      </w:pPr>
      <w:r>
        <w:rPr>
          <w:b/>
          <w:bCs/>
          <w:color w:val="52514E"/>
          <w:sz w:val="18"/>
          <w:szCs w:val="18"/>
        </w:rPr>
        <w:t xml:space="preserve">Table 8.</w:t>
      </w:r>
      <w:r>
        <w:rPr>
          <w:color w:val="52514E"/>
          <w:sz w:val="18"/>
          <w:szCs w:val="18"/>
        </w:rPr>
        <w:t xml:space="preserve"> What to fill in for each job.</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1807"/>
        <w:gridCol w:w="3614"/>
        <w:gridCol w:w="4217"/>
      </w:tblGrid>
      <w:tr>
        <w:trPr>
          <w:cantSplit/>
          <w:tblHeader/>
        </w:trPr>
        <w:tc>
          <w:tcPr>
            <w:tcW w:type="dxa" w:w="180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Job</w:t>
            </w:r>
          </w:p>
        </w:tc>
        <w:tc>
          <w:tcPr>
            <w:tcW w:type="dxa" w:w="361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Fill in</w:t>
            </w:r>
          </w:p>
        </w:tc>
        <w:tc>
          <w:tcPr>
            <w:tcW w:type="dxa" w:w="421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Results go to</w:t>
            </w:r>
          </w:p>
        </w:tc>
      </w:tr>
      <w:tr>
        <w:trPr>
          <w:cantSplit/>
        </w:trPr>
        <w:tc>
          <w:tcPr>
            <w:tcW w:type="dxa" w:w="1807"/>
            <w:tcMar>
              <w:top w:type="dxa" w:w="60"/>
              <w:left w:type="dxa" w:w="90"/>
              <w:bottom w:type="dxa" w:w="60"/>
              <w:right w:type="dxa" w:w="90"/>
            </w:tcMar>
            <w:vAlign w:val="center"/>
          </w:tcPr>
          <w:p>
            <w:pPr>
              <w:spacing w:after="20" w:line="250"/>
            </w:pPr>
            <w:r>
              <w:rPr>
                <w:sz w:val="18"/>
                <w:szCs w:val="18"/>
              </w:rPr>
              <w:t xml:space="preserve">Q1 AOI filter</w:t>
            </w:r>
          </w:p>
        </w:tc>
        <w:tc>
          <w:tcPr>
            <w:tcW w:type="dxa" w:w="3614"/>
            <w:tcMar>
              <w:top w:type="dxa" w:w="60"/>
              <w:left w:type="dxa" w:w="90"/>
              <w:bottom w:type="dxa" w:w="60"/>
              <w:right w:type="dxa" w:w="90"/>
            </w:tcMar>
            <w:vAlign w:val="center"/>
          </w:tcPr>
          <w:p>
            <w:pPr>
              <w:spacing w:after="20" w:line="250"/>
            </w:pPr>
            <w:r>
              <w:rPr>
                <w:sz w:val="18"/>
                <w:szCs w:val="18"/>
              </w:rPr>
              <w:t xml:space="preserve">Tiles dir, AOI/Agri</w:t>
            </w:r>
          </w:p>
        </w:tc>
        <w:tc>
          <w:tcPr>
            <w:tcW w:type="dxa" w:w="4217"/>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&lt;tiles dir&gt;/sedona_results/q1_aoi_filter/</w:t>
            </w:r>
            <w:r>
              <w:rPr>
                <w:sz w:val="18"/>
                <w:szCs w:val="18"/>
              </w:rPr>
              <w:t xml:space="preserve"> (CSV)</w:t>
            </w:r>
          </w:p>
        </w:tc>
      </w:tr>
      <w:tr>
        <w:trPr>
          <w:cantSplit/>
        </w:trPr>
        <w:tc>
          <w:tcPr>
            <w:tcW w:type="dxa" w:w="1807"/>
            <w:shd w:fill="F3F6FA" w:color="auto" w:val="clear"/>
            <w:tcMar>
              <w:top w:type="dxa" w:w="60"/>
              <w:left w:type="dxa" w:w="90"/>
              <w:bottom w:type="dxa" w:w="60"/>
              <w:right w:type="dxa" w:w="90"/>
            </w:tcMar>
            <w:vAlign w:val="center"/>
          </w:tcPr>
          <w:p>
            <w:pPr>
              <w:spacing w:after="20" w:line="250"/>
            </w:pPr>
            <w:r>
              <w:rPr>
                <w:sz w:val="18"/>
                <w:szCs w:val="18"/>
              </w:rPr>
              <w:t xml:space="preserve">Q2 Spatial join</w:t>
            </w:r>
          </w:p>
        </w:tc>
        <w:tc>
          <w:tcPr>
            <w:tcW w:type="dxa" w:w="3614"/>
            <w:shd w:fill="F3F6FA" w:color="auto" w:val="clear"/>
            <w:tcMar>
              <w:top w:type="dxa" w:w="60"/>
              <w:left w:type="dxa" w:w="90"/>
              <w:bottom w:type="dxa" w:w="60"/>
              <w:right w:type="dxa" w:w="90"/>
            </w:tcMar>
            <w:vAlign w:val="center"/>
          </w:tcPr>
          <w:p>
            <w:pPr>
              <w:spacing w:after="20" w:line="250"/>
            </w:pPr>
            <w:r>
              <w:rPr>
                <w:sz w:val="18"/>
                <w:szCs w:val="18"/>
              </w:rPr>
              <w:t xml:space="preserve">Tiles dir, AOI/Agri (with </w:t>
            </w:r>
            <w:r>
              <w:rPr>
                <w:rFonts w:ascii="Courier New" w:cs="Courier New" w:eastAsia="Courier New" w:hAnsi="Courier New"/>
                <w:sz w:val="16"/>
                <w:szCs w:val="16"/>
              </w:rPr>
              <w:t xml:space="preserve">field_id</w:t>
            </w:r>
            <w:r>
              <w:rPr>
                <w:sz w:val="18"/>
                <w:szCs w:val="18"/>
              </w:rPr>
              <w:t xml:space="preserve">, </w:t>
            </w:r>
            <w:r>
              <w:rPr>
                <w:rFonts w:ascii="Courier New" w:cs="Courier New" w:eastAsia="Courier New" w:hAnsi="Courier New"/>
                <w:sz w:val="16"/>
                <w:szCs w:val="16"/>
              </w:rPr>
              <w:t xml:space="preserve">crop_type</w:t>
            </w:r>
            <w:r>
              <w:rPr>
                <w:sz w:val="18"/>
                <w:szCs w:val="18"/>
              </w:rPr>
              <w:t xml:space="preserve">)</w:t>
            </w:r>
          </w:p>
        </w:tc>
        <w:tc>
          <w:tcPr>
            <w:tcW w:type="dxa" w:w="4217"/>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&lt;tiles dir&gt;/sedona_results/q2_spatial_join/</w:t>
            </w:r>
            <w:r>
              <w:rPr>
                <w:sz w:val="18"/>
                <w:szCs w:val="18"/>
              </w:rPr>
              <w:t xml:space="preserve"> (CSV)</w:t>
            </w:r>
          </w:p>
        </w:tc>
      </w:tr>
      <w:tr>
        <w:trPr>
          <w:cantSplit/>
        </w:trPr>
        <w:tc>
          <w:tcPr>
            <w:tcW w:type="dxa" w:w="1807"/>
            <w:tcMar>
              <w:top w:type="dxa" w:w="60"/>
              <w:left w:type="dxa" w:w="90"/>
              <w:bottom w:type="dxa" w:w="60"/>
              <w:right w:type="dxa" w:w="90"/>
            </w:tcMar>
            <w:vAlign w:val="center"/>
          </w:tcPr>
          <w:p>
            <w:pPr>
              <w:spacing w:after="20" w:line="250"/>
            </w:pPr>
            <w:r>
              <w:rPr>
                <w:sz w:val="18"/>
                <w:szCs w:val="18"/>
              </w:rPr>
              <w:t xml:space="preserve">Q3 NDVI filter</w:t>
            </w:r>
          </w:p>
        </w:tc>
        <w:tc>
          <w:tcPr>
            <w:tcW w:type="dxa" w:w="3614"/>
            <w:tcMar>
              <w:top w:type="dxa" w:w="60"/>
              <w:left w:type="dxa" w:w="90"/>
              <w:bottom w:type="dxa" w:w="60"/>
              <w:right w:type="dxa" w:w="90"/>
            </w:tcMar>
            <w:vAlign w:val="center"/>
          </w:tcPr>
          <w:p>
            <w:pPr>
              <w:spacing w:after="20" w:line="250"/>
            </w:pPr>
            <w:r>
              <w:rPr>
                <w:sz w:val="18"/>
                <w:szCs w:val="18"/>
              </w:rPr>
              <w:t xml:space="preserve">Tiles dir; optionally threshold and the mask checkbox</w:t>
            </w:r>
          </w:p>
        </w:tc>
        <w:tc>
          <w:tcPr>
            <w:tcW w:type="dxa" w:w="4217"/>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&lt;tiles dir&gt;/sedona_results/q3_ndvi_filter/</w:t>
            </w:r>
            <w:r>
              <w:rPr>
                <w:sz w:val="18"/>
                <w:szCs w:val="18"/>
              </w:rPr>
              <w:t xml:space="preserve"> (CSV) and </w:t>
            </w:r>
            <w:r>
              <w:rPr>
                <w:rFonts w:ascii="Courier New" w:cs="Courier New" w:eastAsia="Courier New" w:hAnsi="Courier New"/>
                <w:sz w:val="16"/>
                <w:szCs w:val="16"/>
              </w:rPr>
              <w:t xml:space="preserve">…_rasters/</w:t>
            </w:r>
            <w:r>
              <w:rPr>
                <w:sz w:val="18"/>
                <w:szCs w:val="18"/>
              </w:rPr>
              <w:t xml:space="preserve"> (masks, loaded on the canvas)</w:t>
            </w:r>
          </w:p>
        </w:tc>
      </w:tr>
      <w:tr>
        <w:trPr>
          <w:cantSplit/>
        </w:trPr>
        <w:tc>
          <w:tcPr>
            <w:tcW w:type="dxa" w:w="1807"/>
            <w:shd w:fill="F3F6FA" w:color="auto" w:val="clear"/>
            <w:tcMar>
              <w:top w:type="dxa" w:w="60"/>
              <w:left w:type="dxa" w:w="90"/>
              <w:bottom w:type="dxa" w:w="60"/>
              <w:right w:type="dxa" w:w="90"/>
            </w:tcMar>
            <w:vAlign w:val="center"/>
          </w:tcPr>
          <w:p>
            <w:pPr>
              <w:spacing w:after="20" w:line="250"/>
            </w:pPr>
            <w:r>
              <w:rPr>
                <w:sz w:val="18"/>
                <w:szCs w:val="18"/>
              </w:rPr>
              <w:t xml:space="preserve">Q4 Raw-cube NDVI</w:t>
            </w:r>
          </w:p>
        </w:tc>
        <w:tc>
          <w:tcPr>
            <w:tcW w:type="dxa" w:w="3614"/>
            <w:shd w:fill="F3F6FA" w:color="auto" w:val="clear"/>
            <w:tcMar>
              <w:top w:type="dxa" w:w="60"/>
              <w:left w:type="dxa" w:w="90"/>
              <w:bottom w:type="dxa" w:w="60"/>
              <w:right w:type="dxa" w:w="90"/>
            </w:tcMar>
            <w:vAlign w:val="center"/>
          </w:tcPr>
          <w:p>
            <w:pPr>
              <w:spacing w:after="20" w:line="250"/>
            </w:pPr>
            <w:r>
              <w:rPr>
                <w:sz w:val="18"/>
                <w:szCs w:val="18"/>
              </w:rPr>
              <w:t xml:space="preserve">Raw cube (RED/NIR auto-filled)</w:t>
            </w:r>
          </w:p>
        </w:tc>
        <w:tc>
          <w:tcPr>
            <w:tcW w:type="dxa" w:w="4217"/>
            <w:shd w:fill="F3F6FA" w:color="auto" w:val="clear"/>
            <w:tcMar>
              <w:top w:type="dxa" w:w="60"/>
              <w:left w:type="dxa" w:w="90"/>
              <w:bottom w:type="dxa" w:w="60"/>
              <w:right w:type="dxa" w:w="90"/>
            </w:tcMar>
            <w:vAlign w:val="center"/>
          </w:tcPr>
          <w:p>
            <w:pPr>
              <w:spacing w:after="20" w:line="250"/>
            </w:pPr>
            <w:r>
              <w:rPr>
                <w:sz w:val="18"/>
                <w:szCs w:val="18"/>
              </w:rPr>
              <w:t xml:space="preserve">A temporary work folder printed in the log; NDVI raster loaded on the canvas</w:t>
            </w:r>
          </w:p>
        </w:tc>
      </w:tr>
      <w:tr>
        <w:trPr>
          <w:cantSplit/>
        </w:trPr>
        <w:tc>
          <w:tcPr>
            <w:tcW w:type="dxa" w:w="1807"/>
            <w:tcMar>
              <w:top w:type="dxa" w:w="60"/>
              <w:left w:type="dxa" w:w="90"/>
              <w:bottom w:type="dxa" w:w="60"/>
              <w:right w:type="dxa" w:w="90"/>
            </w:tcMar>
            <w:vAlign w:val="center"/>
          </w:tcPr>
          <w:p>
            <w:pPr>
              <w:spacing w:after="20" w:line="250"/>
            </w:pPr>
            <w:r>
              <w:rPr>
                <w:sz w:val="18"/>
                <w:szCs w:val="18"/>
              </w:rPr>
              <w:t xml:space="preserve">Q5 K-Means</w:t>
            </w:r>
          </w:p>
        </w:tc>
        <w:tc>
          <w:tcPr>
            <w:tcW w:type="dxa" w:w="3614"/>
            <w:tcMar>
              <w:top w:type="dxa" w:w="60"/>
              <w:left w:type="dxa" w:w="90"/>
              <w:bottom w:type="dxa" w:w="60"/>
              <w:right w:type="dxa" w:w="90"/>
            </w:tcMar>
            <w:vAlign w:val="center"/>
          </w:tcPr>
          <w:p>
            <w:pPr>
              <w:spacing w:after="20" w:line="250"/>
            </w:pPr>
            <w:r>
              <w:rPr>
                <w:sz w:val="18"/>
                <w:szCs w:val="18"/>
              </w:rPr>
              <w:t xml:space="preserve">Raw cube (K-Means row optional)</w:t>
            </w:r>
          </w:p>
        </w:tc>
        <w:tc>
          <w:tcPr>
            <w:tcW w:type="dxa" w:w="4217"/>
            <w:tcMar>
              <w:top w:type="dxa" w:w="60"/>
              <w:left w:type="dxa" w:w="90"/>
              <w:bottom w:type="dxa" w:w="60"/>
              <w:right w:type="dxa" w:w="90"/>
            </w:tcMar>
            <w:vAlign w:val="center"/>
          </w:tcPr>
          <w:p>
            <w:pPr>
              <w:spacing w:after="20" w:line="250"/>
            </w:pPr>
            <w:r>
              <w:rPr>
                <w:sz w:val="18"/>
                <w:szCs w:val="18"/>
              </w:rPr>
              <w:t xml:space="preserve">A temporary work folder printed in the log; class map with legend loaded on the canvas</w:t>
            </w:r>
          </w:p>
        </w:tc>
      </w:tr>
    </w:tbl>
    <w:p>
      <w:pPr>
        <w:spacing w:after="120"/>
      </w:pPr>
    </w:p>
    <w:p>
      <w:pPr>
        <w:pStyle w:val="Heading1"/>
      </w:pPr>
      <w:bookmarkStart w:name="_Toc12" w:id="12"/>
      <w:r>
        <w:t xml:space="preserve">5. Index jobs Q1–Q4</w:t>
      </w:r>
      <w:bookmarkEnd w:id="12"/>
    </w:p>
    <w:p>
      <w:r>
        <w:t xml:space="preserve">Q1–Q3 analyse the engine's spectral-index bands. Before Spark starts, the worker thread copies only the </w:t>
      </w:r>
      <w:r>
        <w:rPr>
          <w:b/>
          <w:bCs/>
        </w:rPr>
        <w:t xml:space="preserve">7 trailing index bands</w:t>
      </w:r>
      <w:r>
        <w:t xml:space="preserve"> of every engine tile into a temporary folder (</w:t>
      </w:r>
      <w:r>
        <w:rPr>
          <w:rFonts w:ascii="Courier New" w:cs="Courier New" w:eastAsia="Courier New" w:hAnsi="Courier New"/>
          <w:sz w:val="19"/>
          <w:szCs w:val="19"/>
        </w:rPr>
        <w:t xml:space="preserve">raster_prep.extract_index_tiles</w:t>
      </w:r>
      <w:r>
        <w:t xml:space="preserve">, about 2 s and 32 MB for an EnMAP scene). The band order is unchanged, so the jobs still address NDVI as band </w:t>
      </w:r>
      <w:r>
        <w:rPr>
          <w:rFonts w:ascii="Courier New" w:cs="Courier New" w:eastAsia="Courier New" w:hAnsi="Courier New"/>
          <w:sz w:val="19"/>
          <w:szCs w:val="19"/>
        </w:rPr>
        <w:t xml:space="preserve">RS_NumBands − 6</w:t>
      </w:r>
      <w:r>
        <w:t xml:space="preserve">, NDWI as </w:t>
      </w:r>
      <w:r>
        <w:rPr>
          <w:rFonts w:ascii="Courier New" w:cs="Courier New" w:eastAsia="Courier New" w:hAnsi="Courier New"/>
          <w:sz w:val="19"/>
          <w:szCs w:val="19"/>
        </w:rPr>
        <w:t xml:space="preserve">− 5</w:t>
      </w:r>
      <w:r>
        <w:t xml:space="preserve">, and so on. Section 9 explains why this step is essential.</w:t>
      </w:r>
    </w:p>
    <w:p>
      <w:r>
        <w:t xml:space="preserve">All results below were produced on the EnMAP L2A test scene (Tyrolean Alps, 12 June 2022; 1259 × 1216 pixels, 224 bands, 30 m) from the processing engine's 512-pixel tiles. Q1 and Q2 used demonstration polygons (Figure 4) included with the documentation in </w:t>
      </w:r>
      <w:r>
        <w:rPr>
          <w:rFonts w:ascii="Courier New" w:cs="Courier New" w:eastAsia="Courier New" w:hAnsi="Courier New"/>
          <w:sz w:val="19"/>
          <w:szCs w:val="19"/>
        </w:rPr>
        <w:t xml:space="preserve">docs/deliverables/data/</w:t>
      </w:r>
      <w:r>
        <w:t xml:space="preserve">; they are illustrative zones, not surveyed field boundaries.</w:t>
      </w:r>
    </w:p>
    <w:p>
      <w:pPr>
        <w:keepNext/>
        <w:spacing w:after="60" w:before="120"/>
        <w:jc w:val="center"/>
      </w:pPr>
      <w:r>
        <w:drawing>
          <wp:inline distT="0" distB="0" distL="0" distR="0">
            <wp:extent cx="5019675" cy="3857625"/>
            <wp:effectExtent t="0" r="0" b="0" l="0"/>
            <wp:docPr id="4" name="map_zones.png" descr="Demonstration inputs: a 9 × 9 km AOI for Q1 and four 0.6–2.4 km zones for Q2 (lake, glacier, forest, meadow), drawn on the true-colour composite." title="Demonstration inputs: a 9 × 9 km AOI for Q1 and four 0.6–2.4 km zones for Q2 (lake, glacier, forest, meadow), drawn on the true-colour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9675" cy="3857625"/>
                    </a:xfrm>
                    <a:prstGeom prst="rect">
                      <a:avLst/>
                    </a:prstGeom>
                  </pic:spPr>
                </pic:pic>
              </a:graphicData>
            </a:graphic>
          </wp:inline>
        </w:drawing>
      </w:r>
    </w:p>
    <w:p>
      <w:pPr>
        <w:spacing w:after="200"/>
      </w:pPr>
      <w:r>
        <w:rPr>
          <w:b/>
          <w:bCs/>
          <w:color w:val="52514E"/>
          <w:sz w:val="18"/>
          <w:szCs w:val="18"/>
        </w:rPr>
        <w:t xml:space="preserve">Figure 4.</w:t>
      </w:r>
      <w:r>
        <w:rPr>
          <w:color w:val="52514E"/>
          <w:sz w:val="18"/>
          <w:szCs w:val="18"/>
        </w:rPr>
        <w:t xml:space="preserve"> Demonstration inputs: a 9 × 9 km AOI for Q1 and four 0.6–2.4 km zones for Q2 (lake, glacier, forest, meadow), drawn on the true-colour composite.</w:t>
      </w:r>
    </w:p>
    <w:p>
      <w:pPr>
        <w:pStyle w:val="Heading2"/>
      </w:pPr>
      <w:bookmarkStart w:name="_Toc13" w:id="13"/>
      <w:r>
        <w:t xml:space="preserve">5.1 Q1 — AOI filter</w:t>
      </w:r>
      <w:bookmarkEnd w:id="13"/>
    </w:p>
    <w:p>
      <w:r>
        <w:rPr>
          <w:b/>
          <w:bCs/>
        </w:rPr>
        <w:t xml:space="preserve">Method.</w:t>
      </w:r>
      <w:r>
        <w:t xml:space="preserve"> The AOI (GeoJSON, one polygon or a dissolved collection) is loaded with Shapely and passed to Sedona as WKT in EPSG:4326. Tiles whose reprojected footprint intersects the AOI are selected with </w:t>
      </w:r>
      <w:r>
        <w:rPr>
          <w:rFonts w:ascii="Courier New" w:cs="Courier New" w:eastAsia="Courier New" w:hAnsi="Courier New"/>
          <w:sz w:val="19"/>
          <w:szCs w:val="19"/>
        </w:rPr>
        <w:t xml:space="preserve">ST_Intersects</w:t>
      </w:r>
      <w:r>
        <w:t xml:space="preserve">; for each, </w:t>
      </w:r>
      <w:r>
        <w:rPr>
          <w:rFonts w:ascii="Courier New" w:cs="Courier New" w:eastAsia="Courier New" w:hAnsi="Courier New"/>
          <w:sz w:val="19"/>
          <w:szCs w:val="19"/>
        </w:rPr>
        <w:t xml:space="preserve">RS_ZonalStats(rast, aoi, ndvi_band, 'mean' / 'count', true)</w:t>
      </w:r>
      <w:r>
        <w:t xml:space="preserve"> computes the mean NDVI and pixel count of the pixels inside the AOI (Sedona reprojects the AOI into the raster's CRS internally).</w:t>
      </w:r>
    </w:p>
    <w:p>
      <w:r>
        <w:rPr>
          <w:b/>
          <w:bCs/>
        </w:rPr>
        <w:t xml:space="preserve">Result (demo AOI).</w:t>
      </w:r>
      <w:r>
        <w:t xml:space="preserve"> Four tiles contribute 89,991 pixels — the full 300 × 300-pixel AOI. Mean NDVI inside the AOI per tile: 0.585 (65,653 px), 0.613 (7,838 px), 0.561 (14,740 px) and 0.841 (1,760 px). Runtime: 6.6 s including Spark start-up.</w:t>
      </w:r>
    </w:p>
    <w:p>
      <w:pPr>
        <w:pStyle w:val="Heading2"/>
      </w:pPr>
      <w:bookmarkStart w:name="_Toc14" w:id="14"/>
      <w:r>
        <w:t xml:space="preserve">5.2 Q2 — Spatial join of zones and pixels</w:t>
      </w:r>
      <w:bookmarkEnd w:id="14"/>
    </w:p>
    <w:p>
      <w:r>
        <w:rPr>
          <w:b/>
          <w:bCs/>
        </w:rPr>
        <w:t xml:space="preserve">Method.</w:t>
      </w:r>
      <w:r>
        <w:t xml:space="preserve"> Every (zone, intersecting tile) pair produces a zonal mean and pixel count for NDVI, NDWI and NDBI. The per-zone result is the </w:t>
      </w:r>
      <w:r>
        <w:rPr>
          <w:b/>
          <w:bCs/>
        </w:rPr>
        <w:t xml:space="preserve">pixel-weighted</w:t>
      </w:r>
      <w:r>
        <w:t xml:space="preserve"> mean across tiles — </w:t>
      </w:r>
      <w:r>
        <w:rPr>
          <w:rFonts w:ascii="Courier New" w:cs="Courier New" w:eastAsia="Courier New" w:hAnsi="Courier New"/>
          <w:sz w:val="19"/>
          <w:szCs w:val="19"/>
        </w:rPr>
        <w:t xml:space="preserve">SUM(mean × px) / SUM(px)</w:t>
      </w:r>
      <w:r>
        <w:t xml:space="preserve"> — so a zone that straddles tiles gets its true mean, not an average of per-tile averages.</w:t>
      </w:r>
    </w:p>
    <w:p>
      <w:pPr>
        <w:keepNext/>
        <w:spacing w:after="60" w:before="120"/>
        <w:jc w:val="center"/>
      </w:pPr>
      <w:r>
        <w:drawing>
          <wp:inline distT="0" distB="0" distL="0" distR="0">
            <wp:extent cx="5514975" cy="2990850"/>
            <wp:effectExtent t="0" r="0" b="0" l="0"/>
            <wp:docPr id="5" name="chart_q2_zones.png" descr="Q2 result for the demonstration zones. The lake has strongly positive NDWI, the forest high NDVI, the glacier values near zero." title="Q2 result for the demonstration zones. The lake has strongly positive NDWI, the forest high NDVI, the glacier values nea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14975" cy="2990850"/>
                    </a:xfrm>
                    <a:prstGeom prst="rect">
                      <a:avLst/>
                    </a:prstGeom>
                  </pic:spPr>
                </pic:pic>
              </a:graphicData>
            </a:graphic>
          </wp:inline>
        </w:drawing>
      </w:r>
    </w:p>
    <w:p>
      <w:pPr>
        <w:spacing w:after="200"/>
      </w:pPr>
      <w:r>
        <w:rPr>
          <w:b/>
          <w:bCs/>
          <w:color w:val="52514E"/>
          <w:sz w:val="18"/>
          <w:szCs w:val="18"/>
        </w:rPr>
        <w:t xml:space="preserve">Figure 5.</w:t>
      </w:r>
      <w:r>
        <w:rPr>
          <w:color w:val="52514E"/>
          <w:sz w:val="18"/>
          <w:szCs w:val="18"/>
        </w:rPr>
        <w:t xml:space="preserve"> Q2 result for the demonstration zones. The lake has strongly positive NDWI, the forest high NDVI, the glacier values near zero.</w:t>
      </w:r>
    </w:p>
    <w:p>
      <w:r>
        <w:t xml:space="preserve">The values behave as physics predicts — open water: NDVI −0.38, NDWI +0.67; forest: NDVI 0.77, NDWI −0.68; alpine meadow: NDVI 0.33; glacier: NDVI −0.05. Runtime: 8.4 s. This run also confirmed that Sedona's EPSG:4326 axis handling (a known risk on some GeoTools builds) works correctly with Sedona 1.5.1 on real UTM data.</w:t>
      </w:r>
    </w:p>
    <w:p>
      <w:pPr>
        <w:pStyle w:val="Heading2"/>
      </w:pPr>
      <w:bookmarkStart w:name="_Toc15" w:id="15"/>
      <w:r>
        <w:t xml:space="preserve">5.3 Q3 — NDVI filter with per-pixel masks</w:t>
      </w:r>
      <w:bookmarkEnd w:id="15"/>
    </w:p>
    <w:p>
      <w:r>
        <w:rPr>
          <w:b/>
          <w:bCs/>
        </w:rPr>
        <w:t xml:space="preserve">Method.</w:t>
      </w:r>
      <w:r>
        <w:t xml:space="preserve"> Per tile, </w:t>
      </w:r>
      <w:r>
        <w:rPr>
          <w:rFonts w:ascii="Courier New" w:cs="Courier New" w:eastAsia="Courier New" w:hAnsi="Courier New"/>
          <w:sz w:val="19"/>
          <w:szCs w:val="19"/>
        </w:rPr>
        <w:t xml:space="preserve">RS_ZonalStats</w:t>
      </w:r>
      <w:r>
        <w:t xml:space="preserve"> over the tile envelope gives the mean NDVI and valid-pixel count; tiles with mean ≥ threshold are reported. With the mask option, </w:t>
      </w:r>
      <w:r>
        <w:rPr>
          <w:rFonts w:ascii="Courier New" w:cs="Courier New" w:eastAsia="Courier New" w:hAnsi="Courier New"/>
          <w:sz w:val="19"/>
          <w:szCs w:val="19"/>
        </w:rPr>
        <w:t xml:space="preserve">RS_MapAlgebra(rast, 'D', 'out = (rast[ndvi] &gt;= t) ? 1 : 0;')</w:t>
      </w:r>
      <w:r>
        <w:t xml:space="preserve"> produces a per-pixel vegetation mask that Sedona's native raster writer saves as one GeoTIFF per tile, entirely inside the JVM.</w:t>
      </w:r>
    </w:p>
    <w:p>
      <w:pPr>
        <w:keepNext/>
        <w:spacing w:after="60" w:before="120"/>
        <w:jc w:val="center"/>
      </w:pPr>
      <w:r>
        <w:drawing>
          <wp:inline distT="0" distB="0" distL="0" distR="0">
            <wp:extent cx="5019675" cy="4572000"/>
            <wp:effectExtent t="0" r="0" b="0" l="0"/>
            <wp:docPr id="6" name="map_q3_vegmask.png" descr="Q3 at threshold 0.4: per-pixel mask (green = NDVI ≥ 0.4) and the four tiles that pass, with their mean NDVI. Hatched areas are edge tiles for which the engine produced no indices (limitation L2, §11)." title="Q3 at threshold 0.4: per-pixel mask (green = NDVI ≥ 0.4) and the four tiles that pass, with their mean NDVI. Hatched areas are edge tiles for which the engine produced no indices (limitation L2,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9675" cy="4572000"/>
                    </a:xfrm>
                    <a:prstGeom prst="rect">
                      <a:avLst/>
                    </a:prstGeom>
                  </pic:spPr>
                </pic:pic>
              </a:graphicData>
            </a:graphic>
          </wp:inline>
        </w:drawing>
      </w:r>
    </w:p>
    <w:p>
      <w:pPr>
        <w:spacing w:after="200"/>
      </w:pPr>
      <w:r>
        <w:rPr>
          <w:b/>
          <w:bCs/>
          <w:color w:val="52514E"/>
          <w:sz w:val="18"/>
          <w:szCs w:val="18"/>
        </w:rPr>
        <w:t xml:space="preserve">Figure 6.</w:t>
      </w:r>
      <w:r>
        <w:rPr>
          <w:color w:val="52514E"/>
          <w:sz w:val="18"/>
          <w:szCs w:val="18"/>
        </w:rPr>
        <w:t xml:space="preserve"> Q3 at threshold 0.4: per-pixel mask (green = NDVI ≥ 0.4) and the four tiles that pass, with their mean NDVI. Hatched areas are edge tiles for which the engine produced no indices (limitation L2, §11).</w:t>
      </w:r>
    </w:p>
    <w:p>
      <w:r>
        <w:rPr>
          <w:b/>
          <w:bCs/>
        </w:rPr>
        <w:t xml:space="preserve">Result.</w:t>
      </w:r>
      <w:r>
        <w:t xml:space="preserve"> Four of nine tiles pass (mean NDVI 0.74, 0.70, 0.65, 0.41). Runtime 6.3–9.0 s including the index extraction.</w:t>
      </w:r>
    </w:p>
    <w:p>
      <w:pPr>
        <w:pStyle w:val="Heading2"/>
      </w:pPr>
      <w:bookmarkStart w:name="_Toc16" w:id="16"/>
      <w:r>
        <w:t xml:space="preserve">5.4 Q4 — NDVI straight from a raw cube</w:t>
      </w:r>
      <w:bookmarkEnd w:id="16"/>
    </w:p>
    <w:p>
      <w:r>
        <w:rPr>
          <w:b/>
          <w:bCs/>
        </w:rPr>
        <w:t xml:space="preserve">Method.</w:t>
      </w:r>
      <w:r>
        <w:t xml:space="preserve"> The plugin detects the RED (~665 nm) and NIR (~842 nm) bands from the cube's wavelength metadata (EnMAP: bands 48 and 72), extracts them into a single GeoTIFF, and the job evaluates NDVI per pixel with </w:t>
      </w:r>
      <w:r>
        <w:rPr>
          <w:rFonts w:ascii="Courier New" w:cs="Courier New" w:eastAsia="Courier New" w:hAnsi="Courier New"/>
          <w:sz w:val="19"/>
          <w:szCs w:val="19"/>
        </w:rPr>
        <w:t xml:space="preserve">RS_MapAlgebra</w:t>
      </w:r>
      <w:r>
        <w:t xml:space="preserve">. Pixels whose RED or NIR equals the cube's no-data value (</w:t>
      </w:r>
      <w:r>
        <w:rPr>
          <w:rFonts w:ascii="Courier New" w:cs="Courier New" w:eastAsia="Courier New" w:hAnsi="Courier New"/>
          <w:sz w:val="19"/>
          <w:szCs w:val="19"/>
        </w:rPr>
        <w:t xml:space="preserve">--nodata</w:t>
      </w:r>
      <w:r>
        <w:t xml:space="preserve">, −32768 for EnMAP) or whose sum is zero become −9999, which </w:t>
      </w:r>
      <w:r>
        <w:rPr>
          <w:rFonts w:ascii="Courier New" w:cs="Courier New" w:eastAsia="Courier New" w:hAnsi="Courier New"/>
          <w:sz w:val="19"/>
          <w:szCs w:val="19"/>
        </w:rPr>
        <w:t xml:space="preserve">RS_ZonalStats</w:t>
      </w:r>
      <w:r>
        <w:t xml:space="preserve"> excludes.</w:t>
      </w:r>
    </w:p>
    <w:p>
      <w:pPr>
        <w:keepNext/>
        <w:spacing w:after="80" w:before="160"/>
      </w:pPr>
      <w:r>
        <w:rPr>
          <w:b/>
          <w:bCs/>
          <w:color w:val="52514E"/>
          <w:sz w:val="18"/>
          <w:szCs w:val="18"/>
        </w:rPr>
        <w:t xml:space="preserve">Table 9.</w:t>
      </w:r>
      <w:r>
        <w:rPr>
          <w:color w:val="52514E"/>
          <w:sz w:val="18"/>
          <w:szCs w:val="18"/>
        </w:rPr>
        <w:t xml:space="preserve"> Q4 against an independent NumPy computation on the test scene.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4216"/>
        <w:gridCol w:w="1957"/>
        <w:gridCol w:w="3465"/>
      </w:tblGrid>
      <w:tr>
        <w:trPr>
          <w:cantSplit/>
          <w:tblHeader/>
        </w:trPr>
        <w:tc>
          <w:tcPr>
            <w:tcW w:type="dxa" w:w="42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Run</w:t>
            </w:r>
          </w:p>
        </w:tc>
        <w:tc>
          <w:tcPr>
            <w:tcW w:type="dxa" w:w="195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Mean NDVI</w:t>
            </w:r>
          </w:p>
        </w:tc>
        <w:tc>
          <w:tcPr>
            <w:tcW w:type="dxa" w:w="346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Valid pixels</w:t>
            </w:r>
          </w:p>
        </w:tc>
      </w:tr>
      <w:tr>
        <w:trPr>
          <w:cantSplit/>
        </w:trPr>
        <w:tc>
          <w:tcPr>
            <w:tcW w:type="dxa" w:w="4216"/>
            <w:tcMar>
              <w:top w:type="dxa" w:w="60"/>
              <w:left w:type="dxa" w:w="90"/>
              <w:bottom w:type="dxa" w:w="60"/>
              <w:right w:type="dxa" w:w="90"/>
            </w:tcMar>
            <w:vAlign w:val="center"/>
          </w:tcPr>
          <w:p>
            <w:pPr>
              <w:spacing w:after="20" w:line="250"/>
            </w:pPr>
            <w:r>
              <w:rPr>
                <w:sz w:val="18"/>
                <w:szCs w:val="18"/>
              </w:rPr>
              <w:t xml:space="preserve">NumPy reference (non-no-data pixels)</w:t>
            </w:r>
          </w:p>
        </w:tc>
        <w:tc>
          <w:tcPr>
            <w:tcW w:type="dxa" w:w="1957"/>
            <w:tcMar>
              <w:top w:type="dxa" w:w="60"/>
              <w:left w:type="dxa" w:w="90"/>
              <w:bottom w:type="dxa" w:w="60"/>
              <w:right w:type="dxa" w:w="90"/>
            </w:tcMar>
            <w:vAlign w:val="center"/>
          </w:tcPr>
          <w:p>
            <w:pPr>
              <w:spacing w:after="20" w:line="250"/>
            </w:pPr>
            <w:r>
              <w:rPr>
                <w:sz w:val="18"/>
                <w:szCs w:val="18"/>
              </w:rPr>
              <w:t xml:space="preserve">0.5616</w:t>
            </w:r>
          </w:p>
        </w:tc>
        <w:tc>
          <w:tcPr>
            <w:tcW w:type="dxa" w:w="3465"/>
            <w:tcMar>
              <w:top w:type="dxa" w:w="60"/>
              <w:left w:type="dxa" w:w="90"/>
              <w:bottom w:type="dxa" w:w="60"/>
              <w:right w:type="dxa" w:w="90"/>
            </w:tcMar>
            <w:vAlign w:val="center"/>
          </w:tcPr>
          <w:p>
            <w:pPr>
              <w:spacing w:after="20" w:line="250"/>
            </w:pPr>
            <w:r>
              <w:rPr>
                <w:sz w:val="18"/>
                <w:szCs w:val="18"/>
              </w:rPr>
              <w:t xml:space="preserve">1,069,499</w:t>
            </w:r>
          </w:p>
        </w:tc>
      </w:tr>
      <w:tr>
        <w:trPr>
          <w:cantSplit/>
        </w:trPr>
        <w:tc>
          <w:tcPr>
            <w:tcW w:type="dxa" w:w="4216"/>
            <w:shd w:fill="F3F6FA" w:color="auto" w:val="clear"/>
            <w:tcMar>
              <w:top w:type="dxa" w:w="60"/>
              <w:left w:type="dxa" w:w="90"/>
              <w:bottom w:type="dxa" w:w="60"/>
              <w:right w:type="dxa" w:w="90"/>
            </w:tcMar>
            <w:vAlign w:val="center"/>
          </w:tcPr>
          <w:p>
            <w:pPr>
              <w:spacing w:after="20" w:line="250"/>
            </w:pPr>
            <w:r>
              <w:rPr>
                <w:sz w:val="18"/>
                <w:szCs w:val="18"/>
              </w:rPr>
              <w:t xml:space="preserve">Q4 before v0.2</w:t>
            </w:r>
          </w:p>
        </w:tc>
        <w:tc>
          <w:tcPr>
            <w:tcW w:type="dxa" w:w="1957"/>
            <w:shd w:fill="F3F6FA" w:color="auto" w:val="clear"/>
            <w:tcMar>
              <w:top w:type="dxa" w:w="60"/>
              <w:left w:type="dxa" w:w="90"/>
              <w:bottom w:type="dxa" w:w="60"/>
              <w:right w:type="dxa" w:w="90"/>
            </w:tcMar>
            <w:vAlign w:val="center"/>
          </w:tcPr>
          <w:p>
            <w:pPr>
              <w:spacing w:after="20" w:line="250"/>
            </w:pPr>
            <w:r>
              <w:rPr>
                <w:sz w:val="18"/>
                <w:szCs w:val="18"/>
              </w:rPr>
              <w:t xml:space="preserve">0.3929</w:t>
            </w:r>
            <w:r>
              <w:rPr>
                <w:sz w:val="18"/>
                <w:szCs w:val="18"/>
              </w:rPr>
              <w:t xml:space="preserve"> (wrong)</w:t>
            </w:r>
          </w:p>
        </w:tc>
        <w:tc>
          <w:tcPr>
            <w:tcW w:type="dxa" w:w="3465"/>
            <w:shd w:fill="F3F6FA" w:color="auto" w:val="clear"/>
            <w:tcMar>
              <w:top w:type="dxa" w:w="60"/>
              <w:left w:type="dxa" w:w="90"/>
              <w:bottom w:type="dxa" w:w="60"/>
              <w:right w:type="dxa" w:w="90"/>
            </w:tcMar>
            <w:vAlign w:val="center"/>
          </w:tcPr>
          <w:p>
            <w:pPr>
              <w:spacing w:after="20" w:line="250"/>
            </w:pPr>
            <w:r>
              <w:rPr>
                <w:sz w:val="18"/>
                <w:szCs w:val="18"/>
              </w:rPr>
              <w:t xml:space="preserve">1,528,470 (includes background)</w:t>
            </w:r>
          </w:p>
        </w:tc>
      </w:tr>
      <w:tr>
        <w:trPr>
          <w:cantSplit/>
        </w:trPr>
        <w:tc>
          <w:tcPr>
            <w:tcW w:type="dxa" w:w="4216"/>
            <w:tcMar>
              <w:top w:type="dxa" w:w="60"/>
              <w:left w:type="dxa" w:w="90"/>
              <w:bottom w:type="dxa" w:w="60"/>
              <w:right w:type="dxa" w:w="90"/>
            </w:tcMar>
            <w:vAlign w:val="center"/>
          </w:tcPr>
          <w:p>
            <w:pPr>
              <w:spacing w:after="20" w:line="250"/>
            </w:pPr>
            <w:r>
              <w:rPr>
                <w:sz w:val="18"/>
                <w:szCs w:val="18"/>
              </w:rPr>
              <w:t xml:space="preserve">Q4 in v0.2</w:t>
            </w:r>
          </w:p>
        </w:tc>
        <w:tc>
          <w:tcPr>
            <w:tcW w:type="dxa" w:w="1957"/>
            <w:tcMar>
              <w:top w:type="dxa" w:w="60"/>
              <w:left w:type="dxa" w:w="90"/>
              <w:bottom w:type="dxa" w:w="60"/>
              <w:right w:type="dxa" w:w="90"/>
            </w:tcMar>
            <w:vAlign w:val="center"/>
          </w:tcPr>
          <w:p>
            <w:pPr>
              <w:spacing w:after="20" w:line="250"/>
            </w:pPr>
            <w:r>
              <w:rPr>
                <w:sz w:val="18"/>
                <w:szCs w:val="18"/>
              </w:rPr>
              <w:t xml:space="preserve">0.5616</w:t>
            </w:r>
          </w:p>
        </w:tc>
        <w:tc>
          <w:tcPr>
            <w:tcW w:type="dxa" w:w="3465"/>
            <w:tcMar>
              <w:top w:type="dxa" w:w="60"/>
              <w:left w:type="dxa" w:w="90"/>
              <w:bottom w:type="dxa" w:w="60"/>
              <w:right w:type="dxa" w:w="90"/>
            </w:tcMar>
            <w:vAlign w:val="center"/>
          </w:tcPr>
          <w:p>
            <w:pPr>
              <w:spacing w:after="20" w:line="250"/>
            </w:pPr>
            <w:r>
              <w:rPr>
                <w:sz w:val="18"/>
                <w:szCs w:val="18"/>
              </w:rPr>
              <w:t xml:space="preserve">1,069,486 (13 edge pixels skipped, see L4)</w:t>
            </w:r>
          </w:p>
        </w:tc>
      </w:tr>
    </w:tbl>
    <w:p>
      <w:pPr>
        <w:spacing w:after="120"/>
      </w:pPr>
    </w:p>
    <w:p>
      <w:r>
        <w:t xml:space="preserve">The pre-0.2 error came from metadata: </w:t>
      </w:r>
      <w:r>
        <w:rPr>
          <w:rFonts w:ascii="Courier New" w:cs="Courier New" w:eastAsia="Courier New" w:hAnsi="Courier New"/>
          <w:sz w:val="19"/>
          <w:szCs w:val="19"/>
        </w:rPr>
        <w:t xml:space="preserve">gdal.Translate</w:t>
      </w:r>
      <w:r>
        <w:t xml:space="preserve"> copied EnMAP's scale factor (0.0001) into the GeoTIFF, GeoTools applied it on reading, and the −32768 background reached Sedona as −3.2768 — no longer recognisable as no-data, so 30 % of the scene was averaged in as NDVI ≈ 0. Section 7 describes the fix.</w:t>
      </w:r>
    </w:p>
    <w:p>
      <w:pPr>
        <w:pStyle w:val="Heading1"/>
      </w:pPr>
      <w:bookmarkStart w:name="_Toc17" w:id="17"/>
      <w:r>
        <w:t xml:space="preserve">6. Q5 — Machine learning: K-Means land cover</w:t>
      </w:r>
      <w:bookmarkEnd w:id="17"/>
    </w:p>
    <w:p>
      <w:pPr>
        <w:pStyle w:val="Heading2"/>
      </w:pPr>
      <w:bookmarkStart w:name="_Toc18" w:id="18"/>
      <w:r>
        <w:t xml:space="preserve">6.1 Purpose</w:t>
      </w:r>
      <w:bookmarkEnd w:id="18"/>
    </w:p>
    <w:p>
      <w:r>
        <w:t xml:space="preserve">Q5 produces a land-cover map of a hyperspectral scene </w:t>
      </w:r>
      <w:r>
        <w:rPr>
          <w:b/>
          <w:bCs/>
        </w:rPr>
        <w:t xml:space="preserve">without any training labels</w:t>
      </w:r>
      <w:r>
        <w:t xml:space="preserve">. K-Means clustering groups pixels with similar spectra; the plugin then names each cluster from its mean spectrum (snow/ice, water, dense vegetation, sparse vegetation/grass, bare rock/soil, shadow). Unsupervised clustering is the natural first machine-learning step for a new scene: no field data is needed, and the clusters show the spectral structure that any later supervised classifier would have to learn.</w:t>
      </w:r>
    </w:p>
    <w:p>
      <w:pPr>
        <w:pStyle w:val="Heading2"/>
      </w:pPr>
      <w:bookmarkStart w:name="_Toc19" w:id="19"/>
      <w:r>
        <w:t xml:space="preserve">6.2 Pipeline</w:t>
      </w:r>
      <w:bookmarkEnd w:id="19"/>
    </w:p>
    <w:p>
      <w:pPr>
        <w:keepNext/>
        <w:spacing w:after="60" w:before="120"/>
        <w:jc w:val="center"/>
      </w:pPr>
      <w:r>
        <w:drawing>
          <wp:inline distT="0" distB="0" distL="0" distR="0">
            <wp:extent cx="6124575" cy="2847975"/>
            <wp:effectExtent t="0" r="0" b="0" l="0"/>
            <wp:docPr id="7" name="diag_q5_pipeline.png" descr="Q5 pipeline. Steps 1–5 run in Spark/Sedona; no raster ever crosses into Python." title="Q5 pipeline. Steps 1–5 run in Spark/Sedona; no raster ever crosses into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2847975"/>
                    </a:xfrm>
                    <a:prstGeom prst="rect">
                      <a:avLst/>
                    </a:prstGeom>
                  </pic:spPr>
                </pic:pic>
              </a:graphicData>
            </a:graphic>
          </wp:inline>
        </w:drawing>
      </w:r>
    </w:p>
    <w:p>
      <w:pPr>
        <w:spacing w:after="200"/>
      </w:pPr>
      <w:r>
        <w:rPr>
          <w:b/>
          <w:bCs/>
          <w:color w:val="52514E"/>
          <w:sz w:val="18"/>
          <w:szCs w:val="18"/>
        </w:rPr>
        <w:t xml:space="preserve">Figure 7.</w:t>
      </w:r>
      <w:r>
        <w:rPr>
          <w:color w:val="52514E"/>
          <w:sz w:val="18"/>
          <w:szCs w:val="18"/>
        </w:rPr>
        <w:t xml:space="preserve"> Q5 pipeline. Steps 1–5 run in Spark/Sedona; no raster ever crosses into Python.</w:t>
      </w:r>
    </w:p>
    <w:p>
      <w:pPr>
        <w:pStyle w:val="ListParagraph"/>
        <w:numPr>
          <w:ilvl w:val="0"/>
          <w:numId w:val="4"/>
        </w:numPr>
        <w:spacing w:after="60"/>
      </w:pPr>
      <w:r>
        <w:rPr>
          <w:b/>
          <w:bCs/>
        </w:rPr>
        <w:t xml:space="preserve">Prepare (worker thread, GDAL).</w:t>
      </w:r>
      <w:r>
        <w:t xml:space="preserve"> Six bands are chosen by wavelength — blue 482, green 560, red 660, NIR 860, SWIR1 1650, SWIR2 2200 nm (EnMAP bands 14, 30, 47, 75, 153, 193) — and written as 256-pixel tiles (25 tiles for the test scene) with scale/offset and the no-data flag removed.</w:t>
      </w:r>
    </w:p>
    <w:p>
      <w:pPr>
        <w:pStyle w:val="ListParagraph"/>
        <w:numPr>
          <w:ilvl w:val="0"/>
          <w:numId w:val="4"/>
        </w:numPr>
        <w:spacing w:after="60"/>
      </w:pPr>
      <w:r>
        <w:rPr>
          <w:b/>
          <w:bCs/>
        </w:rPr>
        <w:t xml:space="preserve">Pixels → rows.</w:t>
      </w:r>
      <w:r>
        <w:t xml:space="preserve"> </w:t>
      </w:r>
      <w:r>
        <w:rPr>
          <w:rFonts w:ascii="Courier New" w:cs="Courier New" w:eastAsia="Courier New" w:hAnsi="Courier New"/>
          <w:sz w:val="19"/>
          <w:szCs w:val="19"/>
        </w:rPr>
        <w:t xml:space="preserve">RS_BandAsArray</w:t>
      </w:r>
      <w:r>
        <w:t xml:space="preserve"> returns each band as a plain </w:t>
      </w:r>
      <w:r>
        <w:rPr>
          <w:rFonts w:ascii="Courier New" w:cs="Courier New" w:eastAsia="Courier New" w:hAnsi="Courier New"/>
          <w:sz w:val="19"/>
          <w:szCs w:val="19"/>
        </w:rPr>
        <w:t xml:space="preserve">array&lt;double&gt;</w:t>
      </w:r>
      <w:r>
        <w:t xml:space="preserve">; </w:t>
      </w:r>
      <w:r>
        <w:rPr>
          <w:rFonts w:ascii="Courier New" w:cs="Courier New" w:eastAsia="Courier New" w:hAnsi="Courier New"/>
          <w:sz w:val="19"/>
          <w:szCs w:val="19"/>
        </w:rPr>
        <w:t xml:space="preserve">arrays_zip</w:t>
      </w:r>
      <w:r>
        <w:t xml:space="preserve"> + </w:t>
      </w:r>
      <w:r>
        <w:rPr>
          <w:rFonts w:ascii="Courier New" w:cs="Courier New" w:eastAsia="Courier New" w:hAnsi="Courier New"/>
          <w:sz w:val="19"/>
          <w:szCs w:val="19"/>
        </w:rPr>
        <w:t xml:space="preserve">posexplode</w:t>
      </w:r>
      <w:r>
        <w:t xml:space="preserve"> turn the arrays into one row per pixel; rows where any band equals the no-data value (or the vector is all zero) are dropped — 1,069,499 valid pixels.</w:t>
      </w:r>
    </w:p>
    <w:p>
      <w:pPr>
        <w:pStyle w:val="ListParagraph"/>
        <w:numPr>
          <w:ilvl w:val="0"/>
          <w:numId w:val="4"/>
        </w:numPr>
        <w:spacing w:after="60"/>
      </w:pPr>
      <w:r>
        <w:rPr>
          <w:b/>
          <w:bCs/>
        </w:rPr>
        <w:t xml:space="preserve">Features.</w:t>
      </w:r>
      <w:r>
        <w:t xml:space="preserve"> </w:t>
      </w:r>
      <w:r>
        <w:rPr>
          <w:rFonts w:ascii="Courier New" w:cs="Courier New" w:eastAsia="Courier New" w:hAnsi="Courier New"/>
          <w:sz w:val="19"/>
          <w:szCs w:val="19"/>
        </w:rPr>
        <w:t xml:space="preserve">ml_jiffle.add_spark_features</w:t>
      </w:r>
      <w:r>
        <w:t xml:space="preserve"> builds the feature vector (§6.3).</w:t>
      </w:r>
    </w:p>
    <w:p>
      <w:pPr>
        <w:pStyle w:val="ListParagraph"/>
        <w:numPr>
          <w:ilvl w:val="0"/>
          <w:numId w:val="4"/>
        </w:numPr>
        <w:spacing w:after="60"/>
      </w:pPr>
      <w:r>
        <w:rPr>
          <w:b/>
          <w:bCs/>
        </w:rPr>
        <w:t xml:space="preserve">Train.</w:t>
      </w:r>
      <w:r>
        <w:t xml:space="preserve"> </w:t>
      </w:r>
      <w:r>
        <w:rPr>
          <w:rFonts w:ascii="Courier New" w:cs="Courier New" w:eastAsia="Courier New" w:hAnsi="Courier New"/>
          <w:sz w:val="19"/>
          <w:szCs w:val="19"/>
        </w:rPr>
        <w:t xml:space="preserve">pyspark.ml.clustering.KMeans</w:t>
      </w:r>
      <w:r>
        <w:t xml:space="preserve"> (k-means‖ initialisation, </w:t>
      </w:r>
      <w:r>
        <w:rPr>
          <w:rFonts w:ascii="Courier New" w:cs="Courier New" w:eastAsia="Courier New" w:hAnsi="Courier New"/>
          <w:sz w:val="19"/>
          <w:szCs w:val="19"/>
        </w:rPr>
        <w:t xml:space="preserve">maxIter</w:t>
      </w:r>
      <w:r>
        <w:t xml:space="preserve"> 50, seed 42) is fitted on a 10 % random sample (≈107 000 pixels) — about 3–4 s.</w:t>
      </w:r>
    </w:p>
    <w:p>
      <w:pPr>
        <w:pStyle w:val="ListParagraph"/>
        <w:numPr>
          <w:ilvl w:val="0"/>
          <w:numId w:val="4"/>
        </w:numPr>
        <w:spacing w:after="60"/>
      </w:pPr>
      <w:r>
        <w:rPr>
          <w:b/>
          <w:bCs/>
        </w:rPr>
        <w:t xml:space="preserve">Compile and map.</w:t>
      </w:r>
      <w:r>
        <w:t xml:space="preserve"> The k centres are compiled into one Jiffle script (§6.4) and applied to every pixel of every tile with </w:t>
      </w:r>
      <w:r>
        <w:rPr>
          <w:rFonts w:ascii="Courier New" w:cs="Courier New" w:eastAsia="Courier New" w:hAnsi="Courier New"/>
          <w:sz w:val="19"/>
          <w:szCs w:val="19"/>
        </w:rPr>
        <w:t xml:space="preserve">RS_MapAlgebra(rast, 'B', script, 255)</w:t>
      </w:r>
      <w:r>
        <w:t xml:space="preserve">, producing an unsigned-byte class map per tile; the native raster writer saves the tiles.</w:t>
      </w:r>
    </w:p>
    <w:p>
      <w:pPr>
        <w:pStyle w:val="ListParagraph"/>
        <w:numPr>
          <w:ilvl w:val="0"/>
          <w:numId w:val="4"/>
        </w:numPr>
        <w:spacing w:after="60"/>
      </w:pPr>
      <w:r>
        <w:rPr>
          <w:b/>
          <w:bCs/>
        </w:rPr>
        <w:t xml:space="preserve">Label and report.</w:t>
      </w:r>
      <w:r>
        <w:t xml:space="preserve"> </w:t>
      </w:r>
      <w:r>
        <w:rPr>
          <w:rFonts w:ascii="Courier New" w:cs="Courier New" w:eastAsia="Courier New" w:hAnsi="Courier New"/>
          <w:sz w:val="19"/>
          <w:szCs w:val="19"/>
        </w:rPr>
        <w:t xml:space="preserve">model.transform</w:t>
      </w:r>
      <w:r>
        <w:t xml:space="preserve"> on all pixels gives each cluster's pixel count and mean reflectance, from which the label and the NDVI/NDWI/NDSI of the cluster are computed (§6.5). The plugin mosaics the class tiles into one VRT and loads it with a legend.</w:t>
      </w:r>
    </w:p>
    <w:p>
      <w:pPr>
        <w:pStyle w:val="Heading2"/>
      </w:pPr>
      <w:bookmarkStart w:name="_Toc20" w:id="20"/>
      <w:r>
        <w:t xml:space="preserve">6.3 Feature design</w:t>
      </w:r>
      <w:bookmarkEnd w:id="20"/>
    </w:p>
    <w:p>
      <w:r>
        <w:t xml:space="preserve">Three feature modes are available. Let x be a pixel's six-band vector and ‖x‖ its Euclidean length.</w:t>
      </w:r>
    </w:p>
    <w:p>
      <w:pPr>
        <w:keepNext/>
        <w:spacing w:after="80" w:before="160"/>
      </w:pPr>
      <w:r>
        <w:rPr>
          <w:b/>
          <w:bCs/>
          <w:color w:val="52514E"/>
          <w:sz w:val="18"/>
          <w:szCs w:val="18"/>
        </w:rPr>
        <w:t xml:space="preserve">Table 10.</w:t>
      </w:r>
      <w:r>
        <w:rPr>
          <w:color w:val="52514E"/>
          <w:sz w:val="18"/>
          <w:szCs w:val="18"/>
        </w:rPr>
        <w:t xml:space="preserve"> Q5 feature modes.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108"/>
        <w:gridCol w:w="2409"/>
        <w:gridCol w:w="5121"/>
      </w:tblGrid>
      <w:tr>
        <w:trPr>
          <w:cantSplit/>
          <w:tblHeader/>
        </w:trPr>
        <w:tc>
          <w:tcPr>
            <w:tcW w:type="dxa" w:w="210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Mode</w:t>
            </w:r>
          </w:p>
        </w:tc>
        <w:tc>
          <w:tcPr>
            <w:tcW w:type="dxa" w:w="240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Feature vector</w:t>
            </w:r>
          </w:p>
        </w:tc>
        <w:tc>
          <w:tcPr>
            <w:tcW w:type="dxa" w:w="512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Effect</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raw</w:t>
            </w:r>
          </w:p>
        </w:tc>
        <w:tc>
          <w:tcPr>
            <w:tcW w:type="dxa" w:w="2409"/>
            <w:tcMar>
              <w:top w:type="dxa" w:w="60"/>
              <w:left w:type="dxa" w:w="90"/>
              <w:bottom w:type="dxa" w:w="60"/>
              <w:right w:type="dxa" w:w="90"/>
            </w:tcMar>
            <w:vAlign w:val="center"/>
          </w:tcPr>
          <w:p>
            <w:pPr>
              <w:spacing w:after="20" w:line="250"/>
            </w:pPr>
            <w:r>
              <w:rPr>
                <w:sz w:val="18"/>
                <w:szCs w:val="18"/>
              </w:rPr>
              <w:t xml:space="preserve">x</w:t>
            </w:r>
          </w:p>
        </w:tc>
        <w:tc>
          <w:tcPr>
            <w:tcW w:type="dxa" w:w="5121"/>
            <w:tcMar>
              <w:top w:type="dxa" w:w="60"/>
              <w:left w:type="dxa" w:w="90"/>
              <w:bottom w:type="dxa" w:w="60"/>
              <w:right w:type="dxa" w:w="90"/>
            </w:tcMar>
            <w:vAlign w:val="center"/>
          </w:tcPr>
          <w:p>
            <w:pPr>
              <w:spacing w:after="20" w:line="250"/>
            </w:pPr>
            <w:r>
              <w:rPr>
                <w:sz w:val="18"/>
                <w:szCs w:val="18"/>
              </w:rPr>
              <w:t xml:space="preserve">Plain Euclidean K-Means on reflectance. Brightness dominates: the same material in sun and shade lands in different clusters.</w:t>
            </w:r>
          </w:p>
        </w:tc>
      </w:tr>
      <w:tr>
        <w:trPr>
          <w:cantSplit/>
        </w:trPr>
        <w:tc>
          <w:tcPr>
            <w:tcW w:type="dxa" w:w="2108"/>
            <w:shd w:fill="F3F6FA" w:color="auto" w:val="clear"/>
            <w:tcMar>
              <w:top w:type="dxa" w:w="60"/>
              <w:left w:type="dxa" w:w="90"/>
              <w:bottom w:type="dxa" w:w="60"/>
              <w:right w:type="dxa" w:w="90"/>
            </w:tcMar>
            <w:vAlign w:val="center"/>
          </w:tcPr>
          <w:p>
            <w:pPr>
              <w:spacing w:after="20" w:line="250"/>
            </w:pPr>
            <w:r>
              <w:rPr>
                <w:sz w:val="18"/>
                <w:szCs w:val="18"/>
              </w:rPr>
              <w:t xml:space="preserve">shape</w:t>
            </w:r>
          </w:p>
        </w:tc>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x / ‖x‖</w:t>
            </w:r>
          </w:p>
        </w:tc>
        <w:tc>
          <w:tcPr>
            <w:tcW w:type="dxa" w:w="5121"/>
            <w:shd w:fill="F3F6FA" w:color="auto" w:val="clear"/>
            <w:tcMar>
              <w:top w:type="dxa" w:w="60"/>
              <w:left w:type="dxa" w:w="90"/>
              <w:bottom w:type="dxa" w:w="60"/>
              <w:right w:type="dxa" w:w="90"/>
            </w:tcMar>
            <w:vAlign w:val="center"/>
          </w:tcPr>
          <w:p>
            <w:pPr>
              <w:spacing w:after="20" w:line="250"/>
            </w:pPr>
            <w:r>
              <w:rPr>
                <w:sz w:val="18"/>
                <w:szCs w:val="18"/>
              </w:rPr>
              <w:t xml:space="preserve">Spectral </w:t>
            </w:r>
            <w:r>
              <w:rPr>
                <w:i/>
                <w:iCs/>
                <w:sz w:val="18"/>
                <w:szCs w:val="18"/>
              </w:rPr>
              <w:t xml:space="preserve">shape</w:t>
            </w:r>
            <w:r>
              <w:rPr>
                <w:sz w:val="18"/>
                <w:szCs w:val="18"/>
              </w:rPr>
              <w:t xml:space="preserve"> only — the idea behind the Spectral Angle Mapper. Insensitive to illumination, but dark water and bright snow have similar shapes.</w:t>
            </w:r>
          </w:p>
        </w:tc>
      </w:tr>
      <w:tr>
        <w:trPr>
          <w:cantSplit/>
        </w:trPr>
        <w:tc>
          <w:tcPr>
            <w:tcW w:type="dxa" w:w="2108"/>
            <w:tcMar>
              <w:top w:type="dxa" w:w="60"/>
              <w:left w:type="dxa" w:w="90"/>
              <w:bottom w:type="dxa" w:w="60"/>
              <w:right w:type="dxa" w:w="90"/>
            </w:tcMar>
            <w:vAlign w:val="center"/>
          </w:tcPr>
          <w:p>
            <w:pPr>
              <w:spacing w:after="20" w:line="250"/>
            </w:pPr>
            <w:r>
              <w:rPr>
                <w:sz w:val="18"/>
                <w:szCs w:val="18"/>
              </w:rPr>
              <w:t xml:space="preserve">shape_brightness (default)</w:t>
            </w:r>
          </w:p>
        </w:tc>
        <w:tc>
          <w:tcPr>
            <w:tcW w:type="dxa" w:w="2409"/>
            <w:tcMar>
              <w:top w:type="dxa" w:w="60"/>
              <w:left w:type="dxa" w:w="90"/>
              <w:bottom w:type="dxa" w:w="60"/>
              <w:right w:type="dxa" w:w="90"/>
            </w:tcMar>
            <w:vAlign w:val="center"/>
          </w:tcPr>
          <w:p>
            <w:pPr>
              <w:spacing w:after="20" w:line="250"/>
            </w:pPr>
            <w:r>
              <w:rPr>
                <w:sz w:val="18"/>
                <w:szCs w:val="18"/>
              </w:rPr>
              <w:t xml:space="preserve">[ x / ‖x‖ , (ln‖x‖ − 7) / 3 ]</w:t>
            </w:r>
          </w:p>
        </w:tc>
        <w:tc>
          <w:tcPr>
            <w:tcW w:type="dxa" w:w="5121"/>
            <w:tcMar>
              <w:top w:type="dxa" w:w="60"/>
              <w:left w:type="dxa" w:w="90"/>
              <w:bottom w:type="dxa" w:w="60"/>
              <w:right w:type="dxa" w:w="90"/>
            </w:tcMar>
            <w:vAlign w:val="center"/>
          </w:tcPr>
          <w:p>
            <w:pPr>
              <w:spacing w:after="20" w:line="250"/>
            </w:pPr>
            <w:r>
              <w:rPr>
                <w:sz w:val="18"/>
                <w:szCs w:val="18"/>
              </w:rPr>
              <w:t xml:space="preserve">Shape plus one log-brightness feature, scaled to roughly −0.3…1.0 — restores the brightness contrast needed to separate water from snow.</w:t>
            </w:r>
          </w:p>
        </w:tc>
      </w:tr>
    </w:tbl>
    <w:p>
      <w:pPr>
        <w:spacing w:after="120"/>
      </w:pPr>
    </w:p>
    <w:p>
      <w:pPr>
        <w:keepNext/>
        <w:spacing w:after="60" w:before="120"/>
        <w:jc w:val="center"/>
      </w:pPr>
      <w:r>
        <w:drawing>
          <wp:inline distT="0" distB="0" distL="0" distR="0">
            <wp:extent cx="5514975" cy="2971800"/>
            <wp:effectExtent t="0" r="0" b="0" l="0"/>
            <wp:docPr id="8" name="chart_q5_features.png" descr="Effect of the feature design on the test scene, scored against EnMAP's own quality masks. Only shape + brightness isolates water (IoU 0.58)." title="Effect of the feature design on the test scene, scored against EnMAP's own quality masks. Only shape + brightness isolates water (IoU 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14975" cy="2971800"/>
                    </a:xfrm>
                    <a:prstGeom prst="rect">
                      <a:avLst/>
                    </a:prstGeom>
                  </pic:spPr>
                </pic:pic>
              </a:graphicData>
            </a:graphic>
          </wp:inline>
        </w:drawing>
      </w:r>
    </w:p>
    <w:p>
      <w:pPr>
        <w:spacing w:after="200"/>
      </w:pPr>
      <w:r>
        <w:rPr>
          <w:b/>
          <w:bCs/>
          <w:color w:val="52514E"/>
          <w:sz w:val="18"/>
          <w:szCs w:val="18"/>
        </w:rPr>
        <w:t xml:space="preserve">Figure 8.</w:t>
      </w:r>
      <w:r>
        <w:rPr>
          <w:color w:val="52514E"/>
          <w:sz w:val="18"/>
          <w:szCs w:val="18"/>
        </w:rPr>
        <w:t xml:space="preserve"> Effect of the feature design on the test scene, scored against EnMAP's own quality masks. Only shape + brightness isolates water (IoU 0.58).</w:t>
      </w:r>
    </w:p>
    <w:p>
      <w:pPr>
        <w:pStyle w:val="Heading2"/>
      </w:pPr>
      <w:bookmarkStart w:name="_Toc21" w:id="21"/>
      <w:r>
        <w:t xml:space="preserve">6.4 Compiling the model to Jiffle</w:t>
      </w:r>
      <w:bookmarkEnd w:id="21"/>
    </w:p>
    <w:p>
      <w:r>
        <w:t xml:space="preserve">Sedona 1.5.1 cannot deserialise raster objects in Python, and a per-pixel Python UDF would be slow and would need pyarrow. Q5 therefore </w:t>
      </w:r>
      <w:r>
        <w:rPr>
          <w:i/>
          <w:iCs/>
        </w:rPr>
        <w:t xml:space="preserve">compiles</w:t>
      </w:r>
      <w:r>
        <w:t xml:space="preserve"> the trained model: </w:t>
      </w:r>
      <w:r>
        <w:rPr>
          <w:rFonts w:ascii="Courier New" w:cs="Courier New" w:eastAsia="Courier New" w:hAnsi="Courier New"/>
          <w:sz w:val="19"/>
          <w:szCs w:val="19"/>
        </w:rPr>
        <w:t xml:space="preserve">ml_jiffle.kmeans_to_jiffle</w:t>
      </w:r>
      <w:r>
        <w:t xml:space="preserve"> writes the feature transform and the nearest-centre rule as a Jiffle script that </w:t>
      </w:r>
      <w:r>
        <w:rPr>
          <w:rFonts w:ascii="Courier New" w:cs="Courier New" w:eastAsia="Courier New" w:hAnsi="Courier New"/>
          <w:sz w:val="19"/>
          <w:szCs w:val="19"/>
        </w:rPr>
        <w:t xml:space="preserve">RS_MapAlgebra</w:t>
      </w:r>
      <w:r>
        <w:t xml:space="preserve"> evaluates per pixel in the JVM. The generated script for a two-band, two-cluster model (the real job uses six bands and eight clusters, ≈ 4,400 characters) is:</w:t>
      </w:r>
    </w:p>
    <w:p>
      <w:pPr>
        <w:shd w:fill="F4F3EF" w:color="auto" w:val="clear"/>
        <w:spacing w:after="0" w:before="80" w:line="240"/>
      </w:pPr>
      <w:r>
        <w:rPr>
          <w:rFonts w:ascii="Courier New" w:cs="Courier New" w:eastAsia="Courier New" w:hAnsi="Courier New"/>
          <w:color w:val="1F1F1F"/>
          <w:sz w:val="16"/>
          <w:szCs w:val="16"/>
        </w:rPr>
        <w:t xml:space="preserve">n = sqrt(rast[0]*rast[0] + rast[1]*rast[1]);</w:t>
      </w:r>
    </w:p>
    <w:p>
      <w:pPr>
        <w:shd w:fill="F4F3EF" w:color="auto" w:val="clear"/>
        <w:spacing w:after="0" w:before="0" w:line="240"/>
      </w:pPr>
      <w:r>
        <w:rPr>
          <w:rFonts w:ascii="Courier New" w:cs="Courier New" w:eastAsia="Courier New" w:hAnsi="Courier New"/>
          <w:color w:val="1F1F1F"/>
          <w:sz w:val="16"/>
          <w:szCs w:val="16"/>
        </w:rPr>
        <w:t xml:space="preserve">br = (log(n) - (7.000000000000)) / (3.000000000000);</w:t>
      </w:r>
    </w:p>
    <w:p>
      <w:pPr>
        <w:shd w:fill="F4F3EF" w:color="auto" w:val="clear"/>
        <w:spacing w:after="0" w:before="0" w:line="240"/>
      </w:pPr>
      <w:r>
        <w:rPr>
          <w:rFonts w:ascii="Courier New" w:cs="Courier New" w:eastAsia="Courier New" w:hAnsi="Courier New"/>
          <w:color w:val="1F1F1F"/>
          <w:sz w:val="16"/>
          <w:szCs w:val="16"/>
        </w:rPr>
        <w:t xml:space="preserve">d0 = ((rast[0]/n)-(0.310000000000))*(...) + ... + (br-(0.420000000000))*(...);</w:t>
      </w:r>
    </w:p>
    <w:p>
      <w:pPr>
        <w:shd w:fill="F4F3EF" w:color="auto" w:val="clear"/>
        <w:spacing w:after="0" w:before="0" w:line="240"/>
      </w:pPr>
      <w:r>
        <w:rPr>
          <w:rFonts w:ascii="Courier New" w:cs="Courier New" w:eastAsia="Courier New" w:hAnsi="Courier New"/>
          <w:color w:val="1F1F1F"/>
          <w:sz w:val="16"/>
          <w:szCs w:val="16"/>
        </w:rPr>
        <w:t xml:space="preserve">d1 = ((rast[0]/n)-(0.620000000000))*(...) + ... + (br-(1.360000000000))*(...);</w:t>
      </w:r>
    </w:p>
    <w:p>
      <w:pPr>
        <w:shd w:fill="F4F3EF" w:color="auto" w:val="clear"/>
        <w:spacing w:after="0" w:before="0" w:line="240"/>
      </w:pPr>
      <w:r>
        <w:rPr>
          <w:rFonts w:ascii="Courier New" w:cs="Courier New" w:eastAsia="Courier New" w:hAnsi="Courier New"/>
          <w:color w:val="1F1F1F"/>
          <w:sz w:val="16"/>
          <w:szCs w:val="16"/>
        </w:rPr>
        <w:t xml:space="preserve">best = 0;</w:t>
      </w:r>
    </w:p>
    <w:p>
      <w:pPr>
        <w:shd w:fill="F4F3EF" w:color="auto" w:val="clear"/>
        <w:spacing w:after="0" w:before="0" w:line="240"/>
      </w:pPr>
      <w:r>
        <w:rPr>
          <w:rFonts w:ascii="Courier New" w:cs="Courier New" w:eastAsia="Courier New" w:hAnsi="Courier New"/>
          <w:color w:val="1F1F1F"/>
          <w:sz w:val="16"/>
          <w:szCs w:val="16"/>
        </w:rPr>
        <w:t xml:space="preserve">bd = d0;</w:t>
      </w:r>
    </w:p>
    <w:p>
      <w:pPr>
        <w:shd w:fill="F4F3EF" w:color="auto" w:val="clear"/>
        <w:spacing w:after="0" w:before="0" w:line="240"/>
      </w:pPr>
      <w:r>
        <w:rPr>
          <w:rFonts w:ascii="Courier New" w:cs="Courier New" w:eastAsia="Courier New" w:hAnsi="Courier New"/>
          <w:color w:val="1F1F1F"/>
          <w:sz w:val="16"/>
          <w:szCs w:val="16"/>
        </w:rPr>
        <w:t xml:space="preserve">best = d1 &lt; bd ? 1 : best;</w:t>
      </w:r>
    </w:p>
    <w:p>
      <w:pPr>
        <w:shd w:fill="F4F3EF" w:color="auto" w:val="clear"/>
        <w:spacing w:after="0" w:before="0" w:line="240"/>
      </w:pPr>
      <w:r>
        <w:rPr>
          <w:rFonts w:ascii="Courier New" w:cs="Courier New" w:eastAsia="Courier New" w:hAnsi="Courier New"/>
          <w:color w:val="1F1F1F"/>
          <w:sz w:val="16"/>
          <w:szCs w:val="16"/>
        </w:rPr>
        <w:t xml:space="preserve">bd = d1 &lt; bd ? d1 : bd;</w:t>
      </w:r>
    </w:p>
    <w:p>
      <w:pPr>
        <w:shd w:fill="F4F3EF" w:color="auto" w:val="clear"/>
        <w:spacing w:after="0" w:before="0" w:line="240"/>
      </w:pPr>
      <w:r>
        <w:rPr>
          <w:rFonts w:ascii="Courier New" w:cs="Courier New" w:eastAsia="Courier New" w:hAnsi="Courier New"/>
          <w:color w:val="1F1F1F"/>
          <w:sz w:val="16"/>
          <w:szCs w:val="16"/>
        </w:rPr>
        <w:t xml:space="preserve">ok = n &gt; 0 ? 1 : 0;</w:t>
      </w:r>
    </w:p>
    <w:p>
      <w:pPr>
        <w:shd w:fill="F4F3EF" w:color="auto" w:val="clear"/>
        <w:spacing w:after="0" w:before="0" w:line="240"/>
      </w:pPr>
      <w:r>
        <w:rPr>
          <w:rFonts w:ascii="Courier New" w:cs="Courier New" w:eastAsia="Courier New" w:hAnsi="Courier New"/>
          <w:color w:val="1F1F1F"/>
          <w:sz w:val="16"/>
          <w:szCs w:val="16"/>
        </w:rPr>
        <w:t xml:space="preserve">ok = rast[0] == (-32768.000000000000) ? 0 : ok;</w:t>
      </w:r>
    </w:p>
    <w:p>
      <w:pPr>
        <w:shd w:fill="F4F3EF" w:color="auto" w:val="clear"/>
        <w:spacing w:after="0" w:before="0" w:line="240"/>
      </w:pPr>
      <w:r>
        <w:rPr>
          <w:rFonts w:ascii="Courier New" w:cs="Courier New" w:eastAsia="Courier New" w:hAnsi="Courier New"/>
          <w:color w:val="1F1F1F"/>
          <w:sz w:val="16"/>
          <w:szCs w:val="16"/>
        </w:rPr>
        <w:t xml:space="preserve">ok = rast[1] == (-32768.000000000000) ? 0 : ok;</w:t>
      </w:r>
    </w:p>
    <w:p>
      <w:pPr>
        <w:shd w:fill="F4F3EF" w:color="auto" w:val="clear"/>
        <w:spacing w:after="0" w:before="0" w:line="240"/>
      </w:pPr>
      <w:r>
        <w:rPr>
          <w:rFonts w:ascii="Courier New" w:cs="Courier New" w:eastAsia="Courier New" w:hAnsi="Courier New"/>
          <w:color w:val="1F1F1F"/>
          <w:sz w:val="16"/>
          <w:szCs w:val="16"/>
        </w:rPr>
        <w:t xml:space="preserve">out = ok == 1 ? best : 255;</w:t>
      </w:r>
    </w:p>
    <w:p>
      <w:pPr>
        <w:spacing w:after="120"/>
      </w:pPr>
    </w:p>
    <w:p>
      <w:r>
        <w:t xml:space="preserve">Three generator rules came from real failures: every constant is written in fixed-point and in parentheses (a negative centre otherwise produced </w:t>
      </w:r>
      <w:r>
        <w:rPr>
          <w:rFonts w:ascii="Courier New" w:cs="Courier New" w:eastAsia="Courier New" w:hAnsi="Courier New"/>
          <w:sz w:val="19"/>
          <w:szCs w:val="19"/>
        </w:rPr>
        <w:t xml:space="preserve">x--3.2</w:t>
      </w:r>
      <w:r>
        <w:t xml:space="preserve">, which Jiffle rejects); ties go to the lowest cluster index, as in MLlib; and every ternary is single-level, which lets the unit tests execute the script in Python. The output nodata is </w:t>
      </w:r>
      <w:r>
        <w:rPr>
          <w:b/>
          <w:bCs/>
        </w:rPr>
        <w:t xml:space="preserve">255</w:t>
      </w:r>
      <w:r>
        <w:t xml:space="preserve">, not −9999 — −9999 cannot be stored in an unsigned-byte band, yet Sedona accepts it silently.</w:t>
      </w:r>
    </w:p>
    <w:tbl>
      <w:tblPr>
        <w:tblW w:type="dxa" w:w="9638"/>
        <w:tblBorders>
          <w:top w:val="single" w:color="B7D3F6" w:sz="6"/>
          <w:left w:val="single" w:color="B7D3F6" w:sz="6"/>
          <w:bottom w:val="single" w:color="B7D3F6" w:sz="6"/>
          <w:right w:val="single" w:color="B7D3F6" w:sz="6"/>
          <w:insideH w:val="single" w:color="B7D3F6" w:sz="6"/>
          <w:insideV w:val="single" w:color="B7D3F6" w:sz="6"/>
        </w:tblBorders>
      </w:tblPr>
      <w:tblGrid>
        <w:gridCol w:w="9638"/>
      </w:tblGrid>
      <w:tr>
        <w:trPr>
          <w:cantSplit/>
        </w:trPr>
        <w:tc>
          <w:tcPr>
            <w:tcW w:type="dxa" w:w="9638"/>
            <w:shd w:fill="EEF4FB" w:color="auto" w:val="clear"/>
            <w:tcMar>
              <w:top w:type="dxa" w:w="120"/>
              <w:left w:type="dxa" w:w="180"/>
              <w:bottom w:type="dxa" w:w="120"/>
              <w:right w:type="dxa" w:w="180"/>
            </w:tcMar>
          </w:tcPr>
          <w:p>
            <w:pPr>
              <w:spacing w:after="60"/>
            </w:pPr>
            <w:r>
              <w:rPr>
                <w:b/>
                <w:bCs/>
                <w:color w:val="12355B"/>
              </w:rPr>
              <w:t xml:space="preserve">Verified equivalence</w:t>
            </w:r>
          </w:p>
          <w:p>
            <w:pPr>
              <w:spacing w:after="60"/>
            </w:pPr>
            <w:r>
              <w:t xml:space="preserve">With </w:t>
            </w:r>
            <w:r>
              <w:rPr>
                <w:rFonts w:ascii="Courier New" w:cs="Courier New" w:eastAsia="Courier New" w:hAnsi="Courier New"/>
                <w:sz w:val="19"/>
                <w:szCs w:val="19"/>
              </w:rPr>
              <w:t xml:space="preserve">--verify</w:t>
            </w:r>
            <w:r>
              <w:t xml:space="preserve">, the job joins MLlib's own predictions with the Jiffle map pixel by pixel. On the test scene they agree on </w:t>
            </w:r>
            <w:r>
              <w:rPr>
                <w:b/>
                <w:bCs/>
              </w:rPr>
              <w:t xml:space="preserve">100.000 %</w:t>
            </w:r>
            <w:r>
              <w:t xml:space="preserve"> of the 1,069,499 valid pixels (k = 8; one run at k = 8 with shape-only features differed on a single pixel — a floating-point tie).</w:t>
            </w:r>
          </w:p>
        </w:tc>
      </w:tr>
    </w:tbl>
    <w:p>
      <w:pPr>
        <w:spacing w:after="120"/>
      </w:pPr>
    </w:p>
    <w:p>
      <w:pPr>
        <w:pStyle w:val="Heading2"/>
      </w:pPr>
      <w:bookmarkStart w:name="_Toc22" w:id="22"/>
      <w:r>
        <w:t xml:space="preserve">6.5 Cluster labelling</w:t>
      </w:r>
      <w:bookmarkEnd w:id="22"/>
    </w:p>
    <w:p>
      <w:r>
        <w:t xml:space="preserve">Each cluster's mean reflectance (stored values × the cube's scale factor) is converted to three normalised-difference indices and labelled by standard thresholds, checked in this order:</w:t>
      </w:r>
    </w:p>
    <w:p>
      <w:pPr>
        <w:keepNext/>
        <w:spacing w:after="80" w:before="160"/>
      </w:pPr>
      <w:r>
        <w:rPr>
          <w:b/>
          <w:bCs/>
          <w:color w:val="52514E"/>
          <w:sz w:val="18"/>
          <w:szCs w:val="18"/>
        </w:rPr>
        <w:t xml:space="preserve">Table 11.</w:t>
      </w:r>
      <w:r>
        <w:rPr>
          <w:color w:val="52514E"/>
          <w:sz w:val="18"/>
          <w:szCs w:val="18"/>
        </w:rPr>
        <w:t xml:space="preserve"> Labelling rules (</w:t>
      </w:r>
      <w:r>
        <w:rPr>
          <w:rFonts w:ascii="Courier New" w:cs="Courier New" w:eastAsia="Courier New" w:hAnsi="Courier New"/>
          <w:color w:val="52514E"/>
          <w:sz w:val="16"/>
          <w:szCs w:val="16"/>
        </w:rPr>
        <w:t xml:space="preserve">ml_jiffle.suggest_label</w:t>
      </w:r>
      <w:r>
        <w:rPr>
          <w:color w:val="52514E"/>
          <w:sz w:val="18"/>
          <w:szCs w:val="18"/>
        </w:rPr>
        <w:t xml:space="preserve">). Labels are suggestions; the cluster table keeps the indices so a user can relabel.</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258"/>
        <w:gridCol w:w="3313"/>
        <w:gridCol w:w="4067"/>
      </w:tblGrid>
      <w:tr>
        <w:trPr>
          <w:cantSplit/>
          <w:tblHeader/>
        </w:trPr>
        <w:tc>
          <w:tcPr>
            <w:tcW w:type="dxa" w:w="225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Label</w:t>
            </w:r>
          </w:p>
        </w:tc>
        <w:tc>
          <w:tcPr>
            <w:tcW w:type="dxa" w:w="33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Rule</w:t>
            </w:r>
          </w:p>
        </w:tc>
        <w:tc>
          <w:tcPr>
            <w:tcW w:type="dxa" w:w="406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Basis</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Snow/ice</w:t>
            </w:r>
          </w:p>
        </w:tc>
        <w:tc>
          <w:tcPr>
            <w:tcW w:type="dxa" w:w="3313"/>
            <w:tcMar>
              <w:top w:type="dxa" w:w="60"/>
              <w:left w:type="dxa" w:w="90"/>
              <w:bottom w:type="dxa" w:w="60"/>
              <w:right w:type="dxa" w:w="90"/>
            </w:tcMar>
            <w:vAlign w:val="center"/>
          </w:tcPr>
          <w:p>
            <w:pPr>
              <w:spacing w:after="20" w:line="250"/>
            </w:pPr>
            <w:r>
              <w:rPr>
                <w:sz w:val="18"/>
                <w:szCs w:val="18"/>
              </w:rPr>
              <w:t xml:space="preserve">NDSI &gt; 0.4 and green reflectance ≥ 0.2</w:t>
            </w:r>
          </w:p>
        </w:tc>
        <w:tc>
          <w:tcPr>
            <w:tcW w:type="dxa" w:w="4067"/>
            <w:tcMar>
              <w:top w:type="dxa" w:w="60"/>
              <w:left w:type="dxa" w:w="90"/>
              <w:bottom w:type="dxa" w:w="60"/>
              <w:right w:type="dxa" w:w="90"/>
            </w:tcMar>
            <w:vAlign w:val="center"/>
          </w:tcPr>
          <w:p>
            <w:pPr>
              <w:spacing w:after="20" w:line="250"/>
            </w:pPr>
            <w:r>
              <w:rPr>
                <w:sz w:val="18"/>
                <w:szCs w:val="18"/>
              </w:rPr>
              <w:t xml:space="preserve">MODIS snow rule (NDSI = (G − SWIR1)/(G + SWIR1)); brightness separates snow from water, which also has high NDSI</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Water</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NDWI &gt; 0 and NIR &lt; 0.15</w:t>
            </w:r>
          </w:p>
        </w:tc>
        <w:tc>
          <w:tcPr>
            <w:tcW w:type="dxa" w:w="4067"/>
            <w:shd w:fill="F3F6FA" w:color="auto" w:val="clear"/>
            <w:tcMar>
              <w:top w:type="dxa" w:w="60"/>
              <w:left w:type="dxa" w:w="90"/>
              <w:bottom w:type="dxa" w:w="60"/>
              <w:right w:type="dxa" w:w="90"/>
            </w:tcMar>
            <w:vAlign w:val="center"/>
          </w:tcPr>
          <w:p>
            <w:pPr>
              <w:spacing w:after="20" w:line="250"/>
            </w:pPr>
            <w:r>
              <w:rPr>
                <w:sz w:val="18"/>
                <w:szCs w:val="18"/>
              </w:rPr>
              <w:t xml:space="preserve">McFeeters NDWI = (G − NIR)/(G + NIR)</w:t>
            </w: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Dense vegetation</w:t>
            </w:r>
          </w:p>
        </w:tc>
        <w:tc>
          <w:tcPr>
            <w:tcW w:type="dxa" w:w="3313"/>
            <w:tcMar>
              <w:top w:type="dxa" w:w="60"/>
              <w:left w:type="dxa" w:w="90"/>
              <w:bottom w:type="dxa" w:w="60"/>
              <w:right w:type="dxa" w:w="90"/>
            </w:tcMar>
            <w:vAlign w:val="center"/>
          </w:tcPr>
          <w:p>
            <w:pPr>
              <w:spacing w:after="20" w:line="250"/>
            </w:pPr>
            <w:r>
              <w:rPr>
                <w:sz w:val="18"/>
                <w:szCs w:val="18"/>
              </w:rPr>
              <w:t xml:space="preserve">NDVI &gt; 0.6</w:t>
            </w:r>
          </w:p>
        </w:tc>
        <w:tc>
          <w:tcPr>
            <w:tcW w:type="dxa" w:w="4067"/>
            <w:tcMar>
              <w:top w:type="dxa" w:w="60"/>
              <w:left w:type="dxa" w:w="90"/>
              <w:bottom w:type="dxa" w:w="60"/>
              <w:right w:type="dxa" w:w="90"/>
            </w:tcMar>
            <w:vAlign w:val="center"/>
          </w:tcPr>
          <w:p>
            <w:pPr>
              <w:spacing w:after="20" w:line="250"/>
            </w:pPr>
            <w:r>
              <w:rPr>
                <w:sz w:val="18"/>
                <w:szCs w:val="18"/>
              </w:rPr>
              <w:t xml:space="preserve">NDVI = (NIR − R)/(NIR + R)</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Sparse vegetation/grass</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NDVI &gt; 0.3</w:t>
            </w:r>
          </w:p>
        </w:tc>
        <w:tc>
          <w:tcPr>
            <w:tcW w:type="dxa" w:w="4067"/>
            <w:shd w:fill="F3F6FA" w:color="auto" w:val="clear"/>
            <w:tcMar>
              <w:top w:type="dxa" w:w="60"/>
              <w:left w:type="dxa" w:w="90"/>
              <w:bottom w:type="dxa" w:w="60"/>
              <w:right w:type="dxa" w:w="90"/>
            </w:tcMar>
            <w:vAlign w:val="center"/>
          </w:tcPr>
          <w:p>
            <w:pPr>
              <w:spacing w:after="20" w:line="250"/>
            </w:pPr>
          </w:p>
        </w:tc>
      </w:tr>
      <w:tr>
        <w:trPr>
          <w:cantSplit/>
        </w:trPr>
        <w:tc>
          <w:tcPr>
            <w:tcW w:type="dxa" w:w="2258"/>
            <w:tcMar>
              <w:top w:type="dxa" w:w="60"/>
              <w:left w:type="dxa" w:w="90"/>
              <w:bottom w:type="dxa" w:w="60"/>
              <w:right w:type="dxa" w:w="90"/>
            </w:tcMar>
            <w:vAlign w:val="center"/>
          </w:tcPr>
          <w:p>
            <w:pPr>
              <w:spacing w:after="20" w:line="250"/>
            </w:pPr>
            <w:r>
              <w:rPr>
                <w:sz w:val="18"/>
                <w:szCs w:val="18"/>
              </w:rPr>
              <w:t xml:space="preserve">Shadow/dark surface</w:t>
            </w:r>
          </w:p>
        </w:tc>
        <w:tc>
          <w:tcPr>
            <w:tcW w:type="dxa" w:w="3313"/>
            <w:tcMar>
              <w:top w:type="dxa" w:w="60"/>
              <w:left w:type="dxa" w:w="90"/>
              <w:bottom w:type="dxa" w:w="60"/>
              <w:right w:type="dxa" w:w="90"/>
            </w:tcMar>
            <w:vAlign w:val="center"/>
          </w:tcPr>
          <w:p>
            <w:pPr>
              <w:spacing w:after="20" w:line="250"/>
            </w:pPr>
            <w:r>
              <w:rPr>
                <w:sz w:val="18"/>
                <w:szCs w:val="18"/>
              </w:rPr>
              <w:t xml:space="preserve">mean reflectance &lt; 0.05</w:t>
            </w:r>
          </w:p>
        </w:tc>
        <w:tc>
          <w:tcPr>
            <w:tcW w:type="dxa" w:w="4067"/>
            <w:tcMar>
              <w:top w:type="dxa" w:w="60"/>
              <w:left w:type="dxa" w:w="90"/>
              <w:bottom w:type="dxa" w:w="60"/>
              <w:right w:type="dxa" w:w="90"/>
            </w:tcMar>
            <w:vAlign w:val="center"/>
          </w:tcPr>
          <w:p>
            <w:pPr>
              <w:spacing w:after="20" w:line="250"/>
            </w:pPr>
          </w:p>
        </w:tc>
      </w:tr>
      <w:tr>
        <w:trPr>
          <w:cantSplit/>
        </w:trPr>
        <w:tc>
          <w:tcPr>
            <w:tcW w:type="dxa" w:w="2258"/>
            <w:shd w:fill="F3F6FA" w:color="auto" w:val="clear"/>
            <w:tcMar>
              <w:top w:type="dxa" w:w="60"/>
              <w:left w:type="dxa" w:w="90"/>
              <w:bottom w:type="dxa" w:w="60"/>
              <w:right w:type="dxa" w:w="90"/>
            </w:tcMar>
            <w:vAlign w:val="center"/>
          </w:tcPr>
          <w:p>
            <w:pPr>
              <w:spacing w:after="20" w:line="250"/>
            </w:pPr>
            <w:r>
              <w:rPr>
                <w:sz w:val="18"/>
                <w:szCs w:val="18"/>
              </w:rPr>
              <w:t xml:space="preserve">Bare rock/soil</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otherwise</w:t>
            </w:r>
          </w:p>
        </w:tc>
        <w:tc>
          <w:tcPr>
            <w:tcW w:type="dxa" w:w="4067"/>
            <w:shd w:fill="F3F6FA" w:color="auto" w:val="clear"/>
            <w:tcMar>
              <w:top w:type="dxa" w:w="60"/>
              <w:left w:type="dxa" w:w="90"/>
              <w:bottom w:type="dxa" w:w="60"/>
              <w:right w:type="dxa" w:w="90"/>
            </w:tcMar>
            <w:vAlign w:val="center"/>
          </w:tcPr>
          <w:p>
            <w:pPr>
              <w:spacing w:after="20" w:line="250"/>
            </w:pPr>
          </w:p>
        </w:tc>
      </w:tr>
    </w:tbl>
    <w:p>
      <w:pPr>
        <w:spacing w:after="120"/>
      </w:pPr>
    </w:p>
    <w:p>
      <w:pPr>
        <w:pStyle w:val="Heading2"/>
      </w:pPr>
      <w:bookmarkStart w:name="_Toc23" w:id="23"/>
      <w:r>
        <w:t xml:space="preserve">6.6 Outputs</w:t>
      </w:r>
      <w:bookmarkEnd w:id="23"/>
    </w:p>
    <w:p>
      <w:pPr>
        <w:keepNext/>
        <w:spacing w:after="80" w:before="160"/>
      </w:pPr>
      <w:r>
        <w:rPr>
          <w:b/>
          <w:bCs/>
          <w:color w:val="52514E"/>
          <w:sz w:val="18"/>
          <w:szCs w:val="18"/>
        </w:rPr>
        <w:t xml:space="preserve">Table 12.</w:t>
      </w:r>
      <w:r>
        <w:rPr>
          <w:color w:val="52514E"/>
          <w:sz w:val="18"/>
          <w:szCs w:val="18"/>
        </w:rPr>
        <w:t xml:space="preserve"> Q5 outputs (inside the work folder printed in the log).</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463"/>
        <w:gridCol w:w="6175"/>
      </w:tblGrid>
      <w:tr>
        <w:trPr>
          <w:cantSplit/>
          <w:tblHeader/>
        </w:trPr>
        <w:tc>
          <w:tcPr>
            <w:tcW w:type="dxa" w:w="346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File</w:t>
            </w:r>
          </w:p>
        </w:tc>
        <w:tc>
          <w:tcPr>
            <w:tcW w:type="dxa" w:w="617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Content</w:t>
            </w:r>
          </w:p>
        </w:tc>
      </w:tr>
      <w:tr>
        <w:trPr>
          <w:cantSplit/>
        </w:trPr>
        <w:tc>
          <w:tcPr>
            <w:tcW w:type="dxa" w:w="3463"/>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sedona_results/clusters.csv</w:t>
            </w:r>
          </w:p>
        </w:tc>
        <w:tc>
          <w:tcPr>
            <w:tcW w:type="dxa" w:w="6175"/>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cluster, suggested_label, pixels, pct, ndvi, ndwi, ndsi, refl_blue … refl_swir2</w:t>
            </w:r>
            <w:r>
              <w:rPr>
                <w:sz w:val="18"/>
                <w:szCs w:val="18"/>
              </w:rPr>
              <w:t xml:space="preserve"> — one row per cluster</w:t>
            </w:r>
          </w:p>
        </w:tc>
      </w:tr>
      <w:tr>
        <w:trPr>
          <w:cantSplit/>
        </w:trPr>
        <w:tc>
          <w:tcPr>
            <w:tcW w:type="dxa" w:w="3463"/>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sedona_results/run_info.csv</w:t>
            </w:r>
          </w:p>
        </w:tc>
        <w:tc>
          <w:tcPr>
            <w:tcW w:type="dxa" w:w="6175"/>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k, features, sample, seed, bands, tiles, valid_pixels, fit_sec, wall_sec, jiffle_chars, agreement</w:t>
            </w:r>
          </w:p>
        </w:tc>
      </w:tr>
      <w:tr>
        <w:trPr>
          <w:cantSplit/>
        </w:trPr>
        <w:tc>
          <w:tcPr>
            <w:tcW w:type="dxa" w:w="3463"/>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class_tiles/…/tile_r####_c####_kmeans.tif</w:t>
            </w:r>
          </w:p>
        </w:tc>
        <w:tc>
          <w:tcPr>
            <w:tcW w:type="dxa" w:w="6175"/>
            <w:tcMar>
              <w:top w:type="dxa" w:w="60"/>
              <w:left w:type="dxa" w:w="90"/>
              <w:bottom w:type="dxa" w:w="60"/>
              <w:right w:type="dxa" w:w="90"/>
            </w:tcMar>
            <w:vAlign w:val="center"/>
          </w:tcPr>
          <w:p>
            <w:pPr>
              <w:spacing w:after="20" w:line="250"/>
            </w:pPr>
            <w:r>
              <w:rPr>
                <w:sz w:val="18"/>
                <w:szCs w:val="18"/>
              </w:rPr>
              <w:t xml:space="preserve">Unsigned-byte class map per tile (value = cluster id, no-data 255)</w:t>
            </w:r>
          </w:p>
        </w:tc>
      </w:tr>
      <w:tr>
        <w:trPr>
          <w:cantSplit/>
        </w:trPr>
        <w:tc>
          <w:tcPr>
            <w:tcW w:type="dxa" w:w="3463"/>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kmeans_classes.vrt</w:t>
            </w:r>
          </w:p>
        </w:tc>
        <w:tc>
          <w:tcPr>
            <w:tcW w:type="dxa" w:w="6175"/>
            <w:shd w:fill="F3F6FA" w:color="auto" w:val="clear"/>
            <w:tcMar>
              <w:top w:type="dxa" w:w="60"/>
              <w:left w:type="dxa" w:w="90"/>
              <w:bottom w:type="dxa" w:w="60"/>
              <w:right w:type="dxa" w:w="90"/>
            </w:tcMar>
            <w:vAlign w:val="center"/>
          </w:tcPr>
          <w:p>
            <w:pPr>
              <w:spacing w:after="20" w:line="250"/>
            </w:pPr>
            <w:r>
              <w:rPr>
                <w:sz w:val="18"/>
                <w:szCs w:val="18"/>
              </w:rPr>
              <w:t xml:space="preserve">Mosaic of the class tiles, loaded on the canvas with a paletted renderer; repeated labels are shaded darker so they stay distinguishable</w:t>
            </w:r>
          </w:p>
        </w:tc>
      </w:tr>
    </w:tbl>
    <w:p>
      <w:pPr>
        <w:spacing w:after="120"/>
      </w:pPr>
    </w:p>
    <w:p>
      <w:pPr>
        <w:pStyle w:val="Heading2"/>
      </w:pPr>
      <w:bookmarkStart w:name="_Toc24" w:id="24"/>
      <w:r>
        <w:t xml:space="preserve">6.7 Results on the test scene</w:t>
      </w:r>
      <w:bookmarkEnd w:id="24"/>
    </w:p>
    <w:p>
      <w:pPr>
        <w:keepNext/>
        <w:spacing w:after="60" w:before="120"/>
        <w:jc w:val="center"/>
      </w:pPr>
      <w:r>
        <w:drawing>
          <wp:inline distT="0" distB="0" distL="0" distR="0">
            <wp:extent cx="6124575" cy="4400550"/>
            <wp:effectExtent t="0" r="0" b="0" l="0"/>
            <wp:docPr id="9" name="map_kmeans.png" descr="Q5 land-cover map, k = 8, shape + brightness features (the plugin's legend colours)." title="Q5 land-cover map, k = 8, shape + brightness features (the plugin's legend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400550"/>
                    </a:xfrm>
                    <a:prstGeom prst="rect">
                      <a:avLst/>
                    </a:prstGeom>
                  </pic:spPr>
                </pic:pic>
              </a:graphicData>
            </a:graphic>
          </wp:inline>
        </w:drawing>
      </w:r>
    </w:p>
    <w:p>
      <w:pPr>
        <w:spacing w:after="200"/>
      </w:pPr>
      <w:r>
        <w:rPr>
          <w:b/>
          <w:bCs/>
          <w:color w:val="52514E"/>
          <w:sz w:val="18"/>
          <w:szCs w:val="18"/>
        </w:rPr>
        <w:t xml:space="preserve">Figure 9.</w:t>
      </w:r>
      <w:r>
        <w:rPr>
          <w:color w:val="52514E"/>
          <w:sz w:val="18"/>
          <w:szCs w:val="18"/>
        </w:rPr>
        <w:t xml:space="preserve"> Q5 land-cover map, k = 8, shape + brightness features (the plugin's legend colours).</w:t>
      </w:r>
    </w:p>
    <w:p>
      <w:pPr>
        <w:keepNext/>
        <w:spacing w:after="60" w:before="120"/>
        <w:jc w:val="center"/>
      </w:pPr>
      <w:r>
        <w:drawing>
          <wp:inline distT="0" distB="0" distL="0" distR="0">
            <wp:extent cx="5391150" cy="2419350"/>
            <wp:effectExtent t="0" r="0" b="0" l="0"/>
            <wp:docPr id="10" name="chart_q5_clusters.png" descr="Cluster composition. Three forest clusters differ in NDVI and illumination; water is rare (0.27 %) but isolated." title="Cluster composition. Three forest clusters differ in NDVI and illumination; water is rare (0.27 %) but iso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91150" cy="2419350"/>
                    </a:xfrm>
                    <a:prstGeom prst="rect">
                      <a:avLst/>
                    </a:prstGeom>
                  </pic:spPr>
                </pic:pic>
              </a:graphicData>
            </a:graphic>
          </wp:inline>
        </w:drawing>
      </w:r>
    </w:p>
    <w:p>
      <w:pPr>
        <w:spacing w:after="200"/>
      </w:pPr>
      <w:r>
        <w:rPr>
          <w:b/>
          <w:bCs/>
          <w:color w:val="52514E"/>
          <w:sz w:val="18"/>
          <w:szCs w:val="18"/>
        </w:rPr>
        <w:t xml:space="preserve">Figure 10.</w:t>
      </w:r>
      <w:r>
        <w:rPr>
          <w:color w:val="52514E"/>
          <w:sz w:val="18"/>
          <w:szCs w:val="18"/>
        </w:rPr>
        <w:t xml:space="preserve"> Cluster composition. Three forest clusters differ in NDVI and illumination; water is rare (0.27 %) but isolated.</w:t>
      </w:r>
    </w:p>
    <w:p>
      <w:pPr>
        <w:keepNext/>
        <w:spacing w:after="80" w:before="160"/>
      </w:pPr>
      <w:r>
        <w:rPr>
          <w:b/>
          <w:bCs/>
          <w:color w:val="52514E"/>
          <w:sz w:val="18"/>
          <w:szCs w:val="18"/>
        </w:rPr>
        <w:t xml:space="preserve">Table 13.</w:t>
      </w:r>
      <w:r>
        <w:rPr>
          <w:color w:val="52514E"/>
          <w:sz w:val="18"/>
          <w:szCs w:val="18"/>
        </w:rPr>
        <w:t xml:space="preserve"> Q5 validation (k = 8, seed 42). EnMAP quality masks are outputs of DLR's processor — a reference, not field truth.</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4969"/>
        <w:gridCol w:w="4669"/>
      </w:tblGrid>
      <w:tr>
        <w:trPr>
          <w:cantSplit/>
          <w:tblHeader/>
        </w:trPr>
        <w:tc>
          <w:tcPr>
            <w:tcW w:type="dxa" w:w="496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Check</w:t>
            </w:r>
          </w:p>
        </w:tc>
        <w:tc>
          <w:tcPr>
            <w:tcW w:type="dxa" w:w="466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Result</w:t>
            </w:r>
          </w:p>
        </w:tc>
      </w:tr>
      <w:tr>
        <w:trPr>
          <w:cantSplit/>
        </w:trPr>
        <w:tc>
          <w:tcPr>
            <w:tcW w:type="dxa" w:w="4969"/>
            <w:tcMar>
              <w:top w:type="dxa" w:w="60"/>
              <w:left w:type="dxa" w:w="90"/>
              <w:bottom w:type="dxa" w:w="60"/>
              <w:right w:type="dxa" w:w="90"/>
            </w:tcMar>
            <w:vAlign w:val="center"/>
          </w:tcPr>
          <w:p>
            <w:pPr>
              <w:spacing w:after="20" w:line="250"/>
            </w:pPr>
            <w:r>
              <w:rPr>
                <w:sz w:val="18"/>
                <w:szCs w:val="18"/>
              </w:rPr>
              <w:t xml:space="preserve">Background (no-data) pixels in the map vs EnMAP's QL background class</w:t>
            </w:r>
          </w:p>
        </w:tc>
        <w:tc>
          <w:tcPr>
            <w:tcW w:type="dxa" w:w="4669"/>
            <w:tcMar>
              <w:top w:type="dxa" w:w="60"/>
              <w:left w:type="dxa" w:w="90"/>
              <w:bottom w:type="dxa" w:w="60"/>
              <w:right w:type="dxa" w:w="90"/>
            </w:tcMar>
            <w:vAlign w:val="center"/>
          </w:tcPr>
          <w:p>
            <w:pPr>
              <w:spacing w:after="20" w:line="250"/>
            </w:pPr>
            <w:r>
              <w:rPr>
                <w:sz w:val="18"/>
                <w:szCs w:val="18"/>
              </w:rPr>
              <w:t xml:space="preserve">461,445 = 461,445</w:t>
            </w:r>
          </w:p>
        </w:tc>
      </w:tr>
      <w:tr>
        <w:trPr>
          <w:cantSplit/>
        </w:trPr>
        <w:tc>
          <w:tcPr>
            <w:tcW w:type="dxa" w:w="4969"/>
            <w:shd w:fill="F3F6FA" w:color="auto" w:val="clear"/>
            <w:tcMar>
              <w:top w:type="dxa" w:w="60"/>
              <w:left w:type="dxa" w:w="90"/>
              <w:bottom w:type="dxa" w:w="60"/>
              <w:right w:type="dxa" w:w="90"/>
            </w:tcMar>
            <w:vAlign w:val="center"/>
          </w:tcPr>
          <w:p>
            <w:pPr>
              <w:spacing w:after="20" w:line="250"/>
            </w:pPr>
            <w:r>
              <w:rPr>
                <w:sz w:val="18"/>
                <w:szCs w:val="18"/>
              </w:rPr>
              <w:t xml:space="preserve">Cluster labelled </w:t>
            </w:r>
            <w:r>
              <w:rPr>
                <w:i/>
                <w:iCs/>
                <w:sz w:val="18"/>
                <w:szCs w:val="18"/>
              </w:rPr>
              <w:t xml:space="preserve">Water</w:t>
            </w:r>
            <w:r>
              <w:rPr>
                <w:sz w:val="18"/>
                <w:szCs w:val="18"/>
              </w:rPr>
              <w:t xml:space="preserve"> vs QL water class</w:t>
            </w:r>
          </w:p>
        </w:tc>
        <w:tc>
          <w:tcPr>
            <w:tcW w:type="dxa" w:w="4669"/>
            <w:shd w:fill="F3F6FA" w:color="auto" w:val="clear"/>
            <w:tcMar>
              <w:top w:type="dxa" w:w="60"/>
              <w:left w:type="dxa" w:w="90"/>
              <w:bottom w:type="dxa" w:w="60"/>
              <w:right w:type="dxa" w:w="90"/>
            </w:tcMar>
            <w:vAlign w:val="center"/>
          </w:tcPr>
          <w:p>
            <w:pPr>
              <w:spacing w:after="20" w:line="250"/>
            </w:pPr>
            <w:r>
              <w:rPr>
                <w:sz w:val="18"/>
                <w:szCs w:val="18"/>
              </w:rPr>
              <w:t xml:space="preserve">IoU 0.578 · precision 0.820 · recall 0.662</w:t>
            </w:r>
          </w:p>
        </w:tc>
      </w:tr>
      <w:tr>
        <w:trPr>
          <w:cantSplit/>
        </w:trPr>
        <w:tc>
          <w:tcPr>
            <w:tcW w:type="dxa" w:w="4969"/>
            <w:tcMar>
              <w:top w:type="dxa" w:w="60"/>
              <w:left w:type="dxa" w:w="90"/>
              <w:bottom w:type="dxa" w:w="60"/>
              <w:right w:type="dxa" w:w="90"/>
            </w:tcMar>
            <w:vAlign w:val="center"/>
          </w:tcPr>
          <w:p>
            <w:pPr>
              <w:spacing w:after="20" w:line="250"/>
            </w:pPr>
            <w:r>
              <w:rPr>
                <w:sz w:val="18"/>
                <w:szCs w:val="18"/>
              </w:rPr>
              <w:t xml:space="preserve">Cluster labelled </w:t>
            </w:r>
            <w:r>
              <w:rPr>
                <w:i/>
                <w:iCs/>
                <w:sz w:val="18"/>
                <w:szCs w:val="18"/>
              </w:rPr>
              <w:t xml:space="preserve">Snow/ice</w:t>
            </w:r>
            <w:r>
              <w:rPr>
                <w:sz w:val="18"/>
                <w:szCs w:val="18"/>
              </w:rPr>
              <w:t xml:space="preserve"> vs QL snow mask</w:t>
            </w:r>
          </w:p>
        </w:tc>
        <w:tc>
          <w:tcPr>
            <w:tcW w:type="dxa" w:w="4669"/>
            <w:tcMar>
              <w:top w:type="dxa" w:w="60"/>
              <w:left w:type="dxa" w:w="90"/>
              <w:bottom w:type="dxa" w:w="60"/>
              <w:right w:type="dxa" w:w="90"/>
            </w:tcMar>
            <w:vAlign w:val="center"/>
          </w:tcPr>
          <w:p>
            <w:pPr>
              <w:spacing w:after="20" w:line="250"/>
            </w:pPr>
            <w:r>
              <w:rPr>
                <w:sz w:val="18"/>
                <w:szCs w:val="18"/>
              </w:rPr>
              <w:t xml:space="preserve">IoU 0.655 · precision 0.922 · recall 0.693</w:t>
            </w:r>
          </w:p>
        </w:tc>
      </w:tr>
      <w:tr>
        <w:trPr>
          <w:cantSplit/>
        </w:trPr>
        <w:tc>
          <w:tcPr>
            <w:tcW w:type="dxa" w:w="4969"/>
            <w:shd w:fill="F3F6FA" w:color="auto" w:val="clear"/>
            <w:tcMar>
              <w:top w:type="dxa" w:w="60"/>
              <w:left w:type="dxa" w:w="90"/>
              <w:bottom w:type="dxa" w:w="60"/>
              <w:right w:type="dxa" w:w="90"/>
            </w:tcMar>
            <w:vAlign w:val="center"/>
          </w:tcPr>
          <w:p>
            <w:pPr>
              <w:spacing w:after="20" w:line="250"/>
            </w:pPr>
            <w:r>
              <w:rPr>
                <w:sz w:val="18"/>
                <w:szCs w:val="18"/>
              </w:rPr>
              <w:t xml:space="preserve">MLlib predictions vs Jiffle map</w:t>
            </w:r>
          </w:p>
        </w:tc>
        <w:tc>
          <w:tcPr>
            <w:tcW w:type="dxa" w:w="4669"/>
            <w:shd w:fill="F3F6FA" w:color="auto" w:val="clear"/>
            <w:tcMar>
              <w:top w:type="dxa" w:w="60"/>
              <w:left w:type="dxa" w:w="90"/>
              <w:bottom w:type="dxa" w:w="60"/>
              <w:right w:type="dxa" w:w="90"/>
            </w:tcMar>
            <w:vAlign w:val="center"/>
          </w:tcPr>
          <w:p>
            <w:pPr>
              <w:spacing w:after="20" w:line="250"/>
            </w:pPr>
            <w:r>
              <w:rPr>
                <w:sz w:val="18"/>
                <w:szCs w:val="18"/>
              </w:rPr>
              <w:t xml:space="preserve">100.000 % agreement</w:t>
            </w:r>
          </w:p>
        </w:tc>
      </w:tr>
      <w:tr>
        <w:trPr>
          <w:cantSplit/>
        </w:trPr>
        <w:tc>
          <w:tcPr>
            <w:tcW w:type="dxa" w:w="4969"/>
            <w:tcMar>
              <w:top w:type="dxa" w:w="60"/>
              <w:left w:type="dxa" w:w="90"/>
              <w:bottom w:type="dxa" w:w="60"/>
              <w:right w:type="dxa" w:w="90"/>
            </w:tcMar>
            <w:vAlign w:val="center"/>
          </w:tcPr>
          <w:p>
            <w:pPr>
              <w:spacing w:after="20" w:line="250"/>
            </w:pPr>
            <w:r>
              <w:rPr>
                <w:sz w:val="18"/>
                <w:szCs w:val="18"/>
              </w:rPr>
              <w:t xml:space="preserve">Wall time (whole scene, including Spark start-up)</w:t>
            </w:r>
          </w:p>
        </w:tc>
        <w:tc>
          <w:tcPr>
            <w:tcW w:type="dxa" w:w="4669"/>
            <w:tcMar>
              <w:top w:type="dxa" w:w="60"/>
              <w:left w:type="dxa" w:w="90"/>
              <w:bottom w:type="dxa" w:w="60"/>
              <w:right w:type="dxa" w:w="90"/>
            </w:tcMar>
            <w:vAlign w:val="center"/>
          </w:tcPr>
          <w:p>
            <w:pPr>
              <w:spacing w:after="20" w:line="250"/>
            </w:pPr>
            <w:r>
              <w:rPr>
                <w:sz w:val="18"/>
                <w:szCs w:val="18"/>
              </w:rPr>
              <w:t xml:space="preserve">12–14 s; training ≈ 3–4 s</w:t>
            </w:r>
          </w:p>
        </w:tc>
      </w:tr>
      <w:tr>
        <w:trPr>
          <w:cantSplit/>
        </w:trPr>
        <w:tc>
          <w:tcPr>
            <w:tcW w:type="dxa" w:w="4969"/>
            <w:shd w:fill="F3F6FA" w:color="auto" w:val="clear"/>
            <w:tcMar>
              <w:top w:type="dxa" w:w="60"/>
              <w:left w:type="dxa" w:w="90"/>
              <w:bottom w:type="dxa" w:w="60"/>
              <w:right w:type="dxa" w:w="90"/>
            </w:tcMar>
            <w:vAlign w:val="center"/>
          </w:tcPr>
          <w:p>
            <w:pPr>
              <w:spacing w:after="20" w:line="250"/>
            </w:pPr>
            <w:r>
              <w:rPr>
                <w:sz w:val="18"/>
                <w:szCs w:val="18"/>
              </w:rPr>
              <w:t xml:space="preserve">Clouds</w:t>
            </w:r>
          </w:p>
        </w:tc>
        <w:tc>
          <w:tcPr>
            <w:tcW w:type="dxa" w:w="4669"/>
            <w:shd w:fill="F3F6FA" w:color="auto" w:val="clear"/>
            <w:tcMar>
              <w:top w:type="dxa" w:w="60"/>
              <w:left w:type="dxa" w:w="90"/>
              <w:bottom w:type="dxa" w:w="60"/>
              <w:right w:type="dxa" w:w="90"/>
            </w:tcMar>
            <w:vAlign w:val="center"/>
          </w:tcPr>
          <w:p>
            <w:pPr>
              <w:spacing w:after="20" w:line="250"/>
            </w:pPr>
            <w:r>
              <w:rPr>
                <w:sz w:val="18"/>
                <w:szCs w:val="18"/>
              </w:rPr>
              <w:t xml:space="preserve">Not separable from bright snow with these features (IoU ≤ 0.28 vs the QL cloud mask)</w:t>
            </w:r>
          </w:p>
        </w:tc>
      </w:tr>
    </w:tbl>
    <w:p>
      <w:pPr>
        <w:spacing w:after="120"/>
      </w:pPr>
    </w:p>
    <w:p>
      <w:pPr>
        <w:keepNext/>
        <w:spacing w:after="60" w:before="120"/>
        <w:jc w:val="center"/>
      </w:pPr>
      <w:r>
        <w:drawing>
          <wp:inline distT="0" distB="0" distL="0" distR="0">
            <wp:extent cx="6124575" cy="3657600"/>
            <wp:effectExtent t="0" r="0" b="0" l="0"/>
            <wp:docPr id="11" name="ui_analytics_kmeans_canvas.png" descr="The same result in QGIS 4.2.3: the class map loaded by the plugin with its labelled legend, above the raw EnMAP scene." title="The same result in QGIS 4.2.3: the class map loaded by the plugin with its labelled legend, above the raw EnMAP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657600"/>
                    </a:xfrm>
                    <a:prstGeom prst="rect">
                      <a:avLst/>
                    </a:prstGeom>
                  </pic:spPr>
                </pic:pic>
              </a:graphicData>
            </a:graphic>
          </wp:inline>
        </w:drawing>
      </w:r>
    </w:p>
    <w:p>
      <w:pPr>
        <w:spacing w:after="200"/>
      </w:pPr>
      <w:r>
        <w:rPr>
          <w:b/>
          <w:bCs/>
          <w:color w:val="52514E"/>
          <w:sz w:val="18"/>
          <w:szCs w:val="18"/>
        </w:rPr>
        <w:t xml:space="preserve">Figure 11.</w:t>
      </w:r>
      <w:r>
        <w:rPr>
          <w:color w:val="52514E"/>
          <w:sz w:val="18"/>
          <w:szCs w:val="18"/>
        </w:rPr>
        <w:t xml:space="preserve"> The same result in QGIS 4.2.3: the class map loaded by the plugin with its labelled legend, above the raw EnMAP scene.</w:t>
      </w:r>
    </w:p>
    <w:p>
      <w:pPr>
        <w:pStyle w:val="Heading1"/>
      </w:pPr>
      <w:bookmarkStart w:name="_Toc25" w:id="25"/>
      <w:r>
        <w:t xml:space="preserve">7. Data contracts and the raw-cube tile rules</w:t>
      </w:r>
      <w:bookmarkEnd w:id="25"/>
    </w:p>
    <w:p>
      <w:r>
        <w:t xml:space="preserve">The raster inputs prepared by the plugin follow rules that each prevent a silent error:</w:t>
      </w:r>
    </w:p>
    <w:p>
      <w:pPr>
        <w:keepNext/>
        <w:spacing w:after="80" w:before="160"/>
      </w:pPr>
      <w:r>
        <w:rPr>
          <w:b/>
          <w:bCs/>
          <w:color w:val="52514E"/>
          <w:sz w:val="18"/>
          <w:szCs w:val="18"/>
        </w:rPr>
        <w:t xml:space="preserve">Table 14.</w:t>
      </w:r>
      <w:r>
        <w:rPr>
          <w:color w:val="52514E"/>
          <w:sz w:val="18"/>
          <w:szCs w:val="18"/>
        </w:rPr>
        <w:t xml:space="preserve"> Input rules enforced by </w:t>
      </w:r>
      <w:r>
        <w:rPr>
          <w:rFonts w:ascii="Courier New" w:cs="Courier New" w:eastAsia="Courier New" w:hAnsi="Courier New"/>
          <w:color w:val="52514E"/>
          <w:sz w:val="16"/>
          <w:szCs w:val="16"/>
        </w:rPr>
        <w:t xml:space="preserve">raster_prep</w:t>
      </w:r>
      <w:r>
        <w:rPr>
          <w:color w:val="52514E"/>
          <w:sz w:val="18"/>
          <w:szCs w:val="18"/>
        </w:rPr>
        <w:t xml:space="preserv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861"/>
        <w:gridCol w:w="1355"/>
        <w:gridCol w:w="5422"/>
      </w:tblGrid>
      <w:tr>
        <w:trPr>
          <w:cantSplit/>
          <w:tblHeader/>
        </w:trPr>
        <w:tc>
          <w:tcPr>
            <w:tcW w:type="dxa" w:w="286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Rule</w:t>
            </w:r>
          </w:p>
        </w:tc>
        <w:tc>
          <w:tcPr>
            <w:tcW w:type="dxa" w:w="1355"/>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Applies to</w:t>
            </w:r>
          </w:p>
        </w:tc>
        <w:tc>
          <w:tcPr>
            <w:tcW w:type="dxa" w:w="542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Reason</w:t>
            </w:r>
          </w:p>
        </w:tc>
      </w:tr>
      <w:tr>
        <w:trPr>
          <w:cantSplit/>
        </w:trPr>
        <w:tc>
          <w:tcPr>
            <w:tcW w:type="dxa" w:w="2861"/>
            <w:tcMar>
              <w:top w:type="dxa" w:w="60"/>
              <w:left w:type="dxa" w:w="90"/>
              <w:bottom w:type="dxa" w:w="60"/>
              <w:right w:type="dxa" w:w="90"/>
            </w:tcMar>
            <w:vAlign w:val="center"/>
          </w:tcPr>
          <w:p>
            <w:pPr>
              <w:spacing w:after="20" w:line="250"/>
            </w:pPr>
            <w:r>
              <w:rPr>
                <w:sz w:val="18"/>
                <w:szCs w:val="18"/>
              </w:rPr>
              <w:t xml:space="preserve">Keep raw stored values; strip scale and offset</w:t>
            </w:r>
          </w:p>
        </w:tc>
        <w:tc>
          <w:tcPr>
            <w:tcW w:type="dxa" w:w="1355"/>
            <w:tcMar>
              <w:top w:type="dxa" w:w="60"/>
              <w:left w:type="dxa" w:w="90"/>
              <w:bottom w:type="dxa" w:w="60"/>
              <w:right w:type="dxa" w:w="90"/>
            </w:tcMar>
            <w:vAlign w:val="center"/>
          </w:tcPr>
          <w:p>
            <w:pPr>
              <w:spacing w:after="20" w:line="250"/>
            </w:pPr>
            <w:r>
              <w:rPr>
                <w:sz w:val="18"/>
                <w:szCs w:val="18"/>
              </w:rPr>
              <w:t xml:space="preserve">Q4, Q5 tiles</w:t>
            </w:r>
          </w:p>
        </w:tc>
        <w:tc>
          <w:tcPr>
            <w:tcW w:type="dxa" w:w="5422"/>
            <w:tcMar>
              <w:top w:type="dxa" w:w="60"/>
              <w:left w:type="dxa" w:w="90"/>
              <w:bottom w:type="dxa" w:w="60"/>
              <w:right w:type="dxa" w:w="90"/>
            </w:tcMar>
            <w:vAlign w:val="center"/>
          </w:tcPr>
          <w:p>
            <w:pPr>
              <w:spacing w:after="20" w:line="250"/>
            </w:pPr>
            <w:r>
              <w:rPr>
                <w:sz w:val="18"/>
                <w:szCs w:val="18"/>
              </w:rPr>
              <w:t xml:space="preserve">GeoTools applies a GeoTIFF's scale factor on reading; EnMAP's 0.0001 gain turned the −32768 background into −3.2768 and broke every no-data test. The scale is passed separately (</w:t>
            </w:r>
            <w:r>
              <w:rPr>
                <w:rFonts w:ascii="Courier New" w:cs="Courier New" w:eastAsia="Courier New" w:hAnsi="Courier New"/>
                <w:sz w:val="16"/>
                <w:szCs w:val="16"/>
              </w:rPr>
              <w:t xml:space="preserve">--scale</w:t>
            </w:r>
            <w:r>
              <w:rPr>
                <w:sz w:val="18"/>
                <w:szCs w:val="18"/>
              </w:rPr>
              <w:t xml:space="preserve">) for reporting.</w:t>
            </w:r>
          </w:p>
        </w:tc>
      </w:tr>
      <w:tr>
        <w:trPr>
          <w:cantSplit/>
        </w:trPr>
        <w:tc>
          <w:tcPr>
            <w:tcW w:type="dxa" w:w="2861"/>
            <w:shd w:fill="F3F6FA" w:color="auto" w:val="clear"/>
            <w:tcMar>
              <w:top w:type="dxa" w:w="60"/>
              <w:left w:type="dxa" w:w="90"/>
              <w:bottom w:type="dxa" w:w="60"/>
              <w:right w:type="dxa" w:w="90"/>
            </w:tcMar>
            <w:vAlign w:val="center"/>
          </w:tcPr>
          <w:p>
            <w:pPr>
              <w:spacing w:after="20" w:line="250"/>
            </w:pPr>
            <w:r>
              <w:rPr>
                <w:sz w:val="18"/>
                <w:szCs w:val="18"/>
              </w:rPr>
              <w:t xml:space="preserve">Remove the no-data flag; pass </w:t>
            </w:r>
            <w:r>
              <w:rPr>
                <w:rFonts w:ascii="Courier New" w:cs="Courier New" w:eastAsia="Courier New" w:hAnsi="Courier New"/>
                <w:sz w:val="16"/>
                <w:szCs w:val="16"/>
              </w:rPr>
              <w:t xml:space="preserve">--nodata</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Q4, Q5 tiles</w:t>
            </w:r>
          </w:p>
        </w:tc>
        <w:tc>
          <w:tcPr>
            <w:tcW w:type="dxa" w:w="5422"/>
            <w:shd w:fill="F3F6FA" w:color="auto" w:val="clear"/>
            <w:tcMar>
              <w:top w:type="dxa" w:w="60"/>
              <w:left w:type="dxa" w:w="90"/>
              <w:bottom w:type="dxa" w:w="60"/>
              <w:right w:type="dxa" w:w="90"/>
            </w:tcMar>
            <w:vAlign w:val="center"/>
          </w:tcPr>
          <w:p>
            <w:pPr>
              <w:spacing w:after="20" w:line="250"/>
            </w:pPr>
            <w:r>
              <w:rPr>
                <w:sz w:val="18"/>
                <w:szCs w:val="18"/>
              </w:rPr>
              <w:t xml:space="preserve">Jiffle sees declared no-data pixels as NaN; keeping the sentinel as a plain value and testing it explicitly is reliable.</w:t>
            </w:r>
          </w:p>
        </w:tc>
      </w:tr>
      <w:tr>
        <w:trPr>
          <w:cantSplit/>
        </w:trPr>
        <w:tc>
          <w:tcPr>
            <w:tcW w:type="dxa" w:w="2861"/>
            <w:tcMar>
              <w:top w:type="dxa" w:w="60"/>
              <w:left w:type="dxa" w:w="90"/>
              <w:bottom w:type="dxa" w:w="60"/>
              <w:right w:type="dxa" w:w="90"/>
            </w:tcMar>
            <w:vAlign w:val="center"/>
          </w:tcPr>
          <w:p>
            <w:pPr>
              <w:spacing w:after="20" w:line="250"/>
            </w:pPr>
            <w:r>
              <w:rPr>
                <w:sz w:val="18"/>
                <w:szCs w:val="18"/>
              </w:rPr>
              <w:t xml:space="preserve">256-pixel tiles for Q5</w:t>
            </w:r>
          </w:p>
        </w:tc>
        <w:tc>
          <w:tcPr>
            <w:tcW w:type="dxa" w:w="1355"/>
            <w:tcMar>
              <w:top w:type="dxa" w:w="60"/>
              <w:left w:type="dxa" w:w="90"/>
              <w:bottom w:type="dxa" w:w="60"/>
              <w:right w:type="dxa" w:w="90"/>
            </w:tcMar>
            <w:vAlign w:val="center"/>
          </w:tcPr>
          <w:p>
            <w:pPr>
              <w:spacing w:after="20" w:line="250"/>
            </w:pPr>
            <w:r>
              <w:rPr>
                <w:sz w:val="18"/>
                <w:szCs w:val="18"/>
              </w:rPr>
              <w:t xml:space="preserve">Q5</w:t>
            </w:r>
          </w:p>
        </w:tc>
        <w:tc>
          <w:tcPr>
            <w:tcW w:type="dxa" w:w="5422"/>
            <w:tcMar>
              <w:top w:type="dxa" w:w="60"/>
              <w:left w:type="dxa" w:w="90"/>
              <w:bottom w:type="dxa" w:w="60"/>
              <w:right w:type="dxa" w:w="90"/>
            </w:tcMar>
            <w:vAlign w:val="center"/>
          </w:tcPr>
          <w:p>
            <w:pPr>
              <w:spacing w:after="20" w:line="250"/>
            </w:pPr>
            <w:r>
              <w:rPr>
                <w:sz w:val="18"/>
                <w:szCs w:val="18"/>
              </w:rPr>
              <w:t xml:space="preserve">A whole EnMAP scene as one raster row exhausts the default 1 GB driver heap in </w:t>
            </w:r>
            <w:r>
              <w:rPr>
                <w:rFonts w:ascii="Courier New" w:cs="Courier New" w:eastAsia="Courier New" w:hAnsi="Courier New"/>
                <w:sz w:val="16"/>
                <w:szCs w:val="16"/>
              </w:rPr>
              <w:t xml:space="preserve">RS_BandAsArray</w:t>
            </w:r>
            <w:r>
              <w:rPr>
                <w:sz w:val="18"/>
                <w:szCs w:val="18"/>
              </w:rPr>
              <w:t xml:space="preserve"> / </w:t>
            </w:r>
            <w:r>
              <w:rPr>
                <w:rFonts w:ascii="Courier New" w:cs="Courier New" w:eastAsia="Courier New" w:hAnsi="Courier New"/>
                <w:sz w:val="16"/>
                <w:szCs w:val="16"/>
              </w:rPr>
              <w:t xml:space="preserve">posexplode</w:t>
            </w:r>
            <w:r>
              <w:rPr>
                <w:sz w:val="18"/>
                <w:szCs w:val="18"/>
              </w:rPr>
              <w:t xml:space="preserve">; 256-pixel tiles keep each task small (OOM reproduced in testing).</w:t>
            </w:r>
          </w:p>
        </w:tc>
      </w:tr>
      <w:tr>
        <w:trPr>
          <w:cantSplit/>
        </w:trPr>
        <w:tc>
          <w:tcPr>
            <w:tcW w:type="dxa" w:w="2861"/>
            <w:shd w:fill="F3F6FA" w:color="auto" w:val="clear"/>
            <w:tcMar>
              <w:top w:type="dxa" w:w="60"/>
              <w:left w:type="dxa" w:w="90"/>
              <w:bottom w:type="dxa" w:w="60"/>
              <w:right w:type="dxa" w:w="90"/>
            </w:tcMar>
            <w:vAlign w:val="center"/>
          </w:tcPr>
          <w:p>
            <w:pPr>
              <w:spacing w:after="20" w:line="250"/>
            </w:pPr>
            <w:r>
              <w:rPr>
                <w:sz w:val="18"/>
                <w:szCs w:val="18"/>
              </w:rPr>
              <w:t xml:space="preserve">Only the 7 index bands for Q1–Q3</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Q1–Q3</w:t>
            </w:r>
          </w:p>
        </w:tc>
        <w:tc>
          <w:tcPr>
            <w:tcW w:type="dxa" w:w="542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RS_FromGeoTiff</w:t>
            </w:r>
            <w:r>
              <w:rPr>
                <w:sz w:val="18"/>
                <w:szCs w:val="18"/>
              </w:rPr>
              <w:t xml:space="preserve"> decodes a whole tile per row; the engine's 231-band tiles (~242 MB per 512-pixel tile) exhausted the heap even at 6 GB.</w:t>
            </w:r>
          </w:p>
        </w:tc>
      </w:tr>
      <w:tr>
        <w:trPr>
          <w:cantSplit/>
        </w:trPr>
        <w:tc>
          <w:tcPr>
            <w:tcW w:type="dxa" w:w="2861"/>
            <w:tcMar>
              <w:top w:type="dxa" w:w="60"/>
              <w:left w:type="dxa" w:w="90"/>
              <w:bottom w:type="dxa" w:w="60"/>
              <w:right w:type="dxa" w:w="90"/>
            </w:tcMar>
            <w:vAlign w:val="center"/>
          </w:tcPr>
          <w:p>
            <w:pPr>
              <w:spacing w:after="20" w:line="250"/>
            </w:pPr>
            <w:r>
              <w:rPr>
                <w:sz w:val="18"/>
                <w:szCs w:val="18"/>
              </w:rPr>
              <w:t xml:space="preserve">Temporary input folders</w:t>
            </w:r>
          </w:p>
        </w:tc>
        <w:tc>
          <w:tcPr>
            <w:tcW w:type="dxa" w:w="1355"/>
            <w:tcMar>
              <w:top w:type="dxa" w:w="60"/>
              <w:left w:type="dxa" w:w="90"/>
              <w:bottom w:type="dxa" w:w="60"/>
              <w:right w:type="dxa" w:w="90"/>
            </w:tcMar>
            <w:vAlign w:val="center"/>
          </w:tcPr>
          <w:p>
            <w:pPr>
              <w:spacing w:after="20" w:line="250"/>
            </w:pPr>
            <w:r>
              <w:rPr>
                <w:sz w:val="18"/>
                <w:szCs w:val="18"/>
              </w:rPr>
              <w:t xml:space="preserve">Q1–Q5</w:t>
            </w:r>
          </w:p>
        </w:tc>
        <w:tc>
          <w:tcPr>
            <w:tcW w:type="dxa" w:w="5422"/>
            <w:tcMar>
              <w:top w:type="dxa" w:w="60"/>
              <w:left w:type="dxa" w:w="90"/>
              <w:bottom w:type="dxa" w:w="60"/>
              <w:right w:type="dxa" w:w="90"/>
            </w:tcMar>
            <w:vAlign w:val="center"/>
          </w:tcPr>
          <w:p>
            <w:pPr>
              <w:spacing w:after="20" w:line="250"/>
            </w:pPr>
            <w:r>
              <w:rPr>
                <w:sz w:val="18"/>
                <w:szCs w:val="18"/>
              </w:rPr>
              <w:t xml:space="preserve">Job outputs such as </w:t>
            </w:r>
            <w:r>
              <w:rPr>
                <w:rFonts w:ascii="Courier New" w:cs="Courier New" w:eastAsia="Courier New" w:hAnsi="Courier New"/>
                <w:sz w:val="16"/>
                <w:szCs w:val="16"/>
              </w:rPr>
              <w:t xml:space="preserve">tile_r*_vegmask.tif</w:t>
            </w:r>
            <w:r>
              <w:rPr>
                <w:sz w:val="18"/>
                <w:szCs w:val="18"/>
              </w:rPr>
              <w:t xml:space="preserve"> live under the tiles folder and would otherwise be picked up by the recursive </w:t>
            </w:r>
            <w:r>
              <w:rPr>
                <w:rFonts w:ascii="Courier New" w:cs="Courier New" w:eastAsia="Courier New" w:hAnsi="Courier New"/>
                <w:sz w:val="16"/>
                <w:szCs w:val="16"/>
              </w:rPr>
              <w:t xml:space="preserve">tile_r*.tif</w:t>
            </w:r>
            <w:r>
              <w:rPr>
                <w:sz w:val="18"/>
                <w:szCs w:val="18"/>
              </w:rPr>
              <w:t xml:space="preserve"> glob on the next run.</w:t>
            </w:r>
          </w:p>
        </w:tc>
      </w:tr>
      <w:tr>
        <w:trPr>
          <w:cantSplit/>
        </w:trPr>
        <w:tc>
          <w:tcPr>
            <w:tcW w:type="dxa" w:w="2861"/>
            <w:shd w:fill="F3F6FA" w:color="auto" w:val="clear"/>
            <w:tcMar>
              <w:top w:type="dxa" w:w="60"/>
              <w:left w:type="dxa" w:w="90"/>
              <w:bottom w:type="dxa" w:w="60"/>
              <w:right w:type="dxa" w:w="90"/>
            </w:tcMar>
            <w:vAlign w:val="center"/>
          </w:tcPr>
          <w:p>
            <w:pPr>
              <w:spacing w:after="20" w:line="250"/>
            </w:pPr>
            <w:r>
              <w:rPr>
                <w:sz w:val="18"/>
                <w:szCs w:val="18"/>
              </w:rPr>
              <w:t xml:space="preserve">Coordinate system must survive</w:t>
            </w:r>
          </w:p>
        </w:tc>
        <w:tc>
          <w:tcPr>
            <w:tcW w:type="dxa" w:w="1355"/>
            <w:shd w:fill="F3F6FA" w:color="auto" w:val="clear"/>
            <w:tcMar>
              <w:top w:type="dxa" w:w="60"/>
              <w:left w:type="dxa" w:w="90"/>
              <w:bottom w:type="dxa" w:w="60"/>
              <w:right w:type="dxa" w:w="90"/>
            </w:tcMar>
            <w:vAlign w:val="center"/>
          </w:tcPr>
          <w:p>
            <w:pPr>
              <w:spacing w:after="20" w:line="250"/>
            </w:pPr>
            <w:r>
              <w:rPr>
                <w:sz w:val="18"/>
                <w:szCs w:val="18"/>
              </w:rPr>
              <w:t xml:space="preserve">all</w:t>
            </w:r>
          </w:p>
        </w:tc>
        <w:tc>
          <w:tcPr>
            <w:tcW w:type="dxa" w:w="542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load_tiles</w:t>
            </w:r>
            <w:r>
              <w:rPr>
                <w:sz w:val="18"/>
                <w:szCs w:val="18"/>
              </w:rPr>
              <w:t xml:space="preserve"> drops rasters with no EPSG code (</w:t>
            </w:r>
            <w:r>
              <w:rPr>
                <w:rFonts w:ascii="Courier New" w:cs="Courier New" w:eastAsia="Courier New" w:hAnsi="Courier New"/>
                <w:sz w:val="16"/>
                <w:szCs w:val="16"/>
              </w:rPr>
              <w:t xml:space="preserve">RS_SRID = 0</w:t>
            </w:r>
            <w:r>
              <w:rPr>
                <w:sz w:val="18"/>
                <w:szCs w:val="18"/>
              </w:rPr>
              <w:t xml:space="preserve">). QGIS sets the PROJ database path; scripts run outside QGIS must set </w:t>
            </w:r>
            <w:r>
              <w:rPr>
                <w:rFonts w:ascii="Courier New" w:cs="Courier New" w:eastAsia="Courier New" w:hAnsi="Courier New"/>
                <w:sz w:val="16"/>
                <w:szCs w:val="16"/>
              </w:rPr>
              <w:t xml:space="preserve">PROJ_DATA</w:t>
            </w:r>
            <w:r>
              <w:rPr>
                <w:sz w:val="18"/>
                <w:szCs w:val="18"/>
              </w:rPr>
              <w:t xml:space="preserve">.</w:t>
            </w:r>
          </w:p>
        </w:tc>
      </w:tr>
    </w:tbl>
    <w:p>
      <w:pPr>
        <w:spacing w:after="120"/>
      </w:pPr>
    </w:p>
    <w:p>
      <w:pPr>
        <w:pStyle w:val="Heading1"/>
      </w:pPr>
      <w:bookmarkStart w:name="_Toc26" w:id="26"/>
      <w:r>
        <w:t xml:space="preserve">8. Validation and testing</w:t>
      </w:r>
      <w:bookmarkEnd w:id="26"/>
    </w:p>
    <w:p>
      <w:r>
        <w:t xml:space="preserve">Three test layers live in </w:t>
      </w:r>
      <w:r>
        <w:rPr>
          <w:rFonts w:ascii="Courier New" w:cs="Courier New" w:eastAsia="Courier New" w:hAnsi="Courier New"/>
          <w:sz w:val="19"/>
          <w:szCs w:val="19"/>
        </w:rPr>
        <w:t xml:space="preserve">qgis-plugin/hyperspatial_analytics/tests/</w:t>
      </w:r>
      <w:r>
        <w:t xml:space="preserve"> (outside the packaged plugin).</w:t>
      </w:r>
    </w:p>
    <w:p>
      <w:pPr>
        <w:pStyle w:val="Heading2"/>
      </w:pPr>
      <w:bookmarkStart w:name="_Toc27" w:id="27"/>
      <w:r>
        <w:t xml:space="preserve">8.1 Unit tests (no Spark, no QGIS)</w:t>
      </w:r>
      <w:bookmarkEnd w:id="27"/>
    </w:p>
    <w:p>
      <w:r>
        <w:rPr>
          <w:rFonts w:ascii="Courier New" w:cs="Courier New" w:eastAsia="Courier New" w:hAnsi="Courier New"/>
          <w:sz w:val="19"/>
          <w:szCs w:val="19"/>
        </w:rPr>
        <w:t xml:space="preserve">test_ml_jiffle.py</w:t>
      </w:r>
      <w:r>
        <w:t xml:space="preserve"> — 7 tests. The generated Jiffle script is executed by a small translator in Python and compared with an independent NumPy nearest-centre assignment for all three feature modes; further tests cover no-data and all-zero pixels, negative and tiny constants, invalid inputs, tie-breaking, and the labelling rules on typical spectra. All 7 pass.</w:t>
      </w:r>
    </w:p>
    <w:p>
      <w:pPr>
        <w:shd w:fill="F4F3EF" w:color="auto" w:val="clear"/>
        <w:spacing w:after="0" w:before="80" w:line="240"/>
      </w:pPr>
      <w:r>
        <w:rPr>
          <w:rFonts w:ascii="Courier New" w:cs="Courier New" w:eastAsia="Courier New" w:hAnsi="Courier New"/>
          <w:color w:val="1F1F1F"/>
          <w:sz w:val="16"/>
          <w:szCs w:val="16"/>
        </w:rPr>
        <w:t xml:space="preserve">~/hyperspatial-venv/bin/python -m unittest discover -s qgis-plugin/hyperspatial_analytics/tests</w:t>
      </w:r>
    </w:p>
    <w:p>
      <w:pPr>
        <w:spacing w:after="120"/>
      </w:pPr>
    </w:p>
    <w:p>
      <w:pPr>
        <w:pStyle w:val="Heading2"/>
      </w:pPr>
      <w:bookmarkStart w:name="_Toc28" w:id="28"/>
      <w:r>
        <w:t xml:space="preserve">8.2 End-to-end validation on a real scene</w:t>
      </w:r>
      <w:bookmarkEnd w:id="28"/>
    </w:p>
    <w:p>
      <w:r>
        <w:rPr>
          <w:rFonts w:ascii="Courier New" w:cs="Courier New" w:eastAsia="Courier New" w:hAnsi="Courier New"/>
          <w:sz w:val="19"/>
          <w:szCs w:val="19"/>
        </w:rPr>
        <w:t xml:space="preserve">validate_raw_cube_jobs.py</w:t>
      </w:r>
      <w:r>
        <w:t xml:space="preserve"> runs Q4 and Q5 exactly as the plugin does (plugin preparation → bundled job → </w:t>
      </w:r>
      <w:r>
        <w:rPr>
          <w:rFonts w:ascii="Courier New" w:cs="Courier New" w:eastAsia="Courier New" w:hAnsi="Courier New"/>
          <w:sz w:val="19"/>
          <w:szCs w:val="19"/>
        </w:rPr>
        <w:t xml:space="preserve">spark-submit</w:t>
      </w:r>
      <w:r>
        <w:t xml:space="preserve">) and checks the outputs against NumPy and the scene's quality masks. Results are saved to </w:t>
      </w:r>
      <w:r>
        <w:rPr>
          <w:rFonts w:ascii="Courier New" w:cs="Courier New" w:eastAsia="Courier New" w:hAnsi="Courier New"/>
          <w:sz w:val="19"/>
          <w:szCs w:val="19"/>
        </w:rPr>
        <w:t xml:space="preserve">benchmarks/results/q5_kmeans_validation.csv</w:t>
      </w:r>
      <w:r>
        <w:t xml:space="preserve">.</w:t>
      </w:r>
    </w:p>
    <w:p>
      <w:pPr>
        <w:keepNext/>
        <w:spacing w:after="80" w:before="160"/>
      </w:pPr>
      <w:r>
        <w:rPr>
          <w:b/>
          <w:bCs/>
          <w:color w:val="52514E"/>
          <w:sz w:val="18"/>
          <w:szCs w:val="18"/>
        </w:rPr>
        <w:t xml:space="preserve">Table 15.</w:t>
      </w:r>
      <w:r>
        <w:rPr>
          <w:color w:val="52514E"/>
          <w:sz w:val="18"/>
          <w:szCs w:val="18"/>
        </w:rPr>
        <w:t xml:space="preserve"> End-to-end validation.</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5120"/>
        <w:gridCol w:w="3313"/>
        <w:gridCol w:w="1205"/>
      </w:tblGrid>
      <w:tr>
        <w:trPr>
          <w:cantSplit/>
          <w:tblHeader/>
        </w:trPr>
        <w:tc>
          <w:tcPr>
            <w:tcW w:type="dxa" w:w="512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Check</w:t>
            </w:r>
          </w:p>
        </w:tc>
        <w:tc>
          <w:tcPr>
            <w:tcW w:type="dxa" w:w="33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Result</w:t>
            </w:r>
          </w:p>
        </w:tc>
        <w:tc>
          <w:tcPr>
            <w:tcW w:type="dxa" w:w="1205"/>
            <w:shd w:fill="12355B" w:color="auto" w:val="clear"/>
            <w:tcMar>
              <w:top w:type="dxa" w:w="60"/>
              <w:left w:type="dxa" w:w="90"/>
              <w:bottom w:type="dxa" w:w="60"/>
              <w:right w:type="dxa" w:w="90"/>
            </w:tcMar>
            <w:vAlign w:val="center"/>
          </w:tcPr>
          <w:p>
            <w:pPr>
              <w:spacing w:after="20" w:line="250"/>
            </w:pPr>
          </w:p>
        </w:tc>
      </w:tr>
      <w:tr>
        <w:trPr>
          <w:cantSplit/>
        </w:trPr>
        <w:tc>
          <w:tcPr>
            <w:tcW w:type="dxa" w:w="5120"/>
            <w:tcMar>
              <w:top w:type="dxa" w:w="60"/>
              <w:left w:type="dxa" w:w="90"/>
              <w:bottom w:type="dxa" w:w="60"/>
              <w:right w:type="dxa" w:w="90"/>
            </w:tcMar>
            <w:vAlign w:val="center"/>
          </w:tcPr>
          <w:p>
            <w:pPr>
              <w:spacing w:after="20" w:line="250"/>
            </w:pPr>
            <w:r>
              <w:rPr>
                <w:sz w:val="18"/>
                <w:szCs w:val="18"/>
              </w:rPr>
              <w:t xml:space="preserve">Q4 mean NDVI = NumPy (± 0.001)</w:t>
            </w:r>
          </w:p>
        </w:tc>
        <w:tc>
          <w:tcPr>
            <w:tcW w:type="dxa" w:w="3313"/>
            <w:tcMar>
              <w:top w:type="dxa" w:w="60"/>
              <w:left w:type="dxa" w:w="90"/>
              <w:bottom w:type="dxa" w:w="60"/>
              <w:right w:type="dxa" w:w="90"/>
            </w:tcMar>
            <w:vAlign w:val="center"/>
          </w:tcPr>
          <w:p>
            <w:pPr>
              <w:spacing w:after="20" w:line="250"/>
            </w:pPr>
            <w:r>
              <w:rPr>
                <w:sz w:val="18"/>
                <w:szCs w:val="18"/>
              </w:rPr>
              <w:t xml:space="preserve">0.5616 vs 0.5616</w:t>
            </w:r>
          </w:p>
        </w:tc>
        <w:tc>
          <w:tcPr>
            <w:tcW w:type="dxa" w:w="1205"/>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shd w:fill="F3F6FA" w:color="auto" w:val="clear"/>
            <w:tcMar>
              <w:top w:type="dxa" w:w="60"/>
              <w:left w:type="dxa" w:w="90"/>
              <w:bottom w:type="dxa" w:w="60"/>
              <w:right w:type="dxa" w:w="90"/>
            </w:tcMar>
            <w:vAlign w:val="center"/>
          </w:tcPr>
          <w:p>
            <w:pPr>
              <w:spacing w:after="20" w:line="250"/>
            </w:pPr>
            <w:r>
              <w:rPr>
                <w:sz w:val="18"/>
                <w:szCs w:val="18"/>
              </w:rPr>
              <w:t xml:space="preserve">Q4 valid pixels = NumPy minus outer-ring pixels</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1,069,486 vs 1,069,486</w:t>
            </w:r>
          </w:p>
        </w:tc>
        <w:tc>
          <w:tcPr>
            <w:tcW w:type="dxa" w:w="1205"/>
            <w:shd w:fill="F3F6FA" w:color="auto" w:val="clear"/>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tcMar>
              <w:top w:type="dxa" w:w="60"/>
              <w:left w:type="dxa" w:w="90"/>
              <w:bottom w:type="dxa" w:w="60"/>
              <w:right w:type="dxa" w:w="90"/>
            </w:tcMar>
            <w:vAlign w:val="center"/>
          </w:tcPr>
          <w:p>
            <w:pPr>
              <w:spacing w:after="20" w:line="250"/>
            </w:pPr>
            <w:r>
              <w:rPr>
                <w:sz w:val="18"/>
                <w:szCs w:val="18"/>
              </w:rPr>
              <w:t xml:space="preserve">Q5 MLlib vs Jiffle agreement ≥ 99.99 %</w:t>
            </w:r>
          </w:p>
        </w:tc>
        <w:tc>
          <w:tcPr>
            <w:tcW w:type="dxa" w:w="3313"/>
            <w:tcMar>
              <w:top w:type="dxa" w:w="60"/>
              <w:left w:type="dxa" w:w="90"/>
              <w:bottom w:type="dxa" w:w="60"/>
              <w:right w:type="dxa" w:w="90"/>
            </w:tcMar>
            <w:vAlign w:val="center"/>
          </w:tcPr>
          <w:p>
            <w:pPr>
              <w:spacing w:after="20" w:line="250"/>
            </w:pPr>
            <w:r>
              <w:rPr>
                <w:sz w:val="18"/>
                <w:szCs w:val="18"/>
              </w:rPr>
              <w:t xml:space="preserve">100.000 %</w:t>
            </w:r>
          </w:p>
        </w:tc>
        <w:tc>
          <w:tcPr>
            <w:tcW w:type="dxa" w:w="1205"/>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shd w:fill="F3F6FA" w:color="auto" w:val="clear"/>
            <w:tcMar>
              <w:top w:type="dxa" w:w="60"/>
              <w:left w:type="dxa" w:w="90"/>
              <w:bottom w:type="dxa" w:w="60"/>
              <w:right w:type="dxa" w:w="90"/>
            </w:tcMar>
            <w:vAlign w:val="center"/>
          </w:tcPr>
          <w:p>
            <w:pPr>
              <w:spacing w:after="20" w:line="250"/>
            </w:pPr>
            <w:r>
              <w:rPr>
                <w:sz w:val="18"/>
                <w:szCs w:val="18"/>
              </w:rPr>
              <w:t xml:space="preserve">Q5 job wall time &lt; 30 s</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13.0 s</w:t>
            </w:r>
          </w:p>
        </w:tc>
        <w:tc>
          <w:tcPr>
            <w:tcW w:type="dxa" w:w="1205"/>
            <w:shd w:fill="F3F6FA" w:color="auto" w:val="clear"/>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tcMar>
              <w:top w:type="dxa" w:w="60"/>
              <w:left w:type="dxa" w:w="90"/>
              <w:bottom w:type="dxa" w:w="60"/>
              <w:right w:type="dxa" w:w="90"/>
            </w:tcMar>
            <w:vAlign w:val="center"/>
          </w:tcPr>
          <w:p>
            <w:pPr>
              <w:spacing w:after="20" w:line="250"/>
            </w:pPr>
            <w:r>
              <w:rPr>
                <w:sz w:val="18"/>
                <w:szCs w:val="18"/>
              </w:rPr>
              <w:t xml:space="preserve">Q5 no-data pixels = QL background</w:t>
            </w:r>
          </w:p>
        </w:tc>
        <w:tc>
          <w:tcPr>
            <w:tcW w:type="dxa" w:w="3313"/>
            <w:tcMar>
              <w:top w:type="dxa" w:w="60"/>
              <w:left w:type="dxa" w:w="90"/>
              <w:bottom w:type="dxa" w:w="60"/>
              <w:right w:type="dxa" w:w="90"/>
            </w:tcMar>
            <w:vAlign w:val="center"/>
          </w:tcPr>
          <w:p>
            <w:pPr>
              <w:spacing w:after="20" w:line="250"/>
            </w:pPr>
            <w:r>
              <w:rPr>
                <w:sz w:val="18"/>
                <w:szCs w:val="18"/>
              </w:rPr>
              <w:t xml:space="preserve">461,445 vs 461,445</w:t>
            </w:r>
          </w:p>
        </w:tc>
        <w:tc>
          <w:tcPr>
            <w:tcW w:type="dxa" w:w="1205"/>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shd w:fill="F3F6FA" w:color="auto" w:val="clear"/>
            <w:tcMar>
              <w:top w:type="dxa" w:w="60"/>
              <w:left w:type="dxa" w:w="90"/>
              <w:bottom w:type="dxa" w:w="60"/>
              <w:right w:type="dxa" w:w="90"/>
            </w:tcMar>
            <w:vAlign w:val="center"/>
          </w:tcPr>
          <w:p>
            <w:pPr>
              <w:spacing w:after="20" w:line="250"/>
            </w:pPr>
            <w:r>
              <w:rPr>
                <w:sz w:val="18"/>
                <w:szCs w:val="18"/>
              </w:rPr>
              <w:t xml:space="preserve">Q5 Water cluster IoU ≥ 0.5</w:t>
            </w:r>
          </w:p>
        </w:tc>
        <w:tc>
          <w:tcPr>
            <w:tcW w:type="dxa" w:w="3313"/>
            <w:shd w:fill="F3F6FA" w:color="auto" w:val="clear"/>
            <w:tcMar>
              <w:top w:type="dxa" w:w="60"/>
              <w:left w:type="dxa" w:w="90"/>
              <w:bottom w:type="dxa" w:w="60"/>
              <w:right w:type="dxa" w:w="90"/>
            </w:tcMar>
            <w:vAlign w:val="center"/>
          </w:tcPr>
          <w:p>
            <w:pPr>
              <w:spacing w:after="20" w:line="250"/>
            </w:pPr>
            <w:r>
              <w:rPr>
                <w:sz w:val="18"/>
                <w:szCs w:val="18"/>
              </w:rPr>
              <w:t xml:space="preserve">0.578</w:t>
            </w:r>
          </w:p>
        </w:tc>
        <w:tc>
          <w:tcPr>
            <w:tcW w:type="dxa" w:w="1205"/>
            <w:shd w:fill="F3F6FA" w:color="auto" w:val="clear"/>
            <w:tcMar>
              <w:top w:type="dxa" w:w="60"/>
              <w:left w:type="dxa" w:w="90"/>
              <w:bottom w:type="dxa" w:w="60"/>
              <w:right w:type="dxa" w:w="90"/>
            </w:tcMar>
            <w:vAlign w:val="center"/>
          </w:tcPr>
          <w:p>
            <w:pPr>
              <w:spacing w:after="20" w:line="250"/>
            </w:pPr>
            <w:r>
              <w:rPr>
                <w:sz w:val="18"/>
                <w:szCs w:val="18"/>
              </w:rPr>
              <w:t xml:space="preserve">PASS</w:t>
            </w:r>
          </w:p>
        </w:tc>
      </w:tr>
      <w:tr>
        <w:trPr>
          <w:cantSplit/>
        </w:trPr>
        <w:tc>
          <w:tcPr>
            <w:tcW w:type="dxa" w:w="5120"/>
            <w:tcMar>
              <w:top w:type="dxa" w:w="60"/>
              <w:left w:type="dxa" w:w="90"/>
              <w:bottom w:type="dxa" w:w="60"/>
              <w:right w:type="dxa" w:w="90"/>
            </w:tcMar>
            <w:vAlign w:val="center"/>
          </w:tcPr>
          <w:p>
            <w:pPr>
              <w:spacing w:after="20" w:line="250"/>
            </w:pPr>
            <w:r>
              <w:rPr>
                <w:sz w:val="18"/>
                <w:szCs w:val="18"/>
              </w:rPr>
              <w:t xml:space="preserve">Q5 Snow/ice cluster precision ≥ 0.85</w:t>
            </w:r>
          </w:p>
        </w:tc>
        <w:tc>
          <w:tcPr>
            <w:tcW w:type="dxa" w:w="3313"/>
            <w:tcMar>
              <w:top w:type="dxa" w:w="60"/>
              <w:left w:type="dxa" w:w="90"/>
              <w:bottom w:type="dxa" w:w="60"/>
              <w:right w:type="dxa" w:w="90"/>
            </w:tcMar>
            <w:vAlign w:val="center"/>
          </w:tcPr>
          <w:p>
            <w:pPr>
              <w:spacing w:after="20" w:line="250"/>
            </w:pPr>
            <w:r>
              <w:rPr>
                <w:sz w:val="18"/>
                <w:szCs w:val="18"/>
              </w:rPr>
              <w:t xml:space="preserve">0.922</w:t>
            </w:r>
          </w:p>
        </w:tc>
        <w:tc>
          <w:tcPr>
            <w:tcW w:type="dxa" w:w="1205"/>
            <w:tcMar>
              <w:top w:type="dxa" w:w="60"/>
              <w:left w:type="dxa" w:w="90"/>
              <w:bottom w:type="dxa" w:w="60"/>
              <w:right w:type="dxa" w:w="90"/>
            </w:tcMar>
            <w:vAlign w:val="center"/>
          </w:tcPr>
          <w:p>
            <w:pPr>
              <w:spacing w:after="20" w:line="250"/>
            </w:pPr>
            <w:r>
              <w:rPr>
                <w:sz w:val="18"/>
                <w:szCs w:val="18"/>
              </w:rPr>
              <w:t xml:space="preserve">PASS</w:t>
            </w:r>
          </w:p>
        </w:tc>
      </w:tr>
    </w:tbl>
    <w:p>
      <w:pPr>
        <w:spacing w:after="120"/>
      </w:pPr>
    </w:p>
    <w:p>
      <w:pPr>
        <w:pStyle w:val="Heading2"/>
      </w:pPr>
      <w:bookmarkStart w:name="_Toc29" w:id="29"/>
      <w:r>
        <w:t xml:space="preserve">8.3 Headless QGIS smoke test</w:t>
      </w:r>
      <w:bookmarkEnd w:id="29"/>
    </w:p>
    <w:p>
      <w:r>
        <w:rPr>
          <w:rFonts w:ascii="Courier New" w:cs="Courier New" w:eastAsia="Courier New" w:hAnsi="Courier New"/>
          <w:sz w:val="19"/>
          <w:szCs w:val="19"/>
        </w:rPr>
        <w:t xml:space="preserve">qgis_dialog_smoke.py</w:t>
      </w:r>
      <w:r>
        <w:t xml:space="preserve"> drives the </w:t>
      </w:r>
      <w:r>
        <w:rPr>
          <w:b/>
          <w:bCs/>
        </w:rPr>
        <w:t xml:space="preserve">real dialog</w:t>
      </w:r>
      <w:r>
        <w:t xml:space="preserve"> inside QGIS 4.2.3's own Python (offscreen): it fills the widgets, clicks RUN for Q3 (on full engine tiles), Q4 and Q5, pumps the Qt event loop, and checks completion, the layers added and the longest stall of the GUI thread. All 10 checks pass; the GUI thread never stalled for more than 0.21 s.</w:t>
      </w:r>
    </w:p>
    <w:p>
      <w:pPr>
        <w:shd w:fill="F4F3EF" w:color="auto" w:val="clear"/>
        <w:spacing w:after="0" w:before="80" w:line="240"/>
      </w:pPr>
      <w:r>
        <w:rPr>
          <w:rFonts w:ascii="Courier New" w:cs="Courier New" w:eastAsia="Courier New" w:hAnsi="Courier New"/>
          <w:color w:val="1F1F1F"/>
          <w:sz w:val="16"/>
          <w:szCs w:val="16"/>
        </w:rPr>
        <w:t xml:space="preserve">A=/Applications/QGIS-final-4_2_3.app/Contents</w:t>
      </w:r>
    </w:p>
    <w:p>
      <w:pPr>
        <w:shd w:fill="F4F3EF" w:color="auto" w:val="clear"/>
        <w:spacing w:after="0" w:before="0" w:line="240"/>
      </w:pPr>
      <w:r>
        <w:rPr>
          <w:rFonts w:ascii="Courier New" w:cs="Courier New" w:eastAsia="Courier New" w:hAnsi="Courier New"/>
          <w:color w:val="1F1F1F"/>
          <w:sz w:val="16"/>
          <w:szCs w:val="16"/>
        </w:rPr>
        <w:t xml:space="preserve">PROJ_DATA=$A/Resources/qgis/proj QT_QPA_PLATFORM=offscreen \</w:t>
      </w:r>
    </w:p>
    <w:p>
      <w:pPr>
        <w:shd w:fill="F4F3EF" w:color="auto" w:val="clear"/>
        <w:spacing w:after="0" w:before="0" w:line="240"/>
      </w:pPr>
      <w:r>
        <w:rPr>
          <w:rFonts w:ascii="Courier New" w:cs="Courier New" w:eastAsia="Courier New" w:hAnsi="Courier New"/>
          <w:color w:val="1F1F1F"/>
          <w:sz w:val="16"/>
          <w:szCs w:val="16"/>
        </w:rPr>
        <w:t xml:space="preserve">PYTHONPATH=$A/Resources/python3.12:$A/Resources/python3.12/lib-dynload:$A/Resources/python3.12/site-packages \</w:t>
      </w:r>
    </w:p>
    <w:p>
      <w:pPr>
        <w:shd w:fill="F4F3EF" w:color="auto" w:val="clear"/>
        <w:spacing w:after="0" w:before="0" w:line="240"/>
      </w:pPr>
      <w:r>
        <w:rPr>
          <w:rFonts w:ascii="Courier New" w:cs="Courier New" w:eastAsia="Courier New" w:hAnsi="Courier New"/>
          <w:color w:val="1F1F1F"/>
          <w:sz w:val="16"/>
          <w:szCs w:val="16"/>
        </w:rPr>
        <w:t xml:space="preserve">QGIS_PREFIX_PATH=$A/MacOS PATH=~/hyperspatial-venv/bin:$PATH \</w:t>
      </w:r>
    </w:p>
    <w:p>
      <w:pPr>
        <w:shd w:fill="F4F3EF" w:color="auto" w:val="clear"/>
        <w:spacing w:after="0" w:before="0" w:line="240"/>
      </w:pPr>
      <w:r>
        <w:rPr>
          <w:rFonts w:ascii="Courier New" w:cs="Courier New" w:eastAsia="Courier New" w:hAnsi="Courier New"/>
          <w:color w:val="1F1F1F"/>
          <w:sz w:val="16"/>
          <w:szCs w:val="16"/>
        </w:rPr>
        <w:t xml:space="preserve">$A/MacOS/python3.12 qgis_dialog_smoke.py --cube &lt;SPECTRAL_IMAGE.BSQ&gt; --tiles &lt;engine output dir&gt;</w:t>
      </w:r>
    </w:p>
    <w:p>
      <w:pPr>
        <w:spacing w:after="120"/>
      </w:pPr>
    </w:p>
    <w:p>
      <w:pPr>
        <w:pStyle w:val="Heading1"/>
      </w:pPr>
      <w:bookmarkStart w:name="_Toc30" w:id="30"/>
      <w:r>
        <w:t xml:space="preserve">9. Performance</w:t>
      </w:r>
      <w:bookmarkEnd w:id="30"/>
    </w:p>
    <w:p>
      <w:pPr>
        <w:keepNext/>
        <w:spacing w:after="80" w:before="160"/>
      </w:pPr>
      <w:r>
        <w:rPr>
          <w:b/>
          <w:bCs/>
          <w:color w:val="52514E"/>
          <w:sz w:val="18"/>
          <w:szCs w:val="18"/>
        </w:rPr>
        <w:t xml:space="preserve">Table 16.</w:t>
      </w:r>
      <w:r>
        <w:rPr>
          <w:color w:val="52514E"/>
          <w:sz w:val="18"/>
          <w:szCs w:val="18"/>
        </w:rPr>
        <w:t xml:space="preserve"> Job performance on an Apple M4 Pro (12 cores, 24 GB), Spark local mode. Times include Spark start-up (≈ 4–5 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113"/>
        <w:gridCol w:w="2372"/>
        <w:gridCol w:w="1334"/>
        <w:gridCol w:w="2819"/>
      </w:tblGrid>
      <w:tr>
        <w:trPr>
          <w:cantSplit/>
          <w:tblHeader/>
        </w:trPr>
        <w:tc>
          <w:tcPr>
            <w:tcW w:type="dxa" w:w="3113"/>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Job (EnMAP test scene)</w:t>
            </w:r>
          </w:p>
        </w:tc>
        <w:tc>
          <w:tcPr>
            <w:tcW w:type="dxa" w:w="237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Spark input</w:t>
            </w:r>
          </w:p>
        </w:tc>
        <w:tc>
          <w:tcPr>
            <w:tcW w:type="dxa" w:w="1334"/>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Time</w:t>
            </w:r>
          </w:p>
        </w:tc>
        <w:tc>
          <w:tcPr>
            <w:tcW w:type="dxa" w:w="281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Notes</w:t>
            </w:r>
          </w:p>
        </w:tc>
      </w:tr>
      <w:tr>
        <w:trPr>
          <w:cantSplit/>
        </w:trPr>
        <w:tc>
          <w:tcPr>
            <w:tcW w:type="dxa" w:w="3113"/>
            <w:tcMar>
              <w:top w:type="dxa" w:w="60"/>
              <w:left w:type="dxa" w:w="90"/>
              <w:bottom w:type="dxa" w:w="60"/>
              <w:right w:type="dxa" w:w="90"/>
            </w:tcMar>
            <w:vAlign w:val="center"/>
          </w:tcPr>
          <w:p>
            <w:pPr>
              <w:spacing w:after="20" w:line="250"/>
            </w:pPr>
            <w:r>
              <w:rPr>
                <w:sz w:val="18"/>
                <w:szCs w:val="18"/>
              </w:rPr>
              <w:t xml:space="preserve">Q1 AOI filter</w:t>
            </w:r>
          </w:p>
        </w:tc>
        <w:tc>
          <w:tcPr>
            <w:tcW w:type="dxa" w:w="2372"/>
            <w:tcMar>
              <w:top w:type="dxa" w:w="60"/>
              <w:left w:type="dxa" w:w="90"/>
              <w:bottom w:type="dxa" w:w="60"/>
              <w:right w:type="dxa" w:w="90"/>
            </w:tcMar>
            <w:vAlign w:val="center"/>
          </w:tcPr>
          <w:p>
            <w:pPr>
              <w:spacing w:after="20" w:line="250"/>
            </w:pPr>
            <w:r>
              <w:rPr>
                <w:sz w:val="18"/>
                <w:szCs w:val="18"/>
              </w:rPr>
              <w:t xml:space="preserve">9 index tiles, 32 MB</w:t>
            </w:r>
          </w:p>
        </w:tc>
        <w:tc>
          <w:tcPr>
            <w:tcW w:type="dxa" w:w="1334"/>
            <w:tcMar>
              <w:top w:type="dxa" w:w="60"/>
              <w:left w:type="dxa" w:w="90"/>
              <w:bottom w:type="dxa" w:w="60"/>
              <w:right w:type="dxa" w:w="90"/>
            </w:tcMar>
            <w:vAlign w:val="center"/>
          </w:tcPr>
          <w:p>
            <w:pPr>
              <w:spacing w:after="20" w:line="250"/>
            </w:pPr>
            <w:r>
              <w:rPr>
                <w:sz w:val="18"/>
                <w:szCs w:val="18"/>
              </w:rPr>
              <w:t xml:space="preserve">6.6 s</w:t>
            </w:r>
          </w:p>
        </w:tc>
        <w:tc>
          <w:tcPr>
            <w:tcW w:type="dxa" w:w="2819"/>
            <w:tcMar>
              <w:top w:type="dxa" w:w="60"/>
              <w:left w:type="dxa" w:w="90"/>
              <w:bottom w:type="dxa" w:w="60"/>
              <w:right w:type="dxa" w:w="90"/>
            </w:tcMar>
            <w:vAlign w:val="center"/>
          </w:tcPr>
          <w:p>
            <w:pPr>
              <w:spacing w:after="20" w:line="250"/>
            </w:pPr>
            <w:r>
              <w:rPr>
                <w:sz w:val="18"/>
                <w:szCs w:val="18"/>
              </w:rPr>
              <w:t xml:space="preserve">default 1 GB driver heap</w:t>
            </w:r>
          </w:p>
        </w:tc>
      </w:tr>
      <w:tr>
        <w:trPr>
          <w:cantSplit/>
        </w:trPr>
        <w:tc>
          <w:tcPr>
            <w:tcW w:type="dxa" w:w="3113"/>
            <w:shd w:fill="F3F6FA" w:color="auto" w:val="clear"/>
            <w:tcMar>
              <w:top w:type="dxa" w:w="60"/>
              <w:left w:type="dxa" w:w="90"/>
              <w:bottom w:type="dxa" w:w="60"/>
              <w:right w:type="dxa" w:w="90"/>
            </w:tcMar>
            <w:vAlign w:val="center"/>
          </w:tcPr>
          <w:p>
            <w:pPr>
              <w:spacing w:after="20" w:line="250"/>
            </w:pPr>
            <w:r>
              <w:rPr>
                <w:sz w:val="18"/>
                <w:szCs w:val="18"/>
              </w:rPr>
              <w:t xml:space="preserve">Q2 Spatial join (4 zones)</w:t>
            </w:r>
          </w:p>
        </w:tc>
        <w:tc>
          <w:tcPr>
            <w:tcW w:type="dxa" w:w="2372"/>
            <w:shd w:fill="F3F6FA" w:color="auto" w:val="clear"/>
            <w:tcMar>
              <w:top w:type="dxa" w:w="60"/>
              <w:left w:type="dxa" w:w="90"/>
              <w:bottom w:type="dxa" w:w="60"/>
              <w:right w:type="dxa" w:w="90"/>
            </w:tcMar>
            <w:vAlign w:val="center"/>
          </w:tcPr>
          <w:p>
            <w:pPr>
              <w:spacing w:after="20" w:line="250"/>
            </w:pPr>
            <w:r>
              <w:rPr>
                <w:sz w:val="18"/>
                <w:szCs w:val="18"/>
              </w:rPr>
              <w:t xml:space="preserve">9 index tiles</w:t>
            </w:r>
          </w:p>
        </w:tc>
        <w:tc>
          <w:tcPr>
            <w:tcW w:type="dxa" w:w="1334"/>
            <w:shd w:fill="F3F6FA" w:color="auto" w:val="clear"/>
            <w:tcMar>
              <w:top w:type="dxa" w:w="60"/>
              <w:left w:type="dxa" w:w="90"/>
              <w:bottom w:type="dxa" w:w="60"/>
              <w:right w:type="dxa" w:w="90"/>
            </w:tcMar>
            <w:vAlign w:val="center"/>
          </w:tcPr>
          <w:p>
            <w:pPr>
              <w:spacing w:after="20" w:line="250"/>
            </w:pPr>
            <w:r>
              <w:rPr>
                <w:sz w:val="18"/>
                <w:szCs w:val="18"/>
              </w:rPr>
              <w:t xml:space="preserve">8.4 s</w:t>
            </w:r>
          </w:p>
        </w:tc>
        <w:tc>
          <w:tcPr>
            <w:tcW w:type="dxa" w:w="2819"/>
            <w:shd w:fill="F3F6FA" w:color="auto" w:val="clear"/>
            <w:tcMar>
              <w:top w:type="dxa" w:w="60"/>
              <w:left w:type="dxa" w:w="90"/>
              <w:bottom w:type="dxa" w:w="60"/>
              <w:right w:type="dxa" w:w="90"/>
            </w:tcMar>
            <w:vAlign w:val="center"/>
          </w:tcPr>
          <w:p>
            <w:pPr>
              <w:spacing w:after="20" w:line="250"/>
            </w:pPr>
          </w:p>
        </w:tc>
      </w:tr>
      <w:tr>
        <w:trPr>
          <w:cantSplit/>
        </w:trPr>
        <w:tc>
          <w:tcPr>
            <w:tcW w:type="dxa" w:w="3113"/>
            <w:tcMar>
              <w:top w:type="dxa" w:w="60"/>
              <w:left w:type="dxa" w:w="90"/>
              <w:bottom w:type="dxa" w:w="60"/>
              <w:right w:type="dxa" w:w="90"/>
            </w:tcMar>
            <w:vAlign w:val="center"/>
          </w:tcPr>
          <w:p>
            <w:pPr>
              <w:spacing w:after="20" w:line="250"/>
            </w:pPr>
            <w:r>
              <w:rPr>
                <w:sz w:val="18"/>
                <w:szCs w:val="18"/>
              </w:rPr>
              <w:t xml:space="preserve">Q3 NDVI filter + masks</w:t>
            </w:r>
          </w:p>
        </w:tc>
        <w:tc>
          <w:tcPr>
            <w:tcW w:type="dxa" w:w="2372"/>
            <w:tcMar>
              <w:top w:type="dxa" w:w="60"/>
              <w:left w:type="dxa" w:w="90"/>
              <w:bottom w:type="dxa" w:w="60"/>
              <w:right w:type="dxa" w:w="90"/>
            </w:tcMar>
            <w:vAlign w:val="center"/>
          </w:tcPr>
          <w:p>
            <w:pPr>
              <w:spacing w:after="20" w:line="250"/>
            </w:pPr>
            <w:r>
              <w:rPr>
                <w:sz w:val="18"/>
                <w:szCs w:val="18"/>
              </w:rPr>
              <w:t xml:space="preserve">9 index tiles</w:t>
            </w:r>
          </w:p>
        </w:tc>
        <w:tc>
          <w:tcPr>
            <w:tcW w:type="dxa" w:w="1334"/>
            <w:tcMar>
              <w:top w:type="dxa" w:w="60"/>
              <w:left w:type="dxa" w:w="90"/>
              <w:bottom w:type="dxa" w:w="60"/>
              <w:right w:type="dxa" w:w="90"/>
            </w:tcMar>
            <w:vAlign w:val="center"/>
          </w:tcPr>
          <w:p>
            <w:pPr>
              <w:spacing w:after="20" w:line="250"/>
            </w:pPr>
            <w:r>
              <w:rPr>
                <w:sz w:val="18"/>
                <w:szCs w:val="18"/>
              </w:rPr>
              <w:t xml:space="preserve">6.3–9.0 s</w:t>
            </w:r>
          </w:p>
        </w:tc>
        <w:tc>
          <w:tcPr>
            <w:tcW w:type="dxa" w:w="2819"/>
            <w:tcMar>
              <w:top w:type="dxa" w:w="60"/>
              <w:left w:type="dxa" w:w="90"/>
              <w:bottom w:type="dxa" w:w="60"/>
              <w:right w:type="dxa" w:w="90"/>
            </w:tcMar>
            <w:vAlign w:val="center"/>
          </w:tcPr>
          <w:p>
            <w:pPr>
              <w:spacing w:after="20" w:line="250"/>
            </w:pPr>
            <w:r>
              <w:rPr>
                <w:sz w:val="18"/>
                <w:szCs w:val="18"/>
              </w:rPr>
              <w:t xml:space="preserve">including ≈ 2 s index extraction</w:t>
            </w:r>
          </w:p>
        </w:tc>
      </w:tr>
      <w:tr>
        <w:trPr>
          <w:cantSplit/>
        </w:trPr>
        <w:tc>
          <w:tcPr>
            <w:tcW w:type="dxa" w:w="3113"/>
            <w:shd w:fill="F3F6FA" w:color="auto" w:val="clear"/>
            <w:tcMar>
              <w:top w:type="dxa" w:w="60"/>
              <w:left w:type="dxa" w:w="90"/>
              <w:bottom w:type="dxa" w:w="60"/>
              <w:right w:type="dxa" w:w="90"/>
            </w:tcMar>
            <w:vAlign w:val="center"/>
          </w:tcPr>
          <w:p>
            <w:pPr>
              <w:spacing w:after="20" w:line="250"/>
            </w:pPr>
            <w:r>
              <w:rPr>
                <w:sz w:val="18"/>
                <w:szCs w:val="18"/>
              </w:rPr>
              <w:t xml:space="preserve">Q4 Raw-cube NDVI</w:t>
            </w:r>
          </w:p>
        </w:tc>
        <w:tc>
          <w:tcPr>
            <w:tcW w:type="dxa" w:w="2372"/>
            <w:shd w:fill="F3F6FA" w:color="auto" w:val="clear"/>
            <w:tcMar>
              <w:top w:type="dxa" w:w="60"/>
              <w:left w:type="dxa" w:w="90"/>
              <w:bottom w:type="dxa" w:w="60"/>
              <w:right w:type="dxa" w:w="90"/>
            </w:tcMar>
            <w:vAlign w:val="center"/>
          </w:tcPr>
          <w:p>
            <w:pPr>
              <w:spacing w:after="20" w:line="250"/>
            </w:pPr>
            <w:r>
              <w:rPr>
                <w:sz w:val="18"/>
                <w:szCs w:val="18"/>
              </w:rPr>
              <w:t xml:space="preserve">1 two-band tile</w:t>
            </w:r>
          </w:p>
        </w:tc>
        <w:tc>
          <w:tcPr>
            <w:tcW w:type="dxa" w:w="1334"/>
            <w:shd w:fill="F3F6FA" w:color="auto" w:val="clear"/>
            <w:tcMar>
              <w:top w:type="dxa" w:w="60"/>
              <w:left w:type="dxa" w:w="90"/>
              <w:bottom w:type="dxa" w:w="60"/>
              <w:right w:type="dxa" w:w="90"/>
            </w:tcMar>
            <w:vAlign w:val="center"/>
          </w:tcPr>
          <w:p>
            <w:pPr>
              <w:spacing w:after="20" w:line="250"/>
            </w:pPr>
            <w:r>
              <w:rPr>
                <w:sz w:val="18"/>
                <w:szCs w:val="18"/>
              </w:rPr>
              <w:t xml:space="preserve">6.7–7.5 s</w:t>
            </w:r>
          </w:p>
        </w:tc>
        <w:tc>
          <w:tcPr>
            <w:tcW w:type="dxa" w:w="2819"/>
            <w:shd w:fill="F3F6FA" w:color="auto" w:val="clear"/>
            <w:tcMar>
              <w:top w:type="dxa" w:w="60"/>
              <w:left w:type="dxa" w:w="90"/>
              <w:bottom w:type="dxa" w:w="60"/>
              <w:right w:type="dxa" w:w="90"/>
            </w:tcMar>
            <w:vAlign w:val="center"/>
          </w:tcPr>
          <w:p>
            <w:pPr>
              <w:spacing w:after="20" w:line="250"/>
            </w:pPr>
            <w:r>
              <w:rPr>
                <w:sz w:val="18"/>
                <w:szCs w:val="18"/>
              </w:rPr>
              <w:t xml:space="preserve">including band extraction</w:t>
            </w:r>
          </w:p>
        </w:tc>
      </w:tr>
      <w:tr>
        <w:trPr>
          <w:cantSplit/>
        </w:trPr>
        <w:tc>
          <w:tcPr>
            <w:tcW w:type="dxa" w:w="3113"/>
            <w:tcMar>
              <w:top w:type="dxa" w:w="60"/>
              <w:left w:type="dxa" w:w="90"/>
              <w:bottom w:type="dxa" w:w="60"/>
              <w:right w:type="dxa" w:w="90"/>
            </w:tcMar>
            <w:vAlign w:val="center"/>
          </w:tcPr>
          <w:p>
            <w:pPr>
              <w:spacing w:after="20" w:line="250"/>
            </w:pPr>
            <w:r>
              <w:rPr>
                <w:sz w:val="18"/>
                <w:szCs w:val="18"/>
              </w:rPr>
              <w:t xml:space="preserve">Q5 K-Means (k = 8)</w:t>
            </w:r>
          </w:p>
        </w:tc>
        <w:tc>
          <w:tcPr>
            <w:tcW w:type="dxa" w:w="2372"/>
            <w:tcMar>
              <w:top w:type="dxa" w:w="60"/>
              <w:left w:type="dxa" w:w="90"/>
              <w:bottom w:type="dxa" w:w="60"/>
              <w:right w:type="dxa" w:w="90"/>
            </w:tcMar>
            <w:vAlign w:val="center"/>
          </w:tcPr>
          <w:p>
            <w:pPr>
              <w:spacing w:after="20" w:line="250"/>
            </w:pPr>
            <w:r>
              <w:rPr>
                <w:sz w:val="18"/>
                <w:szCs w:val="18"/>
              </w:rPr>
              <w:t xml:space="preserve">25 six-band tiles (14 MB)</w:t>
            </w:r>
          </w:p>
        </w:tc>
        <w:tc>
          <w:tcPr>
            <w:tcW w:type="dxa" w:w="1334"/>
            <w:tcMar>
              <w:top w:type="dxa" w:w="60"/>
              <w:left w:type="dxa" w:w="90"/>
              <w:bottom w:type="dxa" w:w="60"/>
              <w:right w:type="dxa" w:w="90"/>
            </w:tcMar>
            <w:vAlign w:val="center"/>
          </w:tcPr>
          <w:p>
            <w:pPr>
              <w:spacing w:after="20" w:line="250"/>
            </w:pPr>
            <w:r>
              <w:rPr>
                <w:sz w:val="18"/>
                <w:szCs w:val="18"/>
              </w:rPr>
              <w:t xml:space="preserve">10–14 s</w:t>
            </w:r>
          </w:p>
        </w:tc>
        <w:tc>
          <w:tcPr>
            <w:tcW w:type="dxa" w:w="2819"/>
            <w:tcMar>
              <w:top w:type="dxa" w:w="60"/>
              <w:left w:type="dxa" w:w="90"/>
              <w:bottom w:type="dxa" w:w="60"/>
              <w:right w:type="dxa" w:w="90"/>
            </w:tcMar>
            <w:vAlign w:val="center"/>
          </w:tcPr>
          <w:p>
            <w:pPr>
              <w:spacing w:after="20" w:line="250"/>
            </w:pPr>
            <w:r>
              <w:rPr>
                <w:sz w:val="18"/>
                <w:szCs w:val="18"/>
              </w:rPr>
              <w:t xml:space="preserve">training ≈ 3–4 s; peak memory ≈ 1.6 GB</w:t>
            </w:r>
          </w:p>
        </w:tc>
      </w:tr>
      <w:tr>
        <w:trPr>
          <w:cantSplit/>
        </w:trPr>
        <w:tc>
          <w:tcPr>
            <w:tcW w:type="dxa" w:w="3113"/>
            <w:shd w:fill="F3F6FA" w:color="auto" w:val="clear"/>
            <w:tcMar>
              <w:top w:type="dxa" w:w="60"/>
              <w:left w:type="dxa" w:w="90"/>
              <w:bottom w:type="dxa" w:w="60"/>
              <w:right w:type="dxa" w:w="90"/>
            </w:tcMar>
            <w:vAlign w:val="center"/>
          </w:tcPr>
          <w:p>
            <w:pPr>
              <w:spacing w:after="20" w:line="250"/>
            </w:pPr>
            <w:r>
              <w:rPr>
                <w:sz w:val="18"/>
                <w:szCs w:val="18"/>
              </w:rPr>
              <w:t xml:space="preserve">Q1–Q3 on full engine tiles (before v0.2)</w:t>
            </w:r>
          </w:p>
        </w:tc>
        <w:tc>
          <w:tcPr>
            <w:tcW w:type="dxa" w:w="2372"/>
            <w:shd w:fill="F3F6FA" w:color="auto" w:val="clear"/>
            <w:tcMar>
              <w:top w:type="dxa" w:w="60"/>
              <w:left w:type="dxa" w:w="90"/>
              <w:bottom w:type="dxa" w:w="60"/>
              <w:right w:type="dxa" w:w="90"/>
            </w:tcMar>
            <w:vAlign w:val="center"/>
          </w:tcPr>
          <w:p>
            <w:pPr>
              <w:spacing w:after="20" w:line="250"/>
            </w:pPr>
            <w:r>
              <w:rPr>
                <w:sz w:val="18"/>
                <w:szCs w:val="18"/>
              </w:rPr>
              <w:t xml:space="preserve">9 × 231 bands, 1.0 GB</w:t>
            </w:r>
          </w:p>
        </w:tc>
        <w:tc>
          <w:tcPr>
            <w:tcW w:type="dxa" w:w="1334"/>
            <w:shd w:fill="F3F6FA" w:color="auto" w:val="clear"/>
            <w:tcMar>
              <w:top w:type="dxa" w:w="60"/>
              <w:left w:type="dxa" w:w="90"/>
              <w:bottom w:type="dxa" w:w="60"/>
              <w:right w:type="dxa" w:w="90"/>
            </w:tcMar>
            <w:vAlign w:val="center"/>
          </w:tcPr>
          <w:p>
            <w:pPr>
              <w:spacing w:after="20" w:line="250"/>
            </w:pPr>
            <w:r>
              <w:rPr>
                <w:sz w:val="18"/>
                <w:szCs w:val="18"/>
              </w:rPr>
              <w:t xml:space="preserve">fails</w:t>
            </w:r>
          </w:p>
        </w:tc>
        <w:tc>
          <w:tcPr>
            <w:tcW w:type="dxa" w:w="2819"/>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OutOfMemoryError</w:t>
            </w:r>
            <w:r>
              <w:rPr>
                <w:sz w:val="18"/>
                <w:szCs w:val="18"/>
              </w:rPr>
              <w:t xml:space="preserve"> at 1 GB and at 6 GB</w:t>
            </w:r>
          </w:p>
        </w:tc>
      </w:tr>
    </w:tbl>
    <w:p>
      <w:pPr>
        <w:spacing w:after="120"/>
      </w:pPr>
    </w:p>
    <w:p>
      <w:r>
        <w:t xml:space="preserve">Most of each run is Spark's fixed start-up cost; the per-pixel work itself takes seconds. The decisive design choice is </w:t>
      </w:r>
      <w:r>
        <w:rPr>
          <w:b/>
          <w:bCs/>
        </w:rPr>
        <w:t xml:space="preserve">what each task has to decode</w:t>
      </w:r>
      <w:r>
        <w:t xml:space="preserve">: a 512-pixel tile with 231 float32 bands is ~242 MB in memory, and local Spark decodes one tile per core in parallel. Reducing the input to the bands a job actually needs turned a failing job into a 7-second one without any change to the job code.</w:t>
      </w:r>
    </w:p>
    <w:p>
      <w:pPr>
        <w:pStyle w:val="Heading1"/>
      </w:pPr>
      <w:bookmarkStart w:name="_Toc31" w:id="31"/>
      <w:r>
        <w:t xml:space="preserve">10. Defects fixed in version 0.2</w:t>
      </w:r>
      <w:bookmarkEnd w:id="31"/>
    </w:p>
    <w:p>
      <w:pPr>
        <w:keepNext/>
        <w:spacing w:after="80" w:before="160"/>
      </w:pPr>
      <w:r>
        <w:rPr>
          <w:b/>
          <w:bCs/>
          <w:color w:val="52514E"/>
          <w:sz w:val="18"/>
          <w:szCs w:val="18"/>
        </w:rPr>
        <w:t xml:space="preserve">Table 17.</w:t>
      </w:r>
      <w:r>
        <w:rPr>
          <w:color w:val="52514E"/>
          <w:sz w:val="18"/>
          <w:szCs w:val="18"/>
        </w:rPr>
        <w:t xml:space="preserve"> Defects found while validating on a real EnMAP scene.</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560"/>
        <w:gridCol w:w="2710"/>
        <w:gridCol w:w="2409"/>
        <w:gridCol w:w="1959"/>
      </w:tblGrid>
      <w:tr>
        <w:trPr>
          <w:cantSplit/>
          <w:tblHeader/>
        </w:trPr>
        <w:tc>
          <w:tcPr>
            <w:tcW w:type="dxa" w:w="256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Symptom</w:t>
            </w:r>
          </w:p>
        </w:tc>
        <w:tc>
          <w:tcPr>
            <w:tcW w:type="dxa" w:w="2710"/>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Cause</w:t>
            </w:r>
          </w:p>
        </w:tc>
        <w:tc>
          <w:tcPr>
            <w:tcW w:type="dxa" w:w="240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Fix</w:t>
            </w:r>
          </w:p>
        </w:tc>
        <w:tc>
          <w:tcPr>
            <w:tcW w:type="dxa" w:w="195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Evidence</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Q4 mean NDVI 0.393 on EnMAP (true 0.562)</w:t>
            </w:r>
          </w:p>
        </w:tc>
        <w:tc>
          <w:tcPr>
            <w:tcW w:type="dxa" w:w="2710"/>
            <w:tcMar>
              <w:top w:type="dxa" w:w="60"/>
              <w:left w:type="dxa" w:w="90"/>
              <w:bottom w:type="dxa" w:w="60"/>
              <w:right w:type="dxa" w:w="90"/>
            </w:tcMar>
            <w:vAlign w:val="center"/>
          </w:tcPr>
          <w:p>
            <w:pPr>
              <w:spacing w:after="20" w:line="250"/>
            </w:pPr>
            <w:r>
              <w:rPr>
                <w:sz w:val="18"/>
                <w:szCs w:val="18"/>
              </w:rPr>
              <w:t xml:space="preserve">Scale factor copied into the GeoTIFF and applied by GeoTools; background no longer matched</w:t>
            </w:r>
          </w:p>
        </w:tc>
        <w:tc>
          <w:tcPr>
            <w:tcW w:type="dxa" w:w="2409"/>
            <w:tcMar>
              <w:top w:type="dxa" w:w="60"/>
              <w:left w:type="dxa" w:w="90"/>
              <w:bottom w:type="dxa" w:w="60"/>
              <w:right w:type="dxa" w:w="90"/>
            </w:tcMar>
            <w:vAlign w:val="center"/>
          </w:tcPr>
          <w:p>
            <w:pPr>
              <w:spacing w:after="20" w:line="250"/>
            </w:pPr>
            <w:r>
              <w:rPr>
                <w:sz w:val="18"/>
                <w:szCs w:val="18"/>
              </w:rPr>
              <w:t xml:space="preserve">Strip scale/offset and no-data flag; pass </w:t>
            </w:r>
            <w:r>
              <w:rPr>
                <w:rFonts w:ascii="Courier New" w:cs="Courier New" w:eastAsia="Courier New" w:hAnsi="Courier New"/>
                <w:sz w:val="16"/>
                <w:szCs w:val="16"/>
              </w:rPr>
              <w:t xml:space="preserve">--nodata</w:t>
            </w:r>
          </w:p>
        </w:tc>
        <w:tc>
          <w:tcPr>
            <w:tcW w:type="dxa" w:w="1959"/>
            <w:tcMar>
              <w:top w:type="dxa" w:w="60"/>
              <w:left w:type="dxa" w:w="90"/>
              <w:bottom w:type="dxa" w:w="60"/>
              <w:right w:type="dxa" w:w="90"/>
            </w:tcMar>
            <w:vAlign w:val="center"/>
          </w:tcPr>
          <w:p>
            <w:pPr>
              <w:spacing w:after="20" w:line="250"/>
            </w:pPr>
            <w:r>
              <w:rPr>
                <w:sz w:val="18"/>
                <w:szCs w:val="18"/>
              </w:rPr>
              <w:t xml:space="preserve">Validation: 0.5616 = NumPy</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Q1–Q3 crash with </w:t>
            </w:r>
            <w:r>
              <w:rPr>
                <w:rFonts w:ascii="Courier New" w:cs="Courier New" w:eastAsia="Courier New" w:hAnsi="Courier New"/>
                <w:sz w:val="16"/>
                <w:szCs w:val="16"/>
              </w:rPr>
              <w:t xml:space="preserve">OutOfMemoryError</w:t>
            </w:r>
            <w:r>
              <w:rPr>
                <w:sz w:val="18"/>
                <w:szCs w:val="18"/>
              </w:rPr>
              <w:t xml:space="preserve"> on real engine output</w:t>
            </w:r>
          </w:p>
        </w:tc>
        <w:tc>
          <w:tcPr>
            <w:tcW w:type="dxa" w:w="2710"/>
            <w:shd w:fill="F3F6FA" w:color="auto" w:val="clear"/>
            <w:tcMar>
              <w:top w:type="dxa" w:w="60"/>
              <w:left w:type="dxa" w:w="90"/>
              <w:bottom w:type="dxa" w:w="60"/>
              <w:right w:type="dxa" w:w="90"/>
            </w:tcMar>
            <w:vAlign w:val="center"/>
          </w:tcPr>
          <w:p>
            <w:pPr>
              <w:spacing w:after="20" w:line="250"/>
            </w:pPr>
            <w:r>
              <w:rPr>
                <w:sz w:val="18"/>
                <w:szCs w:val="18"/>
              </w:rPr>
              <w:t xml:space="preserve">Whole 231-band tiles decoded per task</w:t>
            </w:r>
          </w:p>
        </w:tc>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Extract the 7 index bands on the worker thread</w:t>
            </w:r>
          </w:p>
        </w:tc>
        <w:tc>
          <w:tcPr>
            <w:tcW w:type="dxa" w:w="1959"/>
            <w:shd w:fill="F3F6FA" w:color="auto" w:val="clear"/>
            <w:tcMar>
              <w:top w:type="dxa" w:w="60"/>
              <w:left w:type="dxa" w:w="90"/>
              <w:bottom w:type="dxa" w:w="60"/>
              <w:right w:type="dxa" w:w="90"/>
            </w:tcMar>
            <w:vAlign w:val="center"/>
          </w:tcPr>
          <w:p>
            <w:pPr>
              <w:spacing w:after="20" w:line="250"/>
            </w:pPr>
            <w:r>
              <w:rPr>
                <w:sz w:val="18"/>
                <w:szCs w:val="18"/>
              </w:rPr>
              <w:t xml:space="preserve">Smoke test: Q3 passes in 6.3–9.0 s</w:t>
            </w:r>
          </w:p>
        </w:tc>
      </w:tr>
      <w:tr>
        <w:trPr>
          <w:cantSplit/>
        </w:trPr>
        <w:tc>
          <w:tcPr>
            <w:tcW w:type="dxa" w:w="2560"/>
            <w:tcMar>
              <w:top w:type="dxa" w:w="60"/>
              <w:left w:type="dxa" w:w="90"/>
              <w:bottom w:type="dxa" w:w="60"/>
              <w:right w:type="dxa" w:w="90"/>
            </w:tcMar>
            <w:vAlign w:val="center"/>
          </w:tcPr>
          <w:p>
            <w:pPr>
              <w:spacing w:after="20" w:line="250"/>
            </w:pPr>
            <w:r>
              <w:rPr>
                <w:sz w:val="18"/>
                <w:szCs w:val="18"/>
              </w:rPr>
              <w:t xml:space="preserve">Q3 reports empty tiles as vegetated</w:t>
            </w:r>
          </w:p>
        </w:tc>
        <w:tc>
          <w:tcPr>
            <w:tcW w:type="dxa" w:w="2710"/>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NaN &gt;= threshold</w:t>
            </w:r>
            <w:r>
              <w:rPr>
                <w:sz w:val="18"/>
                <w:szCs w:val="18"/>
              </w:rPr>
              <w:t xml:space="preserve"> is true in Spark SQL</w:t>
            </w:r>
          </w:p>
        </w:tc>
        <w:tc>
          <w:tcPr>
            <w:tcW w:type="dxa" w:w="2409"/>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NOT isnan(mean_ndvi)</w:t>
            </w:r>
            <w:r>
              <w:rPr>
                <w:sz w:val="18"/>
                <w:szCs w:val="18"/>
              </w:rPr>
              <w:t xml:space="preserve"> filter</w:t>
            </w:r>
          </w:p>
        </w:tc>
        <w:tc>
          <w:tcPr>
            <w:tcW w:type="dxa" w:w="1959"/>
            <w:tcMar>
              <w:top w:type="dxa" w:w="60"/>
              <w:left w:type="dxa" w:w="90"/>
              <w:bottom w:type="dxa" w:w="60"/>
              <w:right w:type="dxa" w:w="90"/>
            </w:tcMar>
            <w:vAlign w:val="center"/>
          </w:tcPr>
          <w:p>
            <w:pPr>
              <w:spacing w:after="20" w:line="250"/>
            </w:pPr>
            <w:r>
              <w:rPr>
                <w:sz w:val="18"/>
                <w:szCs w:val="18"/>
              </w:rPr>
              <w:t xml:space="preserve">7 reported → 4 real</w:t>
            </w:r>
          </w:p>
        </w:tc>
      </w:tr>
      <w:tr>
        <w:trPr>
          <w:cantSplit/>
        </w:trPr>
        <w:tc>
          <w:tcPr>
            <w:tcW w:type="dxa" w:w="2560"/>
            <w:shd w:fill="F3F6FA" w:color="auto" w:val="clear"/>
            <w:tcMar>
              <w:top w:type="dxa" w:w="60"/>
              <w:left w:type="dxa" w:w="90"/>
              <w:bottom w:type="dxa" w:w="60"/>
              <w:right w:type="dxa" w:w="90"/>
            </w:tcMar>
            <w:vAlign w:val="center"/>
          </w:tcPr>
          <w:p>
            <w:pPr>
              <w:spacing w:after="20" w:line="250"/>
            </w:pPr>
            <w:r>
              <w:rPr>
                <w:sz w:val="18"/>
                <w:szCs w:val="18"/>
              </w:rPr>
              <w:t xml:space="preserve">Spark child can die before starting when launched from QGIS</w:t>
            </w:r>
          </w:p>
        </w:tc>
        <w:tc>
          <w:tcPr>
            <w:tcW w:type="dxa" w:w="2710"/>
            <w:shd w:fill="F3F6FA" w:color="auto" w:val="clear"/>
            <w:tcMar>
              <w:top w:type="dxa" w:w="60"/>
              <w:left w:type="dxa" w:w="90"/>
              <w:bottom w:type="dxa" w:w="60"/>
              <w:right w:type="dxa" w:w="90"/>
            </w:tcMar>
            <w:vAlign w:val="center"/>
          </w:tcPr>
          <w:p>
            <w:pPr>
              <w:spacing w:after="20" w:line="250"/>
            </w:pPr>
            <w:r>
              <w:rPr>
                <w:sz w:val="18"/>
                <w:szCs w:val="18"/>
              </w:rPr>
              <w:t xml:space="preserve">Inherited </w:t>
            </w:r>
            <w:r>
              <w:rPr>
                <w:rFonts w:ascii="Courier New" w:cs="Courier New" w:eastAsia="Courier New" w:hAnsi="Courier New"/>
                <w:sz w:val="16"/>
                <w:szCs w:val="16"/>
              </w:rPr>
              <w:t xml:space="preserve">PYTHONHOME</w:t>
            </w:r>
            <w:r>
              <w:rPr>
                <w:sz w:val="18"/>
                <w:szCs w:val="18"/>
              </w:rPr>
              <w:t xml:space="preserve"> / </w:t>
            </w:r>
            <w:r>
              <w:rPr>
                <w:rFonts w:ascii="Courier New" w:cs="Courier New" w:eastAsia="Courier New" w:hAnsi="Courier New"/>
                <w:sz w:val="16"/>
                <w:szCs w:val="16"/>
              </w:rPr>
              <w:t xml:space="preserve">PYTHONPATH</w:t>
            </w:r>
          </w:p>
        </w:tc>
        <w:tc>
          <w:tcPr>
            <w:tcW w:type="dxa" w:w="2409"/>
            <w:shd w:fill="F3F6FA" w:color="auto" w:val="clear"/>
            <w:tcMar>
              <w:top w:type="dxa" w:w="60"/>
              <w:left w:type="dxa" w:w="90"/>
              <w:bottom w:type="dxa" w:w="60"/>
              <w:right w:type="dxa" w:w="90"/>
            </w:tcMar>
            <w:vAlign w:val="center"/>
          </w:tcPr>
          <w:p>
            <w:pPr>
              <w:spacing w:after="20" w:line="250"/>
            </w:pPr>
            <w:r>
              <w:rPr>
                <w:sz w:val="18"/>
                <w:szCs w:val="18"/>
              </w:rPr>
              <w:t xml:space="preserve">Removed in </w:t>
            </w:r>
            <w:r>
              <w:rPr>
                <w:rFonts w:ascii="Courier New" w:cs="Courier New" w:eastAsia="Courier New" w:hAnsi="Courier New"/>
                <w:sz w:val="16"/>
                <w:szCs w:val="16"/>
              </w:rPr>
              <w:t xml:space="preserve">spark_env()</w:t>
            </w:r>
          </w:p>
        </w:tc>
        <w:tc>
          <w:tcPr>
            <w:tcW w:type="dxa" w:w="1959"/>
            <w:shd w:fill="F3F6FA" w:color="auto" w:val="clear"/>
            <w:tcMar>
              <w:top w:type="dxa" w:w="60"/>
              <w:left w:type="dxa" w:w="90"/>
              <w:bottom w:type="dxa" w:w="60"/>
              <w:right w:type="dxa" w:w="90"/>
            </w:tcMar>
            <w:vAlign w:val="center"/>
          </w:tcPr>
          <w:p>
            <w:pPr>
              <w:spacing w:after="20" w:line="250"/>
            </w:pPr>
            <w:r>
              <w:rPr>
                <w:sz w:val="18"/>
                <w:szCs w:val="18"/>
              </w:rPr>
              <w:t xml:space="preserve">Reproduced and fixed in the headless test</w:t>
            </w:r>
          </w:p>
        </w:tc>
      </w:tr>
    </w:tbl>
    <w:p>
      <w:pPr>
        <w:spacing w:after="120"/>
      </w:pPr>
    </w:p>
    <w:p>
      <w:pPr>
        <w:pStyle w:val="Heading1"/>
      </w:pPr>
      <w:bookmarkStart w:name="_Toc32" w:id="32"/>
      <w:r>
        <w:t xml:space="preserve">11. Limitations and troubleshooting</w:t>
      </w:r>
      <w:bookmarkEnd w:id="32"/>
    </w:p>
    <w:p>
      <w:pPr>
        <w:pStyle w:val="Heading2"/>
      </w:pPr>
      <w:bookmarkStart w:name="_Toc33" w:id="33"/>
      <w:r>
        <w:t xml:space="preserve">11.1 Known limitations</w:t>
      </w:r>
      <w:bookmarkEnd w:id="33"/>
    </w:p>
    <w:p>
      <w:pPr>
        <w:keepNext/>
        <w:spacing w:after="80" w:before="160"/>
      </w:pPr>
      <w:r>
        <w:rPr>
          <w:b/>
          <w:bCs/>
          <w:color w:val="52514E"/>
          <w:sz w:val="18"/>
          <w:szCs w:val="18"/>
        </w:rPr>
        <w:t xml:space="preserve">Table 18.</w:t>
      </w:r>
      <w:r>
        <w:rPr>
          <w:color w:val="52514E"/>
          <w:sz w:val="18"/>
          <w:szCs w:val="18"/>
        </w:rPr>
        <w:t xml:space="preserve"> Known limitations.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602"/>
        <w:gridCol w:w="4517"/>
        <w:gridCol w:w="4519"/>
      </w:tblGrid>
      <w:tr>
        <w:trPr>
          <w:cantSplit/>
          <w:tblHeader/>
        </w:trPr>
        <w:tc>
          <w:tcPr>
            <w:tcW w:type="dxa" w:w="60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t>
            </w:r>
          </w:p>
        </w:tc>
        <w:tc>
          <w:tcPr>
            <w:tcW w:type="dxa" w:w="4517"/>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Limitation</w:t>
            </w:r>
          </w:p>
        </w:tc>
        <w:tc>
          <w:tcPr>
            <w:tcW w:type="dxa" w:w="4519"/>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Impact / mitigation</w:t>
            </w:r>
          </w:p>
        </w:tc>
      </w:tr>
      <w:tr>
        <w:trPr>
          <w:cantSplit/>
        </w:trPr>
        <w:tc>
          <w:tcPr>
            <w:tcW w:type="dxa" w:w="602"/>
            <w:tcMar>
              <w:top w:type="dxa" w:w="60"/>
              <w:left w:type="dxa" w:w="90"/>
              <w:bottom w:type="dxa" w:w="60"/>
              <w:right w:type="dxa" w:w="90"/>
            </w:tcMar>
            <w:vAlign w:val="center"/>
          </w:tcPr>
          <w:p>
            <w:pPr>
              <w:spacing w:after="20" w:line="250"/>
            </w:pPr>
            <w:r>
              <w:rPr>
                <w:sz w:val="18"/>
                <w:szCs w:val="18"/>
              </w:rPr>
              <w:t xml:space="preserve">L2</w:t>
            </w:r>
          </w:p>
        </w:tc>
        <w:tc>
          <w:tcPr>
            <w:tcW w:type="dxa" w:w="4517"/>
            <w:tcMar>
              <w:top w:type="dxa" w:w="60"/>
              <w:left w:type="dxa" w:w="90"/>
              <w:bottom w:type="dxa" w:w="60"/>
              <w:right w:type="dxa" w:w="90"/>
            </w:tcMar>
            <w:vAlign w:val="center"/>
          </w:tcPr>
          <w:p>
            <w:pPr>
              <w:spacing w:after="20" w:line="250"/>
            </w:pPr>
            <w:r>
              <w:rPr>
                <w:sz w:val="18"/>
                <w:szCs w:val="18"/>
              </w:rPr>
              <w:t xml:space="preserve">The processing engine assigns no indices to edge tiles that are more than 50 % background (its bad-band rule counts the background as no-data).</w:t>
            </w:r>
          </w:p>
        </w:tc>
        <w:tc>
          <w:tcPr>
            <w:tcW w:type="dxa" w:w="4519"/>
            <w:tcMar>
              <w:top w:type="dxa" w:w="60"/>
              <w:left w:type="dxa" w:w="90"/>
              <w:bottom w:type="dxa" w:w="60"/>
              <w:right w:type="dxa" w:w="90"/>
            </w:tcMar>
            <w:vAlign w:val="center"/>
          </w:tcPr>
          <w:p>
            <w:pPr>
              <w:spacing w:after="20" w:line="250"/>
            </w:pPr>
            <w:r>
              <w:rPr>
                <w:sz w:val="18"/>
                <w:szCs w:val="18"/>
              </w:rPr>
              <w:t xml:space="preserve">Upstream of this plugin: on the test scene 3 of 9 tiles (71,649 valid pixels, 6.7 %) have no indices, so Q1–Q3 see them as empty. Fix belongs in the engine.</w:t>
            </w:r>
          </w:p>
        </w:tc>
      </w:tr>
      <w:tr>
        <w:trPr>
          <w:cantSplit/>
        </w:trPr>
        <w:tc>
          <w:tcPr>
            <w:tcW w:type="dxa" w:w="602"/>
            <w:shd w:fill="F3F6FA" w:color="auto" w:val="clear"/>
            <w:tcMar>
              <w:top w:type="dxa" w:w="60"/>
              <w:left w:type="dxa" w:w="90"/>
              <w:bottom w:type="dxa" w:w="60"/>
              <w:right w:type="dxa" w:w="90"/>
            </w:tcMar>
            <w:vAlign w:val="center"/>
          </w:tcPr>
          <w:p>
            <w:pPr>
              <w:spacing w:after="20" w:line="250"/>
            </w:pPr>
            <w:r>
              <w:rPr>
                <w:sz w:val="18"/>
                <w:szCs w:val="18"/>
              </w:rPr>
              <w:t xml:space="preserve">L3</w:t>
            </w:r>
          </w:p>
        </w:tc>
        <w:tc>
          <w:tcPr>
            <w:tcW w:type="dxa" w:w="4517"/>
            <w:shd w:fill="F3F6FA" w:color="auto" w:val="clear"/>
            <w:tcMar>
              <w:top w:type="dxa" w:w="60"/>
              <w:left w:type="dxa" w:w="90"/>
              <w:bottom w:type="dxa" w:w="60"/>
              <w:right w:type="dxa" w:w="90"/>
            </w:tcMar>
            <w:vAlign w:val="center"/>
          </w:tcPr>
          <w:p>
            <w:pPr>
              <w:spacing w:after="20" w:line="250"/>
            </w:pPr>
            <w:r>
              <w:rPr>
                <w:sz w:val="18"/>
                <w:szCs w:val="18"/>
              </w:rPr>
              <w:t xml:space="preserve">EPSG:4326 axis order in </w:t>
            </w:r>
            <w:r>
              <w:rPr>
                <w:rFonts w:ascii="Courier New" w:cs="Courier New" w:eastAsia="Courier New" w:hAnsi="Courier New"/>
                <w:sz w:val="16"/>
                <w:szCs w:val="16"/>
              </w:rPr>
              <w:t xml:space="preserve">ST_Transform</w:t>
            </w:r>
            <w:r>
              <w:rPr>
                <w:sz w:val="18"/>
                <w:szCs w:val="18"/>
              </w:rPr>
              <w:t xml:space="preserve"> on some GeoTools builds.</w:t>
            </w:r>
          </w:p>
        </w:tc>
        <w:tc>
          <w:tcPr>
            <w:tcW w:type="dxa" w:w="4519"/>
            <w:shd w:fill="F3F6FA" w:color="auto" w:val="clear"/>
            <w:tcMar>
              <w:top w:type="dxa" w:w="60"/>
              <w:left w:type="dxa" w:w="90"/>
              <w:bottom w:type="dxa" w:w="60"/>
              <w:right w:type="dxa" w:w="90"/>
            </w:tcMar>
            <w:vAlign w:val="center"/>
          </w:tcPr>
          <w:p>
            <w:pPr>
              <w:spacing w:after="20" w:line="250"/>
            </w:pPr>
            <w:r>
              <w:rPr>
                <w:sz w:val="18"/>
                <w:szCs w:val="18"/>
              </w:rPr>
              <w:t xml:space="preserve">Verified correct with Sedona 1.5.1 + geotools-wrapper 1.5.1-28.2 on UTM 32N data; re-check after upgrades.</w:t>
            </w:r>
          </w:p>
        </w:tc>
      </w:tr>
      <w:tr>
        <w:trPr>
          <w:cantSplit/>
        </w:trPr>
        <w:tc>
          <w:tcPr>
            <w:tcW w:type="dxa" w:w="602"/>
            <w:tcMar>
              <w:top w:type="dxa" w:w="60"/>
              <w:left w:type="dxa" w:w="90"/>
              <w:bottom w:type="dxa" w:w="60"/>
              <w:right w:type="dxa" w:w="90"/>
            </w:tcMar>
            <w:vAlign w:val="center"/>
          </w:tcPr>
          <w:p>
            <w:pPr>
              <w:spacing w:after="20" w:line="250"/>
            </w:pPr>
            <w:r>
              <w:rPr>
                <w:sz w:val="18"/>
                <w:szCs w:val="18"/>
              </w:rPr>
              <w:t xml:space="preserve">L4</w:t>
            </w:r>
          </w:p>
        </w:tc>
        <w:tc>
          <w:tcPr>
            <w:tcW w:type="dxa" w:w="4517"/>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RS_ZonalStats</w:t>
            </w:r>
            <w:r>
              <w:rPr>
                <w:sz w:val="18"/>
                <w:szCs w:val="18"/>
              </w:rPr>
              <w:t xml:space="preserve"> over </w:t>
            </w:r>
            <w:r>
              <w:rPr>
                <w:rFonts w:ascii="Courier New" w:cs="Courier New" w:eastAsia="Courier New" w:hAnsi="Courier New"/>
                <w:sz w:val="16"/>
                <w:szCs w:val="16"/>
              </w:rPr>
              <w:t xml:space="preserve">RS_Envelope(rast)</w:t>
            </w:r>
            <w:r>
              <w:rPr>
                <w:sz w:val="18"/>
                <w:szCs w:val="18"/>
              </w:rPr>
              <w:t xml:space="preserve"> skips the raster's outermost pixel ring.</w:t>
            </w:r>
          </w:p>
        </w:tc>
        <w:tc>
          <w:tcPr>
            <w:tcW w:type="dxa" w:w="4519"/>
            <w:tcMar>
              <w:top w:type="dxa" w:w="60"/>
              <w:left w:type="dxa" w:w="90"/>
              <w:bottom w:type="dxa" w:w="60"/>
              <w:right w:type="dxa" w:w="90"/>
            </w:tcMar>
            <w:vAlign w:val="center"/>
          </w:tcPr>
          <w:p>
            <w:pPr>
              <w:spacing w:after="20" w:line="250"/>
            </w:pPr>
            <w:r>
              <w:rPr>
                <w:sz w:val="18"/>
                <w:szCs w:val="18"/>
              </w:rPr>
              <w:t xml:space="preserve">13 of 1,069,499 pixels on the test scene; means unaffected at 4 decimals.</w:t>
            </w:r>
          </w:p>
        </w:tc>
      </w:tr>
      <w:tr>
        <w:trPr>
          <w:cantSplit/>
        </w:trPr>
        <w:tc>
          <w:tcPr>
            <w:tcW w:type="dxa" w:w="602"/>
            <w:shd w:fill="F3F6FA" w:color="auto" w:val="clear"/>
            <w:tcMar>
              <w:top w:type="dxa" w:w="60"/>
              <w:left w:type="dxa" w:w="90"/>
              <w:bottom w:type="dxa" w:w="60"/>
              <w:right w:type="dxa" w:w="90"/>
            </w:tcMar>
            <w:vAlign w:val="center"/>
          </w:tcPr>
          <w:p>
            <w:pPr>
              <w:spacing w:after="20" w:line="250"/>
            </w:pPr>
            <w:r>
              <w:rPr>
                <w:sz w:val="18"/>
                <w:szCs w:val="18"/>
              </w:rPr>
              <w:t xml:space="preserve">L5</w:t>
            </w:r>
          </w:p>
        </w:tc>
        <w:tc>
          <w:tcPr>
            <w:tcW w:type="dxa" w:w="4517"/>
            <w:shd w:fill="F3F6FA" w:color="auto" w:val="clear"/>
            <w:tcMar>
              <w:top w:type="dxa" w:w="60"/>
              <w:left w:type="dxa" w:w="90"/>
              <w:bottom w:type="dxa" w:w="60"/>
              <w:right w:type="dxa" w:w="90"/>
            </w:tcMar>
            <w:vAlign w:val="center"/>
          </w:tcPr>
          <w:p>
            <w:pPr>
              <w:spacing w:after="20" w:line="250"/>
            </w:pPr>
            <w:r>
              <w:rPr>
                <w:sz w:val="18"/>
                <w:szCs w:val="18"/>
              </w:rPr>
              <w:t xml:space="preserve">K-Means clusters are not classes: rare classes need a suitable k and features; clouds and bright snow are not separated; cluster numbers depend on the seed.</w:t>
            </w:r>
          </w:p>
        </w:tc>
        <w:tc>
          <w:tcPr>
            <w:tcW w:type="dxa" w:w="4519"/>
            <w:shd w:fill="F3F6FA" w:color="auto" w:val="clear"/>
            <w:tcMar>
              <w:top w:type="dxa" w:w="60"/>
              <w:left w:type="dxa" w:w="90"/>
              <w:bottom w:type="dxa" w:w="60"/>
              <w:right w:type="dxa" w:w="90"/>
            </w:tcMar>
            <w:vAlign w:val="center"/>
          </w:tcPr>
          <w:p>
            <w:pPr>
              <w:spacing w:after="20" w:line="250"/>
            </w:pPr>
            <w:r>
              <w:rPr>
                <w:sz w:val="18"/>
                <w:szCs w:val="18"/>
              </w:rPr>
              <w:t xml:space="preserve">Use the validated defaults (k = 8, shape + brightness, seed 42); treat labels as suggestions.</w:t>
            </w:r>
          </w:p>
        </w:tc>
      </w:tr>
      <w:tr>
        <w:trPr>
          <w:cantSplit/>
        </w:trPr>
        <w:tc>
          <w:tcPr>
            <w:tcW w:type="dxa" w:w="602"/>
            <w:tcMar>
              <w:top w:type="dxa" w:w="60"/>
              <w:left w:type="dxa" w:w="90"/>
              <w:bottom w:type="dxa" w:w="60"/>
              <w:right w:type="dxa" w:w="90"/>
            </w:tcMar>
            <w:vAlign w:val="center"/>
          </w:tcPr>
          <w:p>
            <w:pPr>
              <w:spacing w:after="20" w:line="250"/>
            </w:pPr>
            <w:r>
              <w:rPr>
                <w:sz w:val="18"/>
                <w:szCs w:val="18"/>
              </w:rPr>
              <w:t xml:space="preserve">—</w:t>
            </w:r>
          </w:p>
        </w:tc>
        <w:tc>
          <w:tcPr>
            <w:tcW w:type="dxa" w:w="4517"/>
            <w:tcMar>
              <w:top w:type="dxa" w:w="60"/>
              <w:left w:type="dxa" w:w="90"/>
              <w:bottom w:type="dxa" w:w="60"/>
              <w:right w:type="dxa" w:w="90"/>
            </w:tcMar>
            <w:vAlign w:val="center"/>
          </w:tcPr>
          <w:p>
            <w:pPr>
              <w:spacing w:after="20" w:line="250"/>
            </w:pPr>
            <w:r>
              <w:rPr>
                <w:sz w:val="18"/>
                <w:szCs w:val="18"/>
              </w:rPr>
              <w:t xml:space="preserve">Local mode only was tested.</w:t>
            </w:r>
          </w:p>
        </w:tc>
        <w:tc>
          <w:tcPr>
            <w:tcW w:type="dxa" w:w="4519"/>
            <w:tcMar>
              <w:top w:type="dxa" w:w="60"/>
              <w:left w:type="dxa" w:w="90"/>
              <w:bottom w:type="dxa" w:w="60"/>
              <w:right w:type="dxa" w:w="90"/>
            </w:tcMar>
            <w:vAlign w:val="center"/>
          </w:tcPr>
          <w:p>
            <w:pPr>
              <w:spacing w:after="20" w:line="250"/>
            </w:pPr>
            <w:r>
              <w:rPr>
                <w:sz w:val="18"/>
                <w:szCs w:val="18"/>
              </w:rPr>
              <w:t xml:space="preserve">The jobs are plain Spark and can run on a cluster with shared storage; not yet measured.</w:t>
            </w:r>
          </w:p>
        </w:tc>
      </w:tr>
    </w:tbl>
    <w:p>
      <w:pPr>
        <w:spacing w:after="120"/>
      </w:pPr>
    </w:p>
    <w:p>
      <w:pPr>
        <w:pStyle w:val="Heading2"/>
      </w:pPr>
      <w:bookmarkStart w:name="_Toc34" w:id="34"/>
      <w:r>
        <w:t xml:space="preserve">11.2 Troubleshooting</w:t>
      </w:r>
      <w:bookmarkEnd w:id="34"/>
    </w:p>
    <w:p>
      <w:pPr>
        <w:keepNext/>
        <w:spacing w:after="80" w:before="160"/>
      </w:pPr>
      <w:r>
        <w:rPr>
          <w:b/>
          <w:bCs/>
          <w:color w:val="52514E"/>
          <w:sz w:val="18"/>
          <w:szCs w:val="18"/>
        </w:rPr>
        <w:t xml:space="preserve">Table 19.</w:t>
      </w:r>
      <w:r>
        <w:rPr>
          <w:color w:val="52514E"/>
          <w:sz w:val="18"/>
          <w:szCs w:val="18"/>
        </w:rPr>
        <w:t xml:space="preserve"> Troubleshooting.</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3011"/>
        <w:gridCol w:w="3011"/>
        <w:gridCol w:w="3616"/>
      </w:tblGrid>
      <w:tr>
        <w:trPr>
          <w:cantSplit/>
          <w:tblHeader/>
        </w:trPr>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Symptom</w:t>
            </w:r>
          </w:p>
        </w:tc>
        <w:tc>
          <w:tcPr>
            <w:tcW w:type="dxa" w:w="3011"/>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Likely cause</w:t>
            </w:r>
          </w:p>
        </w:tc>
        <w:tc>
          <w:tcPr>
            <w:tcW w:type="dxa" w:w="3616"/>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What to do</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Spark row is red / “spark-submit not found”</w:t>
            </w:r>
          </w:p>
        </w:tc>
        <w:tc>
          <w:tcPr>
            <w:tcW w:type="dxa" w:w="3011"/>
            <w:tcMar>
              <w:top w:type="dxa" w:w="60"/>
              <w:left w:type="dxa" w:w="90"/>
              <w:bottom w:type="dxa" w:w="60"/>
              <w:right w:type="dxa" w:w="90"/>
            </w:tcMar>
            <w:vAlign w:val="center"/>
          </w:tcPr>
          <w:p>
            <w:pPr>
              <w:spacing w:after="20" w:line="250"/>
            </w:pPr>
            <w:r>
              <w:rPr>
                <w:sz w:val="18"/>
                <w:szCs w:val="18"/>
              </w:rPr>
              <w:t xml:space="preserve">QGIS launched from Finder has no shell </w:t>
            </w:r>
            <w:r>
              <w:rPr>
                <w:rFonts w:ascii="Courier New" w:cs="Courier New" w:eastAsia="Courier New" w:hAnsi="Courier New"/>
                <w:sz w:val="16"/>
                <w:szCs w:val="16"/>
              </w:rPr>
              <w:t xml:space="preserve">PATH</w:t>
            </w:r>
          </w:p>
        </w:tc>
        <w:tc>
          <w:tcPr>
            <w:tcW w:type="dxa" w:w="3616"/>
            <w:tcMar>
              <w:top w:type="dxa" w:w="60"/>
              <w:left w:type="dxa" w:w="90"/>
              <w:bottom w:type="dxa" w:w="60"/>
              <w:right w:type="dxa" w:w="90"/>
            </w:tcMar>
            <w:vAlign w:val="center"/>
          </w:tcPr>
          <w:p>
            <w:pPr>
              <w:spacing w:after="20" w:line="250"/>
            </w:pPr>
            <w:r>
              <w:rPr>
                <w:sz w:val="18"/>
                <w:szCs w:val="18"/>
              </w:rPr>
              <w:t xml:space="preserve">Click Browse and select the environment's </w:t>
            </w:r>
            <w:r>
              <w:rPr>
                <w:rFonts w:ascii="Courier New" w:cs="Courier New" w:eastAsia="Courier New" w:hAnsi="Courier New"/>
                <w:sz w:val="16"/>
                <w:szCs w:val="16"/>
              </w:rPr>
              <w:t xml:space="preserve">spark-submit</w:t>
            </w:r>
            <w:r>
              <w:rPr>
                <w:sz w:val="18"/>
                <w:szCs w:val="18"/>
              </w:rPr>
              <w:t xml:space="preserve">.</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JVM crash right after start on macOS</w:t>
            </w:r>
          </w:p>
        </w:tc>
        <w:tc>
          <w:tcPr>
            <w:tcW w:type="dxa" w:w="3011"/>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HADOOP_CONF_DIR</w:t>
            </w:r>
            <w:r>
              <w:rPr>
                <w:sz w:val="18"/>
                <w:szCs w:val="18"/>
              </w:rPr>
              <w:t xml:space="preserve"> set in the environment</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The plugin clears it; for manual runs use </w:t>
            </w:r>
            <w:r>
              <w:rPr>
                <w:rFonts w:ascii="Courier New" w:cs="Courier New" w:eastAsia="Courier New" w:hAnsi="Courier New"/>
                <w:sz w:val="16"/>
                <w:szCs w:val="16"/>
              </w:rPr>
              <w:t xml:space="preserve">HADOOP_CONF_DIR=""</w:t>
            </w:r>
            <w:r>
              <w:rPr>
                <w:sz w:val="18"/>
                <w:szCs w:val="18"/>
              </w:rPr>
              <w:t xml:space="preserve">.</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“SRE module mismatch” or “No module named encodings”</w:t>
            </w:r>
          </w:p>
        </w:tc>
        <w:tc>
          <w:tcPr>
            <w:tcW w:type="dxa" w:w="3011"/>
            <w:tcMar>
              <w:top w:type="dxa" w:w="60"/>
              <w:left w:type="dxa" w:w="90"/>
              <w:bottom w:type="dxa" w:w="60"/>
              <w:right w:type="dxa" w:w="90"/>
            </w:tcMar>
            <w:vAlign w:val="center"/>
          </w:tcPr>
          <w:p>
            <w:pPr>
              <w:spacing w:after="20" w:line="250"/>
            </w:pPr>
            <w:r>
              <w:rPr>
                <w:sz w:val="18"/>
                <w:szCs w:val="18"/>
              </w:rPr>
              <w:t xml:space="preserve">QGIS's </w:t>
            </w:r>
            <w:r>
              <w:rPr>
                <w:rFonts w:ascii="Courier New" w:cs="Courier New" w:eastAsia="Courier New" w:hAnsi="Courier New"/>
                <w:sz w:val="16"/>
                <w:szCs w:val="16"/>
              </w:rPr>
              <w:t xml:space="preserve">PYTHONHOME</w:t>
            </w:r>
            <w:r>
              <w:rPr>
                <w:sz w:val="18"/>
                <w:szCs w:val="18"/>
              </w:rPr>
              <w:t xml:space="preserve">/</w:t>
            </w:r>
            <w:r>
              <w:rPr>
                <w:rFonts w:ascii="Courier New" w:cs="Courier New" w:eastAsia="Courier New" w:hAnsi="Courier New"/>
                <w:sz w:val="16"/>
                <w:szCs w:val="16"/>
              </w:rPr>
              <w:t xml:space="preserve">PYTHONPATH</w:t>
            </w:r>
            <w:r>
              <w:rPr>
                <w:sz w:val="18"/>
                <w:szCs w:val="18"/>
              </w:rPr>
              <w:t xml:space="preserve"> leaked into Spark</w:t>
            </w:r>
          </w:p>
        </w:tc>
        <w:tc>
          <w:tcPr>
            <w:tcW w:type="dxa" w:w="3616"/>
            <w:tcMar>
              <w:top w:type="dxa" w:w="60"/>
              <w:left w:type="dxa" w:w="90"/>
              <w:bottom w:type="dxa" w:w="60"/>
              <w:right w:type="dxa" w:w="90"/>
            </w:tcMar>
            <w:vAlign w:val="center"/>
          </w:tcPr>
          <w:p>
            <w:pPr>
              <w:spacing w:after="20" w:line="250"/>
            </w:pPr>
            <w:r>
              <w:rPr>
                <w:sz w:val="18"/>
                <w:szCs w:val="18"/>
              </w:rPr>
              <w:t xml:space="preserve">Fixed in v0.2; for manual runs unset both variables.</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OutOfMemoryError: Java heap space</w:t>
            </w:r>
          </w:p>
        </w:tc>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Very large input rows</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Use v0.2 (index extraction / tiling); for custom jobs reduce bands per row or add </w:t>
            </w:r>
            <w:r>
              <w:rPr>
                <w:rFonts w:ascii="Courier New" w:cs="Courier New" w:eastAsia="Courier New" w:hAnsi="Courier New"/>
                <w:sz w:val="16"/>
                <w:szCs w:val="16"/>
              </w:rPr>
              <w:t xml:space="preserve">--driver-memory</w:t>
            </w:r>
            <w:r>
              <w:rPr>
                <w:sz w:val="18"/>
                <w:szCs w:val="18"/>
              </w:rPr>
              <w:t xml:space="preserve">.</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“no tiles found under --rasters” although files exist</w:t>
            </w:r>
          </w:p>
        </w:tc>
        <w:tc>
          <w:tcPr>
            <w:tcW w:type="dxa" w:w="3011"/>
            <w:tcMar>
              <w:top w:type="dxa" w:w="60"/>
              <w:left w:type="dxa" w:w="90"/>
              <w:bottom w:type="dxa" w:w="60"/>
              <w:right w:type="dxa" w:w="90"/>
            </w:tcMar>
            <w:vAlign w:val="center"/>
          </w:tcPr>
          <w:p>
            <w:pPr>
              <w:spacing w:after="20" w:line="250"/>
            </w:pPr>
            <w:r>
              <w:rPr>
                <w:sz w:val="18"/>
                <w:szCs w:val="18"/>
              </w:rPr>
              <w:t xml:space="preserve">GeoTIFFs without an EPSG code are dropped (</w:t>
            </w:r>
            <w:r>
              <w:rPr>
                <w:rFonts w:ascii="Courier New" w:cs="Courier New" w:eastAsia="Courier New" w:hAnsi="Courier New"/>
                <w:sz w:val="16"/>
                <w:szCs w:val="16"/>
              </w:rPr>
              <w:t xml:space="preserve">RS_SRID = 0</w:t>
            </w:r>
            <w:r>
              <w:rPr>
                <w:sz w:val="18"/>
                <w:szCs w:val="18"/>
              </w:rPr>
              <w:t xml:space="preserve">)</w:t>
            </w:r>
          </w:p>
        </w:tc>
        <w:tc>
          <w:tcPr>
            <w:tcW w:type="dxa" w:w="3616"/>
            <w:tcMar>
              <w:top w:type="dxa" w:w="60"/>
              <w:left w:type="dxa" w:w="90"/>
              <w:bottom w:type="dxa" w:w="60"/>
              <w:right w:type="dxa" w:w="90"/>
            </w:tcMar>
            <w:vAlign w:val="center"/>
          </w:tcPr>
          <w:p>
            <w:pPr>
              <w:spacing w:after="20" w:line="250"/>
            </w:pPr>
            <w:r>
              <w:rPr>
                <w:sz w:val="18"/>
                <w:szCs w:val="18"/>
              </w:rPr>
              <w:t xml:space="preserve">Make sure GDAL can find </w:t>
            </w:r>
            <w:r>
              <w:rPr>
                <w:rFonts w:ascii="Courier New" w:cs="Courier New" w:eastAsia="Courier New" w:hAnsi="Courier New"/>
                <w:sz w:val="16"/>
                <w:szCs w:val="16"/>
              </w:rPr>
              <w:t xml:space="preserve">proj.db</w:t>
            </w:r>
            <w:r>
              <w:rPr>
                <w:sz w:val="18"/>
                <w:szCs w:val="18"/>
              </w:rPr>
              <w:t xml:space="preserve"> (</w:t>
            </w:r>
            <w:r>
              <w:rPr>
                <w:rFonts w:ascii="Courier New" w:cs="Courier New" w:eastAsia="Courier New" w:hAnsi="Courier New"/>
                <w:sz w:val="16"/>
                <w:szCs w:val="16"/>
              </w:rPr>
              <w:t xml:space="preserve">PROJ_DATA</w:t>
            </w:r>
            <w:r>
              <w:rPr>
                <w:sz w:val="18"/>
                <w:szCs w:val="18"/>
              </w:rPr>
              <w:t xml:space="preserve">) when preparing tiles.</w:t>
            </w:r>
          </w:p>
        </w:tc>
      </w:tr>
      <w:tr>
        <w:trPr>
          <w:cantSplit/>
        </w:trPr>
        <w:tc>
          <w:tcPr>
            <w:tcW w:type="dxa" w:w="3011"/>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JiffleException: extraneous input</w:t>
            </w:r>
          </w:p>
        </w:tc>
        <w:tc>
          <w:tcPr>
            <w:tcW w:type="dxa" w:w="3011"/>
            <w:shd w:fill="F3F6FA" w:color="auto" w:val="clear"/>
            <w:tcMar>
              <w:top w:type="dxa" w:w="60"/>
              <w:left w:type="dxa" w:w="90"/>
              <w:bottom w:type="dxa" w:w="60"/>
              <w:right w:type="dxa" w:w="90"/>
            </w:tcMar>
            <w:vAlign w:val="center"/>
          </w:tcPr>
          <w:p>
            <w:pPr>
              <w:spacing w:after="20" w:line="250"/>
            </w:pPr>
            <w:r>
              <w:rPr>
                <w:sz w:val="18"/>
                <w:szCs w:val="18"/>
              </w:rPr>
              <w:t xml:space="preserve">A malformed map-algebra expression</w:t>
            </w:r>
          </w:p>
        </w:tc>
        <w:tc>
          <w:tcPr>
            <w:tcW w:type="dxa" w:w="3616"/>
            <w:shd w:fill="F3F6FA" w:color="auto" w:val="clear"/>
            <w:tcMar>
              <w:top w:type="dxa" w:w="60"/>
              <w:left w:type="dxa" w:w="90"/>
              <w:bottom w:type="dxa" w:w="60"/>
              <w:right w:type="dxa" w:w="90"/>
            </w:tcMar>
            <w:vAlign w:val="center"/>
          </w:tcPr>
          <w:p>
            <w:pPr>
              <w:spacing w:after="20" w:line="250"/>
            </w:pPr>
            <w:r>
              <w:rPr>
                <w:sz w:val="18"/>
                <w:szCs w:val="18"/>
              </w:rPr>
              <w:t xml:space="preserve">Use the generated scripts; constants must be fixed-point and parenthesised.</w:t>
            </w:r>
          </w:p>
        </w:tc>
      </w:tr>
      <w:tr>
        <w:trPr>
          <w:cantSplit/>
        </w:trPr>
        <w:tc>
          <w:tcPr>
            <w:tcW w:type="dxa" w:w="3011"/>
            <w:tcMar>
              <w:top w:type="dxa" w:w="60"/>
              <w:left w:type="dxa" w:w="90"/>
              <w:bottom w:type="dxa" w:w="60"/>
              <w:right w:type="dxa" w:w="90"/>
            </w:tcMar>
            <w:vAlign w:val="center"/>
          </w:tcPr>
          <w:p>
            <w:pPr>
              <w:spacing w:after="20" w:line="250"/>
            </w:pPr>
            <w:r>
              <w:rPr>
                <w:sz w:val="18"/>
                <w:szCs w:val="18"/>
              </w:rPr>
              <w:t xml:space="preserve">Very long log</w:t>
            </w:r>
          </w:p>
        </w:tc>
        <w:tc>
          <w:tcPr>
            <w:tcW w:type="dxa" w:w="3011"/>
            <w:tcMar>
              <w:top w:type="dxa" w:w="60"/>
              <w:left w:type="dxa" w:w="90"/>
              <w:bottom w:type="dxa" w:w="60"/>
              <w:right w:type="dxa" w:w="90"/>
            </w:tcMar>
            <w:vAlign w:val="center"/>
          </w:tcPr>
          <w:p>
            <w:pPr>
              <w:spacing w:after="20" w:line="250"/>
            </w:pPr>
            <w:r>
              <w:rPr>
                <w:sz w:val="18"/>
                <w:szCs w:val="18"/>
              </w:rPr>
              <w:t xml:space="preserve">Spark prints thousands of INFO lines</w:t>
            </w:r>
          </w:p>
        </w:tc>
        <w:tc>
          <w:tcPr>
            <w:tcW w:type="dxa" w:w="3616"/>
            <w:tcMar>
              <w:top w:type="dxa" w:w="60"/>
              <w:left w:type="dxa" w:w="90"/>
              <w:bottom w:type="dxa" w:w="60"/>
              <w:right w:type="dxa" w:w="90"/>
            </w:tcMar>
            <w:vAlign w:val="center"/>
          </w:tcPr>
          <w:p>
            <w:pPr>
              <w:spacing w:after="20" w:line="250"/>
            </w:pPr>
            <w:r>
              <w:rPr>
                <w:sz w:val="18"/>
                <w:szCs w:val="18"/>
              </w:rPr>
              <w:t xml:space="preserve">The job summary lines start with </w:t>
            </w:r>
            <w:r>
              <w:rPr>
                <w:rFonts w:ascii="Courier New" w:cs="Courier New" w:eastAsia="Courier New" w:hAnsi="Courier New"/>
                <w:sz w:val="16"/>
                <w:szCs w:val="16"/>
              </w:rPr>
              <w:t xml:space="preserve">Q1:</w:t>
            </w:r>
            <w:r>
              <w:rPr>
                <w:sz w:val="18"/>
                <w:szCs w:val="18"/>
              </w:rPr>
              <w:t xml:space="preserve"> … </w:t>
            </w:r>
            <w:r>
              <w:rPr>
                <w:rFonts w:ascii="Courier New" w:cs="Courier New" w:eastAsia="Courier New" w:hAnsi="Courier New"/>
                <w:sz w:val="16"/>
                <w:szCs w:val="16"/>
              </w:rPr>
              <w:t xml:space="preserve">Q5:</w:t>
            </w:r>
            <w:r>
              <w:rPr>
                <w:sz w:val="18"/>
                <w:szCs w:val="18"/>
              </w:rPr>
              <w:t xml:space="preserve">; results are always written to the folder printed at the end.</w:t>
            </w:r>
          </w:p>
        </w:tc>
      </w:tr>
    </w:tbl>
    <w:p>
      <w:pPr>
        <w:spacing w:after="120"/>
      </w:pPr>
    </w:p>
    <w:p>
      <w:pPr>
        <w:pStyle w:val="Heading1"/>
      </w:pPr>
      <w:bookmarkStart w:name="_Toc35" w:id="35"/>
      <w:r>
        <w:t xml:space="preserve">Appendix A. Job command-line reference</w:t>
      </w:r>
      <w:bookmarkEnd w:id="35"/>
    </w:p>
    <w:p>
      <w:pPr>
        <w:keepNext/>
        <w:spacing w:after="80" w:before="160"/>
      </w:pPr>
      <w:r>
        <w:rPr>
          <w:b/>
          <w:bCs/>
          <w:color w:val="52514E"/>
          <w:sz w:val="18"/>
          <w:szCs w:val="18"/>
        </w:rPr>
        <w:t xml:space="preserve">Table 20.</w:t>
      </w:r>
      <w:r>
        <w:rPr>
          <w:color w:val="52514E"/>
          <w:sz w:val="18"/>
          <w:szCs w:val="18"/>
        </w:rPr>
        <w:t xml:space="preserve"> Job arguments.</w:t>
      </w:r>
    </w:p>
    <w:tbl>
      <w:tblPr>
        <w:tblW w:type="dxa" w:w="9638"/>
        <w:tblBorders>
          <w:top w:val="single" w:color="D9D8D3" w:sz="4"/>
          <w:left w:val="single" w:color="D9D8D3" w:sz="4"/>
          <w:bottom w:val="single" w:color="D9D8D3" w:sz="4"/>
          <w:right w:val="single" w:color="D9D8D3" w:sz="4"/>
          <w:insideH w:val="single" w:color="D9D8D3" w:sz="4"/>
          <w:insideV w:val="single" w:color="D9D8D3" w:sz="4"/>
        </w:tblBorders>
      </w:tblPr>
      <w:tblGrid>
        <w:gridCol w:w="2258"/>
        <w:gridCol w:w="3162"/>
        <w:gridCol w:w="4218"/>
      </w:tblGrid>
      <w:tr>
        <w:trPr>
          <w:cantSplit/>
          <w:tblHeader/>
        </w:trPr>
        <w:tc>
          <w:tcPr>
            <w:tcW w:type="dxa" w:w="225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Job</w:t>
            </w:r>
          </w:p>
        </w:tc>
        <w:tc>
          <w:tcPr>
            <w:tcW w:type="dxa" w:w="3162"/>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Required arguments</w:t>
            </w:r>
          </w:p>
        </w:tc>
        <w:tc>
          <w:tcPr>
            <w:tcW w:type="dxa" w:w="4218"/>
            <w:shd w:fill="12355B" w:color="auto" w:val="clear"/>
            <w:tcMar>
              <w:top w:type="dxa" w:w="60"/>
              <w:left w:type="dxa" w:w="90"/>
              <w:bottom w:type="dxa" w:w="60"/>
              <w:right w:type="dxa" w:w="90"/>
            </w:tcMar>
            <w:vAlign w:val="center"/>
          </w:tcPr>
          <w:p>
            <w:pPr>
              <w:spacing w:after="20" w:line="250"/>
            </w:pPr>
            <w:r>
              <w:rPr>
                <w:b/>
                <w:bCs/>
                <w:color w:val="FFFFFF"/>
                <w:sz w:val="18"/>
                <w:szCs w:val="18"/>
              </w:rPr>
              <w:t xml:space="preserve">Optional arguments</w:t>
            </w:r>
          </w:p>
        </w:tc>
      </w:tr>
      <w:tr>
        <w:trPr>
          <w:cantSplit/>
        </w:trPr>
        <w:tc>
          <w:tcPr>
            <w:tcW w:type="dxa" w:w="22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q1_aoi_filter.py</w:t>
            </w:r>
          </w:p>
        </w:tc>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 --output --aoi</w:t>
            </w:r>
          </w:p>
        </w:tc>
        <w:tc>
          <w:tcPr>
            <w:tcW w:type="dxa" w:w="4218"/>
            <w:tcMar>
              <w:top w:type="dxa" w:w="60"/>
              <w:left w:type="dxa" w:w="90"/>
              <w:bottom w:type="dxa" w:w="60"/>
              <w:right w:type="dxa" w:w="90"/>
            </w:tcMar>
            <w:vAlign w:val="center"/>
          </w:tcPr>
          <w:p>
            <w:pPr>
              <w:spacing w:after="20" w:line="250"/>
            </w:pPr>
            <w:r>
              <w:rPr>
                <w:sz w:val="18"/>
                <w:szCs w:val="18"/>
              </w:rPr>
              <w:t xml:space="preserve">—</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q2_spatial_join.py</w:t>
            </w:r>
          </w:p>
        </w:tc>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 --agri --output</w:t>
            </w:r>
          </w:p>
        </w:tc>
        <w:tc>
          <w:tcPr>
            <w:tcW w:type="dxa" w:w="4218"/>
            <w:shd w:fill="F3F6FA" w:color="auto" w:val="clear"/>
            <w:tcMar>
              <w:top w:type="dxa" w:w="60"/>
              <w:left w:type="dxa" w:w="90"/>
              <w:bottom w:type="dxa" w:w="60"/>
              <w:right w:type="dxa" w:w="90"/>
            </w:tcMar>
            <w:vAlign w:val="center"/>
          </w:tcPr>
          <w:p>
            <w:pPr>
              <w:spacing w:after="20" w:line="250"/>
            </w:pPr>
            <w:r>
              <w:rPr>
                <w:sz w:val="18"/>
                <w:szCs w:val="18"/>
              </w:rPr>
              <w:t xml:space="preserve">—</w:t>
            </w:r>
          </w:p>
        </w:tc>
      </w:tr>
      <w:tr>
        <w:trPr>
          <w:cantSplit/>
        </w:trPr>
        <w:tc>
          <w:tcPr>
            <w:tcW w:type="dxa" w:w="22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q3_ndvi_filter.py</w:t>
            </w:r>
          </w:p>
        </w:tc>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 --output</w:t>
            </w:r>
          </w:p>
        </w:tc>
        <w:tc>
          <w:tcPr>
            <w:tcW w:type="dxa" w:w="421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--threshold</w:t>
            </w:r>
            <w:r>
              <w:rPr>
                <w:sz w:val="18"/>
                <w:szCs w:val="18"/>
              </w:rPr>
              <w:t xml:space="preserve"> (0.4), </w:t>
            </w:r>
            <w:r>
              <w:rPr>
                <w:rFonts w:ascii="Courier New" w:cs="Courier New" w:eastAsia="Courier New" w:hAnsi="Courier New"/>
                <w:sz w:val="16"/>
                <w:szCs w:val="16"/>
              </w:rPr>
              <w:t xml:space="preserve">--raster-out</w:t>
            </w:r>
          </w:p>
        </w:tc>
      </w:tr>
      <w:tr>
        <w:trPr>
          <w:cantSplit/>
        </w:trPr>
        <w:tc>
          <w:tcPr>
            <w:tcW w:type="dxa" w:w="225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q_raw_ndvi.py</w:t>
            </w:r>
          </w:p>
        </w:tc>
        <w:tc>
          <w:tcPr>
            <w:tcW w:type="dxa" w:w="3162"/>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 --output --red-band --nir-band</w:t>
            </w:r>
          </w:p>
        </w:tc>
        <w:tc>
          <w:tcPr>
            <w:tcW w:type="dxa" w:w="4218"/>
            <w:shd w:fill="F3F6FA" w:color="auto" w:val="clear"/>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--nodata</w:t>
            </w:r>
            <w:r>
              <w:rPr>
                <w:sz w:val="18"/>
                <w:szCs w:val="18"/>
              </w:rPr>
              <w:t xml:space="preserve">, </w:t>
            </w:r>
            <w:r>
              <w:rPr>
                <w:rFonts w:ascii="Courier New" w:cs="Courier New" w:eastAsia="Courier New" w:hAnsi="Courier New"/>
                <w:sz w:val="16"/>
                <w:szCs w:val="16"/>
              </w:rPr>
              <w:t xml:space="preserve">--threshold</w:t>
            </w:r>
            <w:r>
              <w:rPr>
                <w:sz w:val="18"/>
                <w:szCs w:val="18"/>
              </w:rPr>
              <w:t xml:space="preserve">, </w:t>
            </w:r>
            <w:r>
              <w:rPr>
                <w:rFonts w:ascii="Courier New" w:cs="Courier New" w:eastAsia="Courier New" w:hAnsi="Courier New"/>
                <w:sz w:val="16"/>
                <w:szCs w:val="16"/>
              </w:rPr>
              <w:t xml:space="preserve">--raster-out</w:t>
            </w:r>
          </w:p>
        </w:tc>
      </w:tr>
      <w:tr>
        <w:trPr>
          <w:cantSplit/>
        </w:trPr>
        <w:tc>
          <w:tcPr>
            <w:tcW w:type="dxa" w:w="225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q5_kmeans.py</w:t>
            </w:r>
          </w:p>
        </w:tc>
        <w:tc>
          <w:tcPr>
            <w:tcW w:type="dxa" w:w="3162"/>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--rasters --output</w:t>
            </w:r>
          </w:p>
        </w:tc>
        <w:tc>
          <w:tcPr>
            <w:tcW w:type="dxa" w:w="4218"/>
            <w:tcMar>
              <w:top w:type="dxa" w:w="60"/>
              <w:left w:type="dxa" w:w="90"/>
              <w:bottom w:type="dxa" w:w="60"/>
              <w:right w:type="dxa" w:w="90"/>
            </w:tcMar>
            <w:vAlign w:val="center"/>
          </w:tcPr>
          <w:p>
            <w:pPr>
              <w:spacing w:after="20" w:line="250"/>
            </w:pPr>
            <w:r>
              <w:rPr>
                <w:rFonts w:ascii="Courier New" w:cs="Courier New" w:eastAsia="Courier New" w:hAnsi="Courier New"/>
                <w:sz w:val="16"/>
                <w:szCs w:val="16"/>
              </w:rPr>
              <w:t xml:space="preserve">--raster-out</w:t>
            </w:r>
            <w:r>
              <w:rPr>
                <w:sz w:val="18"/>
                <w:szCs w:val="18"/>
              </w:rPr>
              <w:t xml:space="preserve">, </w:t>
            </w:r>
            <w:r>
              <w:rPr>
                <w:rFonts w:ascii="Courier New" w:cs="Courier New" w:eastAsia="Courier New" w:hAnsi="Courier New"/>
                <w:sz w:val="16"/>
                <w:szCs w:val="16"/>
              </w:rPr>
              <w:t xml:space="preserve">--k</w:t>
            </w:r>
            <w:r>
              <w:rPr>
                <w:sz w:val="18"/>
                <w:szCs w:val="18"/>
              </w:rPr>
              <w:t xml:space="preserve"> (8), </w:t>
            </w:r>
            <w:r>
              <w:rPr>
                <w:rFonts w:ascii="Courier New" w:cs="Courier New" w:eastAsia="Courier New" w:hAnsi="Courier New"/>
                <w:sz w:val="16"/>
                <w:szCs w:val="16"/>
              </w:rPr>
              <w:t xml:space="preserve">--features</w:t>
            </w:r>
            <w:r>
              <w:rPr>
                <w:sz w:val="18"/>
                <w:szCs w:val="18"/>
              </w:rPr>
              <w:t xml:space="preserve"> (shape_brightness), </w:t>
            </w:r>
            <w:r>
              <w:rPr>
                <w:rFonts w:ascii="Courier New" w:cs="Courier New" w:eastAsia="Courier New" w:hAnsi="Courier New"/>
                <w:sz w:val="16"/>
                <w:szCs w:val="16"/>
              </w:rPr>
              <w:t xml:space="preserve">--sample</w:t>
            </w:r>
            <w:r>
              <w:rPr>
                <w:sz w:val="18"/>
                <w:szCs w:val="18"/>
              </w:rPr>
              <w:t xml:space="preserve"> (0.1), </w:t>
            </w:r>
            <w:r>
              <w:rPr>
                <w:rFonts w:ascii="Courier New" w:cs="Courier New" w:eastAsia="Courier New" w:hAnsi="Courier New"/>
                <w:sz w:val="16"/>
                <w:szCs w:val="16"/>
              </w:rPr>
              <w:t xml:space="preserve">--nodata</w:t>
            </w:r>
            <w:r>
              <w:rPr>
                <w:sz w:val="18"/>
                <w:szCs w:val="18"/>
              </w:rPr>
              <w:t xml:space="preserve">, </w:t>
            </w:r>
            <w:r>
              <w:rPr>
                <w:rFonts w:ascii="Courier New" w:cs="Courier New" w:eastAsia="Courier New" w:hAnsi="Courier New"/>
                <w:sz w:val="16"/>
                <w:szCs w:val="16"/>
              </w:rPr>
              <w:t xml:space="preserve">--scale</w:t>
            </w:r>
            <w:r>
              <w:rPr>
                <w:sz w:val="18"/>
                <w:szCs w:val="18"/>
              </w:rPr>
              <w:t xml:space="preserve"> (1.0), </w:t>
            </w:r>
            <w:r>
              <w:rPr>
                <w:rFonts w:ascii="Courier New" w:cs="Courier New" w:eastAsia="Courier New" w:hAnsi="Courier New"/>
                <w:sz w:val="16"/>
                <w:szCs w:val="16"/>
              </w:rPr>
              <w:t xml:space="preserve">--roles</w:t>
            </w:r>
            <w:r>
              <w:rPr>
                <w:sz w:val="18"/>
                <w:szCs w:val="18"/>
              </w:rPr>
              <w:t xml:space="preserve">, </w:t>
            </w:r>
            <w:r>
              <w:rPr>
                <w:rFonts w:ascii="Courier New" w:cs="Courier New" w:eastAsia="Courier New" w:hAnsi="Courier New"/>
                <w:sz w:val="16"/>
                <w:szCs w:val="16"/>
              </w:rPr>
              <w:t xml:space="preserve">--seed</w:t>
            </w:r>
            <w:r>
              <w:rPr>
                <w:sz w:val="18"/>
                <w:szCs w:val="18"/>
              </w:rPr>
              <w:t xml:space="preserve"> (42), </w:t>
            </w:r>
            <w:r>
              <w:rPr>
                <w:rFonts w:ascii="Courier New" w:cs="Courier New" w:eastAsia="Courier New" w:hAnsi="Courier New"/>
                <w:sz w:val="16"/>
                <w:szCs w:val="16"/>
              </w:rPr>
              <w:t xml:space="preserve">--max-iter</w:t>
            </w:r>
            <w:r>
              <w:rPr>
                <w:sz w:val="18"/>
                <w:szCs w:val="18"/>
              </w:rPr>
              <w:t xml:space="preserve"> (50), </w:t>
            </w:r>
            <w:r>
              <w:rPr>
                <w:rFonts w:ascii="Courier New" w:cs="Courier New" w:eastAsia="Courier New" w:hAnsi="Courier New"/>
                <w:sz w:val="16"/>
                <w:szCs w:val="16"/>
              </w:rPr>
              <w:t xml:space="preserve">--verify</w:t>
            </w:r>
          </w:p>
        </w:tc>
      </w:tr>
    </w:tbl>
    <w:p>
      <w:pPr>
        <w:spacing w:after="120"/>
      </w:pPr>
    </w:p>
    <w:p>
      <w:pPr>
        <w:pStyle w:val="Heading1"/>
      </w:pPr>
      <w:bookmarkStart w:name="_Toc36" w:id="36"/>
      <w:r>
        <w:t xml:space="preserve">Appendix B. References</w:t>
      </w:r>
      <w:bookmarkEnd w:id="36"/>
    </w:p>
    <w:p>
      <w:pPr>
        <w:pStyle w:val="ListParagraph"/>
        <w:numPr>
          <w:ilvl w:val="0"/>
          <w:numId w:val="2"/>
        </w:numPr>
        <w:spacing w:after="60"/>
      </w:pPr>
      <w:r>
        <w:t xml:space="preserve">Yu, J., Zhang, Z., Sarwat, M. (2019). Spatial data management in Apache Spark: the GeoSpark perspective and beyond. </w:t>
      </w:r>
      <w:r>
        <w:rPr>
          <w:i/>
          <w:iCs/>
        </w:rPr>
        <w:t xml:space="preserve">GeoInformatica</w:t>
      </w:r>
      <w:r>
        <w:t xml:space="preserve"> 23, 37–78. (Origin of Apache Sedona.)</w:t>
      </w:r>
    </w:p>
    <w:p>
      <w:pPr>
        <w:pStyle w:val="ListParagraph"/>
        <w:numPr>
          <w:ilvl w:val="0"/>
          <w:numId w:val="2"/>
        </w:numPr>
        <w:spacing w:after="60"/>
      </w:pPr>
      <w:r>
        <w:t xml:space="preserve">Zaharia, M. et al. (2016). Apache Spark: a unified engine for big data processing. </w:t>
      </w:r>
      <w:r>
        <w:rPr>
          <w:i/>
          <w:iCs/>
        </w:rPr>
        <w:t xml:space="preserve">Communications of the ACM</w:t>
      </w:r>
      <w:r>
        <w:t xml:space="preserve"> 59(11), 56–65.</w:t>
      </w:r>
    </w:p>
    <w:p>
      <w:pPr>
        <w:pStyle w:val="ListParagraph"/>
        <w:numPr>
          <w:ilvl w:val="0"/>
          <w:numId w:val="2"/>
        </w:numPr>
        <w:spacing w:after="60"/>
      </w:pPr>
      <w:r>
        <w:t xml:space="preserve">Meng, X. et al. (2016). MLlib: Machine Learning in Apache Spark. </w:t>
      </w:r>
      <w:r>
        <w:rPr>
          <w:i/>
          <w:iCs/>
        </w:rPr>
        <w:t xml:space="preserve">Journal of Machine Learning Research</w:t>
      </w:r>
      <w:r>
        <w:t xml:space="preserve"> 17(34), 1–7.</w:t>
      </w:r>
    </w:p>
    <w:p>
      <w:pPr>
        <w:pStyle w:val="ListParagraph"/>
        <w:numPr>
          <w:ilvl w:val="0"/>
          <w:numId w:val="2"/>
        </w:numPr>
        <w:spacing w:after="60"/>
      </w:pPr>
      <w:r>
        <w:t xml:space="preserve">Guanter, L. et al. (2015). The EnMAP spaceborne imaging spectroscopy mission for Earth observation. </w:t>
      </w:r>
      <w:r>
        <w:rPr>
          <w:i/>
          <w:iCs/>
        </w:rPr>
        <w:t xml:space="preserve">Remote Sensing</w:t>
      </w:r>
      <w:r>
        <w:t xml:space="preserve"> 7(7), 8830–8857.</w:t>
      </w:r>
    </w:p>
    <w:p>
      <w:pPr>
        <w:pStyle w:val="ListParagraph"/>
        <w:numPr>
          <w:ilvl w:val="0"/>
          <w:numId w:val="2"/>
        </w:numPr>
        <w:spacing w:after="60"/>
      </w:pPr>
      <w:r>
        <w:t xml:space="preserve">McFeeters, S. K. (1996). The use of the Normalized Difference Water Index (NDWI) in the delineation of open water features. </w:t>
      </w:r>
      <w:r>
        <w:rPr>
          <w:i/>
          <w:iCs/>
        </w:rPr>
        <w:t xml:space="preserve">International Journal of Remote Sensing</w:t>
      </w:r>
      <w:r>
        <w:t xml:space="preserve"> 17(7), 1425–1432.</w:t>
      </w:r>
    </w:p>
    <w:p>
      <w:pPr>
        <w:pStyle w:val="ListParagraph"/>
        <w:numPr>
          <w:ilvl w:val="0"/>
          <w:numId w:val="2"/>
        </w:numPr>
        <w:spacing w:after="60"/>
      </w:pPr>
      <w:r>
        <w:t xml:space="preserve">Hall, D. K., Riggs, G. A., Salomonson, V. V., DiGirolamo, N. E., Bayr, K. J. (2002). MODIS snow-cover products. </w:t>
      </w:r>
      <w:r>
        <w:rPr>
          <w:i/>
          <w:iCs/>
        </w:rPr>
        <w:t xml:space="preserve">Remote Sensing of Environment</w:t>
      </w:r>
      <w:r>
        <w:t xml:space="preserve"> 83, 181–194.</w:t>
      </w:r>
    </w:p>
    <w:p>
      <w:pPr>
        <w:pStyle w:val="ListParagraph"/>
        <w:numPr>
          <w:ilvl w:val="0"/>
          <w:numId w:val="2"/>
        </w:numPr>
        <w:spacing w:after="60"/>
      </w:pPr>
      <w:r>
        <w:t xml:space="preserve">Haut, J. M. et al. (2017). Cloud implementation of the K-means algorithm for hyperspectral image analysis. </w:t>
      </w:r>
      <w:r>
        <w:rPr>
          <w:i/>
          <w:iCs/>
        </w:rPr>
        <w:t xml:space="preserve">The Journal of Supercomputing</w:t>
      </w:r>
      <w:r>
        <w:t xml:space="preserve"> 73, 514–529.</w:t>
      </w:r>
    </w:p>
    <w:p>
      <w:pPr>
        <w:pStyle w:val="ListParagraph"/>
        <w:numPr>
          <w:ilvl w:val="0"/>
          <w:numId w:val="2"/>
        </w:numPr>
        <w:spacing w:after="60"/>
      </w:pPr>
      <w:r>
        <w:t xml:space="preserve">Jakimow, B. et al. (2023). EnMAP-Box: Imaging spectroscopy in QGIS. </w:t>
      </w:r>
      <w:r>
        <w:rPr>
          <w:i/>
          <w:iCs/>
        </w:rPr>
        <w:t xml:space="preserve">SoftwareX</w:t>
      </w:r>
      <w:r>
        <w:t xml:space="preserve"> 23, 101507.</w:t>
      </w:r>
    </w:p>
    <w:sectPr>
      <w:headerReference w:type="default" r:id="rId6"/>
      <w:footerReference w:type="default" r:id="rId7"/>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8D3" w:sz="4" w:space="4"/>
      </w:pBdr>
      <w:tabs>
        <w:tab w:val="right" w:pos="9638"/>
      </w:tabs>
    </w:pPr>
    <w:r>
      <w:rPr>
        <w:b/>
        <w:bCs/>
        <w:color w:val="12355B"/>
        <w:sz w:val="17"/>
        <w:szCs w:val="17"/>
      </w:rPr>
      <w:t xml:space="preserve">HyperSpatial</w:t>
    </w:r>
    <w:r>
      <w:rPr>
        <w:color w:val="52514E"/>
        <w:sz w:val="17"/>
        <w:szCs w:val="17"/>
      </w:rPr>
      <w:t xml:space="preserve">	Sedona Analytics plugin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1"/>
        <w:szCs w:val="21"/>
      </w:rPr>
    </w:rPrDefault>
    <w:pPrDefault>
      <w:pPr>
        <w:spacing w:after="12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2355B"/>
      <w:sz w:val="32"/>
      <w:szCs w:val="32"/>
    </w:rPr>
  </w:style>
  <w:style w:type="paragraph" w:styleId="Heading2">
    <w:name w:val="Heading 2"/>
    <w:basedOn w:val="Normal"/>
    <w:next w:val="Normal"/>
    <w:qFormat/>
    <w:pPr>
      <w:keepNext/>
      <w:spacing w:after="120" w:before="280"/>
      <w:outlineLvl w:val="1"/>
    </w:pPr>
    <w:rPr>
      <w:rFonts w:ascii="Cambria" w:cs="Cambria" w:eastAsia="Cambria" w:hAnsi="Cambria"/>
      <w:b/>
      <w:bCs/>
      <w:color w:val="12355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A78D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c3f5bb53e5fc9b8b4448931df769adbc29a957.png"/><Relationship Id="rId10" Type="http://schemas.openxmlformats.org/officeDocument/2006/relationships/image" Target="media/d183db07eca5166e03fcec7e9a524d3fb6ab7a0f.png"/><Relationship Id="rId11" Type="http://schemas.openxmlformats.org/officeDocument/2006/relationships/image" Target="media/8849d070ed8eb348e8c1a6d29836b3f6c233c486.png"/><Relationship Id="rId12" Type="http://schemas.openxmlformats.org/officeDocument/2006/relationships/image" Target="media/5bf76035172f4328185d9da98c7b9025d576edd4.png"/><Relationship Id="rId13" Type="http://schemas.openxmlformats.org/officeDocument/2006/relationships/image" Target="media/d23ced646003a3392dbf25a6de1db63064cdc233.png"/><Relationship Id="rId14" Type="http://schemas.openxmlformats.org/officeDocument/2006/relationships/image" Target="media/868b644dd12efdc26e7e9ff1d6ea97bf651f9ca3.png"/><Relationship Id="rId15" Type="http://schemas.openxmlformats.org/officeDocument/2006/relationships/image" Target="media/a674d24a6ba501bf820321e6ae3c625c8b210637.png"/><Relationship Id="rId16" Type="http://schemas.openxmlformats.org/officeDocument/2006/relationships/image" Target="media/471d611181f3ef126d8cf0f28f10ac8a5a709a5e.png"/><Relationship Id="rId17" Type="http://schemas.openxmlformats.org/officeDocument/2006/relationships/image" Target="media/b43ffd6a09c22439b7d382534d0de43c20830115.png"/><Relationship Id="rId18" Type="http://schemas.openxmlformats.org/officeDocument/2006/relationships/image" Target="media/feddef5dcf11ef24fd7934c5b4506eeaee73c35b.png"/><Relationship Id="rId19" Type="http://schemas.openxmlformats.org/officeDocument/2006/relationships/image" Target="media/1168951ba9c2276ca310956b0177737dffb3fea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HyperSpatial Sedona Analytics</dc:title>
  <dc:creator>Aaron R</dc:creator>
  <dc:description>Per-pixel spatial SQL and machine learning over hyperspectral rasters with Apache Spark, Apache Sedona and Spark MLlib, inside QGIS</dc:description>
  <cp:lastModifiedBy>Un-named</cp:lastModifiedBy>
  <cp:revision>1</cp:revision>
  <dcterms:created xsi:type="dcterms:W3CDTF">2026-10-16T05:02:25.517Z</dcterms:created>
  <dcterms:modified xsi:type="dcterms:W3CDTF">2026-10-16T05:02:25.517Z</dcterms:modified>
</cp:coreProperties>
</file>

<file path=docProps/custom.xml><?xml version="1.0" encoding="utf-8"?>
<Properties xmlns="http://schemas.openxmlformats.org/officeDocument/2006/custom-properties" xmlns:vt="http://schemas.openxmlformats.org/officeDocument/2006/docPropsVTypes"/>
</file>