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aps/>
          <w:color w:val="2A78D6"/>
          <w:sz w:val="22"/>
          <w:szCs w:val="22"/>
        </w:rPr>
        <w:t xml:space="preserve">Technical documentation · QGIS plugin 1 of 2</w:t>
      </w:r>
    </w:p>
    <w:p>
      <w:pPr>
        <w:spacing w:after="160"/>
      </w:pPr>
      <w:r>
        <w:rPr>
          <w:rFonts w:ascii="Cambria" w:cs="Cambria" w:eastAsia="Cambria" w:hAnsi="Cambria"/>
          <w:b/>
          <w:bCs/>
          <w:color w:val="12355B"/>
          <w:sz w:val="52"/>
          <w:szCs w:val="52"/>
        </w:rPr>
        <w:t xml:space="preserve">HyperSpectral Processer</w:t>
      </w:r>
    </w:p>
    <w:p>
      <w:pPr>
        <w:spacing w:after="480"/>
      </w:pPr>
      <w:r>
        <w:rPr>
          <w:rFonts w:ascii="Calibri" w:cs="Calibri" w:eastAsia="Calibri" w:hAnsi="Calibri"/>
          <w:color w:val="52514E"/>
          <w:sz w:val="26"/>
          <w:szCs w:val="26"/>
        </w:rPr>
        <w:t xml:space="preserve">Parallel, GPU-capable hyperspectral processing in QGIS — spectral indices, PCA and Spectral Angle Mapper on a native C++17 / OpenMP / OpenCL engine</w:t>
      </w:r>
    </w:p>
    <w:p>
      <w:pPr>
        <w:spacing w:after="360"/>
        <w:jc w:val="left"/>
      </w:pPr>
      <w:r>
        <w:drawing>
          <wp:inline distT="0" distB="0" distL="0" distR="0">
            <wp:extent cx="5267325" cy="2686050"/>
            <wp:effectExtent t="0" r="0" b="0" l="0"/>
            <wp:docPr id="13" name="cover" descr="map_indices_grid.png"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67325" cy="2686050"/>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313"/>
        <w:gridCol w:w="7325"/>
      </w:tblGrid>
      <w:tr>
        <w:tc>
          <w:tcPr>
            <w:tcW w:type="dxa" w:w="2313"/>
            <w:tcMar>
              <w:top w:type="dxa" w:w="60"/>
              <w:left w:type="dxa" w:w="90"/>
              <w:bottom w:type="dxa" w:w="60"/>
              <w:right w:type="dxa" w:w="90"/>
            </w:tcMar>
            <w:vAlign w:val="center"/>
          </w:tcPr>
          <w:p>
            <w:pPr>
              <w:spacing w:after="20" w:line="250"/>
            </w:pPr>
            <w:r>
              <w:rPr>
                <w:b/>
                <w:bCs/>
                <w:color w:val="12355B"/>
                <w:sz w:val="18"/>
                <w:szCs w:val="18"/>
              </w:rPr>
              <w:t xml:space="preserve">Document</w:t>
            </w:r>
          </w:p>
        </w:tc>
        <w:tc>
          <w:tcPr>
            <w:tcW w:type="dxa" w:w="7325"/>
            <w:tcMar>
              <w:top w:type="dxa" w:w="60"/>
              <w:left w:type="dxa" w:w="90"/>
              <w:bottom w:type="dxa" w:w="60"/>
              <w:right w:type="dxa" w:w="90"/>
            </w:tcMar>
            <w:vAlign w:val="center"/>
          </w:tcPr>
          <w:p>
            <w:pPr>
              <w:spacing w:after="20" w:line="250"/>
            </w:pPr>
            <w:r>
              <w:rPr>
                <w:sz w:val="18"/>
                <w:szCs w:val="18"/>
              </w:rPr>
              <w:t xml:space="preserve">Plugin and engine documentation (architecture, parallel computing, usage, validation)</w:t>
            </w:r>
          </w:p>
        </w:tc>
      </w:tr>
      <w:tr>
        <w:tc>
          <w:tcPr>
            <w:tcW w:type="dxa" w:w="2313"/>
            <w:tcMar>
              <w:top w:type="dxa" w:w="60"/>
              <w:left w:type="dxa" w:w="90"/>
              <w:bottom w:type="dxa" w:w="60"/>
              <w:right w:type="dxa" w:w="90"/>
            </w:tcMar>
            <w:vAlign w:val="center"/>
          </w:tcPr>
          <w:p>
            <w:pPr>
              <w:spacing w:after="20" w:line="250"/>
            </w:pPr>
            <w:r>
              <w:rPr>
                <w:b/>
                <w:bCs/>
                <w:color w:val="12355B"/>
                <w:sz w:val="18"/>
                <w:szCs w:val="18"/>
              </w:rPr>
              <w:t xml:space="preserve">Project</w:t>
            </w:r>
          </w:p>
        </w:tc>
        <w:tc>
          <w:tcPr>
            <w:tcW w:type="dxa" w:w="7325"/>
            <w:tcMar>
              <w:top w:type="dxa" w:w="60"/>
              <w:left w:type="dxa" w:w="90"/>
              <w:bottom w:type="dxa" w:w="60"/>
              <w:right w:type="dxa" w:w="90"/>
            </w:tcMar>
            <w:vAlign w:val="center"/>
          </w:tcPr>
          <w:p>
            <w:pPr>
              <w:spacing w:after="20" w:line="250"/>
            </w:pPr>
            <w:r>
              <w:rPr>
                <w:sz w:val="18"/>
                <w:szCs w:val="18"/>
              </w:rPr>
              <w:t xml:space="preserve">HyperSpatial — local-first hyperspectral analytics for QGIS</w:t>
            </w:r>
          </w:p>
        </w:tc>
      </w:tr>
      <w:tr>
        <w:tc>
          <w:tcPr>
            <w:tcW w:type="dxa" w:w="2313"/>
            <w:tcMar>
              <w:top w:type="dxa" w:w="60"/>
              <w:left w:type="dxa" w:w="90"/>
              <w:bottom w:type="dxa" w:w="60"/>
              <w:right w:type="dxa" w:w="90"/>
            </w:tcMar>
            <w:vAlign w:val="center"/>
          </w:tcPr>
          <w:p>
            <w:pPr>
              <w:spacing w:after="20" w:line="250"/>
            </w:pPr>
            <w:r>
              <w:rPr>
                <w:b/>
                <w:bCs/>
                <w:color w:val="12355B"/>
                <w:sz w:val="18"/>
                <w:szCs w:val="18"/>
              </w:rPr>
              <w:t xml:space="preserve">Author</w:t>
            </w:r>
          </w:p>
        </w:tc>
        <w:tc>
          <w:tcPr>
            <w:tcW w:type="dxa" w:w="7325"/>
            <w:tcMar>
              <w:top w:type="dxa" w:w="60"/>
              <w:left w:type="dxa" w:w="90"/>
              <w:bottom w:type="dxa" w:w="60"/>
              <w:right w:type="dxa" w:w="90"/>
            </w:tcMar>
            <w:vAlign w:val="center"/>
          </w:tcPr>
          <w:p>
            <w:pPr>
              <w:spacing w:after="20" w:line="250"/>
            </w:pPr>
            <w:r>
              <w:rPr>
                <w:sz w:val="18"/>
                <w:szCs w:val="18"/>
              </w:rPr>
              <w:t xml:space="preserve">Aaron R</w:t>
            </w:r>
          </w:p>
        </w:tc>
      </w:tr>
      <w:tr>
        <w:tc>
          <w:tcPr>
            <w:tcW w:type="dxa" w:w="2313"/>
            <w:tcMar>
              <w:top w:type="dxa" w:w="60"/>
              <w:left w:type="dxa" w:w="90"/>
              <w:bottom w:type="dxa" w:w="60"/>
              <w:right w:type="dxa" w:w="90"/>
            </w:tcMar>
            <w:vAlign w:val="center"/>
          </w:tcPr>
          <w:p>
            <w:pPr>
              <w:spacing w:after="20" w:line="250"/>
            </w:pPr>
            <w:r>
              <w:rPr>
                <w:b/>
                <w:bCs/>
                <w:color w:val="12355B"/>
                <w:sz w:val="18"/>
                <w:szCs w:val="18"/>
              </w:rPr>
              <w:t xml:space="preserve">Institution</w:t>
            </w:r>
          </w:p>
        </w:tc>
        <w:tc>
          <w:tcPr>
            <w:tcW w:type="dxa" w:w="7325"/>
            <w:tcMar>
              <w:top w:type="dxa" w:w="60"/>
              <w:left w:type="dxa" w:w="90"/>
              <w:bottom w:type="dxa" w:w="60"/>
              <w:right w:type="dxa" w:w="90"/>
            </w:tcMar>
            <w:vAlign w:val="center"/>
          </w:tcPr>
          <w:p>
            <w:pPr>
              <w:spacing w:after="20" w:line="250"/>
            </w:pPr>
            <w:r>
              <w:rPr>
                <w:sz w:val="18"/>
                <w:szCs w:val="18"/>
              </w:rPr>
              <w:t xml:space="preserve">Digital University Kerala</w:t>
            </w:r>
          </w:p>
        </w:tc>
      </w:tr>
      <w:tr>
        <w:tc>
          <w:tcPr>
            <w:tcW w:type="dxa" w:w="2313"/>
            <w:tcMar>
              <w:top w:type="dxa" w:w="60"/>
              <w:left w:type="dxa" w:w="90"/>
              <w:bottom w:type="dxa" w:w="60"/>
              <w:right w:type="dxa" w:w="90"/>
            </w:tcMar>
            <w:vAlign w:val="center"/>
          </w:tcPr>
          <w:p>
            <w:pPr>
              <w:spacing w:after="20" w:line="250"/>
            </w:pPr>
            <w:r>
              <w:rPr>
                <w:b/>
                <w:bCs/>
                <w:color w:val="12355B"/>
                <w:sz w:val="18"/>
                <w:szCs w:val="18"/>
              </w:rPr>
              <w:t xml:space="preserve">Version / date</w:t>
            </w:r>
          </w:p>
        </w:tc>
        <w:tc>
          <w:tcPr>
            <w:tcW w:type="dxa" w:w="7325"/>
            <w:tcMar>
              <w:top w:type="dxa" w:w="60"/>
              <w:left w:type="dxa" w:w="90"/>
              <w:bottom w:type="dxa" w:w="60"/>
              <w:right w:type="dxa" w:w="90"/>
            </w:tcMar>
            <w:vAlign w:val="center"/>
          </w:tcPr>
          <w:p>
            <w:pPr>
              <w:spacing w:after="20" w:line="250"/>
            </w:pPr>
            <w:r>
              <w:rPr>
                <w:sz w:val="18"/>
                <w:szCs w:val="18"/>
              </w:rPr>
              <w:t xml:space="preserve">Plugin v1.0.0 · engine hyperspatial_cli · 16 October 2026</w:t>
            </w:r>
          </w:p>
        </w:tc>
      </w:tr>
      <w:tr>
        <w:tc>
          <w:tcPr>
            <w:tcW w:type="dxa" w:w="2313"/>
            <w:tcMar>
              <w:top w:type="dxa" w:w="60"/>
              <w:left w:type="dxa" w:w="90"/>
              <w:bottom w:type="dxa" w:w="60"/>
              <w:right w:type="dxa" w:w="90"/>
            </w:tcMar>
            <w:vAlign w:val="center"/>
          </w:tcPr>
          <w:p>
            <w:pPr>
              <w:spacing w:after="20" w:line="250"/>
            </w:pPr>
            <w:r>
              <w:rPr>
                <w:b/>
                <w:bCs/>
                <w:color w:val="12355B"/>
                <w:sz w:val="18"/>
                <w:szCs w:val="18"/>
              </w:rPr>
              <w:t xml:space="preserve">Repository</w:t>
            </w:r>
          </w:p>
        </w:tc>
        <w:tc>
          <w:tcPr>
            <w:tcW w:type="dxa" w:w="7325"/>
            <w:tcMar>
              <w:top w:type="dxa" w:w="60"/>
              <w:left w:type="dxa" w:w="90"/>
              <w:bottom w:type="dxa" w:w="60"/>
              <w:right w:type="dxa" w:w="90"/>
            </w:tcMar>
            <w:vAlign w:val="center"/>
          </w:tcPr>
          <w:p>
            <w:pPr>
              <w:spacing w:after="20" w:line="250"/>
            </w:pPr>
            <w:r>
              <w:rPr>
                <w:sz w:val="18"/>
                <w:szCs w:val="18"/>
              </w:rPr>
              <w:t xml:space="preserve">github.com/aaron43210/HYPERSPECTRAL_DATA_DISTRIBUTED_SYSTEM</w:t>
            </w:r>
          </w:p>
        </w:tc>
      </w:tr>
    </w:tbl>
    <w:p>
      <w:pPr>
        <w:sectPr>
          <w:pgSz w:w="11906" w:h="16838" w:orient="portrait"/>
          <w:pgMar w:top="1134" w:right="1134" w:bottom="1134" w:left="1134" w:header="708" w:footer="708" w:gutter="0"/>
          <w:pgNumType/>
          <w:docGrid w:linePitch="360"/>
        </w:sectPr>
      </w:pPr>
    </w:p>
    <w:p>
      <w:pPr>
        <w:spacing w:after="200"/>
      </w:pPr>
      <w:r>
        <w:rPr>
          <w:rFonts w:ascii="Cambria" w:cs="Cambria" w:eastAsia="Cambria" w:hAnsi="Cambria"/>
          <w:b/>
          <w:bCs/>
          <w:color w:val="12355B"/>
          <w:sz w:val="32"/>
          <w:szCs w:val="32"/>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1. Overview</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2. Architecture</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2.1 Components</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2.2 Process model</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2.3 Engine interface contract</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3. Installation</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3.1 The plugin</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3.2 The engine</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3.3 Building the engine from source</w:t>
            </w:r>
            <w:r>
              <w:tab/>
            </w:r>
            <w:r>
              <w:fldChar w:fldCharType="begin" w:dirty="true"/>
              <w:instrText xml:space="preserve">PAGEREF _Toc9 \h</w:instrText>
              <w:fldChar w:fldCharType="separate"/>
              <w:fldChar w:fldCharType="end"/>
            </w:r>
          </w:hyperlink>
        </w:p>
        <w:p>
          <w:pPr>
            <w:pStyle w:val="TOC1"/>
            <w:tabs>
              <w:tab w:val="right" w:pos="9638" w:leader="dot"/>
            </w:tabs>
          </w:pPr>
          <w:hyperlink w:history="1" w:anchor="_Toc10">
            <w:r>
              <w:t xml:space="preserve">4. User interface</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4.1 How results are loaded</w:t>
            </w:r>
            <w:r>
              <w:tab/>
            </w:r>
            <w:r>
              <w:fldChar w:fldCharType="begin" w:dirty="true"/>
              <w:instrText xml:space="preserve">PAGEREF _Toc11 \h</w:instrText>
              <w:fldChar w:fldCharType="separate"/>
              <w:fldChar w:fldCharType="end"/>
            </w:r>
          </w:hyperlink>
        </w:p>
        <w:p>
          <w:pPr>
            <w:pStyle w:val="TOC1"/>
            <w:tabs>
              <w:tab w:val="right" w:pos="9638" w:leader="dot"/>
            </w:tabs>
          </w:pPr>
          <w:hyperlink w:history="1" w:anchor="_Toc12">
            <w:r>
              <w:t xml:space="preserve">5. Parallel computing methods</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5.1 Data decomposition: tiles</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5.2 The per-tile pipeline</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5.3 Shared-memory parallelism with OpenMP</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5.4 Heterogeneous computing with OpenCL</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5.5 Fault isolation and the error model</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5.6 Memory model</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5.7 From parallel to distributed</w:t>
            </w:r>
            <w:r>
              <w:tab/>
            </w:r>
            <w:r>
              <w:fldChar w:fldCharType="begin" w:dirty="true"/>
              <w:instrText xml:space="preserve">PAGEREF _Toc19 \h</w:instrText>
              <w:fldChar w:fldCharType="separate"/>
              <w:fldChar w:fldCharType="end"/>
            </w:r>
          </w:hyperlink>
        </w:p>
        <w:p>
          <w:pPr>
            <w:pStyle w:val="TOC1"/>
            <w:tabs>
              <w:tab w:val="right" w:pos="9638" w:leader="dot"/>
            </w:tabs>
          </w:pPr>
          <w:hyperlink w:history="1" w:anchor="_Toc20">
            <w:r>
              <w:t xml:space="preserve">6. Algorithms</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6.1 Wavelength-driven band selection</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6.2 Spectral indices</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6.3 Principal component analysis</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6.4 Spectral Angle Mapper</w:t>
            </w:r>
            <w:r>
              <w:tab/>
            </w:r>
            <w:r>
              <w:fldChar w:fldCharType="begin" w:dirty="true"/>
              <w:instrText xml:space="preserve">PAGEREF _Toc24 \h</w:instrText>
              <w:fldChar w:fldCharType="separate"/>
              <w:fldChar w:fldCharType="end"/>
            </w:r>
          </w:hyperlink>
        </w:p>
        <w:p>
          <w:pPr>
            <w:pStyle w:val="TOC1"/>
            <w:tabs>
              <w:tab w:val="right" w:pos="9638" w:leader="dot"/>
            </w:tabs>
          </w:pPr>
          <w:hyperlink w:history="1" w:anchor="_Toc25">
            <w:r>
              <w:t xml:space="preserve">7. Performance</w:t>
            </w:r>
            <w:r>
              <w:tab/>
            </w:r>
            <w:r>
              <w:fldChar w:fldCharType="begin" w:dirty="true"/>
              <w:instrText xml:space="preserve">PAGEREF _Toc25 \h</w:instrText>
              <w:fldChar w:fldCharType="separate"/>
              <w:fldChar w:fldCharType="end"/>
            </w:r>
          </w:hyperlink>
        </w:p>
        <w:p>
          <w:pPr>
            <w:pStyle w:val="TOC1"/>
            <w:tabs>
              <w:tab w:val="right" w:pos="9638" w:leader="dot"/>
            </w:tabs>
          </w:pPr>
          <w:hyperlink w:history="1" w:anchor="_Toc26">
            <w:r>
              <w:t xml:space="preserve">8. Correctness: CPU versus GPU</w:t>
            </w:r>
            <w:r>
              <w:tab/>
            </w:r>
            <w:r>
              <w:fldChar w:fldCharType="begin" w:dirty="true"/>
              <w:instrText xml:space="preserve">PAGEREF _Toc26 \h</w:instrText>
              <w:fldChar w:fldCharType="separate"/>
              <w:fldChar w:fldCharType="end"/>
            </w:r>
          </w:hyperlink>
        </w:p>
        <w:p>
          <w:pPr>
            <w:pStyle w:val="TOC1"/>
            <w:tabs>
              <w:tab w:val="right" w:pos="9638" w:leader="dot"/>
            </w:tabs>
          </w:pPr>
          <w:hyperlink w:history="1" w:anchor="_Toc27">
            <w:r>
              <w:t xml:space="preserve">9. Limitations</w:t>
            </w:r>
            <w:r>
              <w:tab/>
            </w:r>
            <w:r>
              <w:fldChar w:fldCharType="begin" w:dirty="true"/>
              <w:instrText xml:space="preserve">PAGEREF _Toc27 \h</w:instrText>
              <w:fldChar w:fldCharType="separate"/>
              <w:fldChar w:fldCharType="end"/>
            </w:r>
          </w:hyperlink>
        </w:p>
        <w:p>
          <w:pPr>
            <w:pStyle w:val="TOC1"/>
            <w:tabs>
              <w:tab w:val="right" w:pos="9638" w:leader="dot"/>
            </w:tabs>
          </w:pPr>
          <w:hyperlink w:history="1" w:anchor="_Toc28">
            <w:r>
              <w:t xml:space="preserve">10. Troubleshooting</w:t>
            </w:r>
            <w:r>
              <w:tab/>
            </w:r>
            <w:r>
              <w:fldChar w:fldCharType="begin" w:dirty="true"/>
              <w:instrText xml:space="preserve">PAGEREF _Toc28 \h</w:instrText>
              <w:fldChar w:fldCharType="separate"/>
              <w:fldChar w:fldCharType="end"/>
            </w:r>
          </w:hyperlink>
        </w:p>
        <w:p>
          <w:pPr>
            <w:pStyle w:val="TOC1"/>
            <w:tabs>
              <w:tab w:val="right" w:pos="9638" w:leader="dot"/>
            </w:tabs>
          </w:pPr>
          <w:hyperlink w:history="1" w:anchor="_Toc29">
            <w:r>
              <w:t xml:space="preserve">Appendix A. Command-line reference</w:t>
            </w:r>
            <w:r>
              <w:tab/>
            </w:r>
            <w:r>
              <w:fldChar w:fldCharType="begin" w:dirty="true"/>
              <w:instrText xml:space="preserve">PAGEREF _Toc29 \h</w:instrText>
              <w:fldChar w:fldCharType="separate"/>
              <w:fldChar w:fldCharType="end"/>
            </w:r>
          </w:hyperlink>
        </w:p>
        <w:p>
          <w:pPr>
            <w:pStyle w:val="TOC1"/>
            <w:tabs>
              <w:tab w:val="right" w:pos="9638" w:leader="dot"/>
            </w:tabs>
          </w:pPr>
          <w:hyperlink w:history="1" w:anchor="_Toc30">
            <w:r>
              <w:t xml:space="preserve">Appendix B. Output band layout</w:t>
            </w:r>
            <w:r>
              <w:tab/>
            </w:r>
            <w:r>
              <w:fldChar w:fldCharType="begin" w:dirty="true"/>
              <w:instrText xml:space="preserve">PAGEREF _Toc30 \h</w:instrText>
              <w:fldChar w:fldCharType="separate"/>
              <w:fldChar w:fldCharType="end"/>
            </w:r>
          </w:hyperlink>
        </w:p>
        <w:p>
          <w:pPr>
            <w:pStyle w:val="TOC1"/>
            <w:tabs>
              <w:tab w:val="right" w:pos="9638" w:leader="dot"/>
            </w:tabs>
          </w:pPr>
          <w:hyperlink w:history="1" w:anchor="_Toc31">
            <w:r>
              <w:t xml:space="preserve">Appendix C. References</w:t>
            </w:r>
            <w:r>
              <w:tab/>
            </w:r>
            <w:r>
              <w:fldChar w:fldCharType="begin" w:dirty="true"/>
              <w:instrText xml:space="preserve">PAGEREF _Toc31 \h</w:instrText>
              <w:fldChar w:fldCharType="separate"/>
              <w:fldChar w:fldCharType="end"/>
            </w:r>
          </w:hyperlink>
        </w:p>
        <w:p>
          <w:r>
            <w:fldChar w:fldCharType="end"/>
          </w:r>
        </w:p>
      </w:sdtContent>
    </w:sdt>
    <w:p>
      <w:r>
        <w:br w:type="page"/>
      </w:r>
    </w:p>
    <w:p>
      <w:pPr>
        <w:pStyle w:val="Heading1"/>
      </w:pPr>
      <w:bookmarkStart w:name="_Toc1" w:id="1"/>
      <w:r>
        <w:t xml:space="preserve">1. Overview</w:t>
      </w:r>
      <w:bookmarkEnd w:id="1"/>
    </w:p>
    <w:p>
      <w:r>
        <w:rPr>
          <w:b/>
          <w:bCs/>
        </w:rPr>
        <w:t xml:space="preserve">HyperSpectral Processer</w:t>
      </w:r>
      <w:r>
        <w:t xml:space="preserve"> is the first of the two HyperSpatial QGIS plugins. It turns a hyperspectral scene — for example an EnMAP L2A cube of 224 spectral bands — into map layers inside QGIS: seven </w:t>
      </w:r>
      <w:r>
        <w:rPr>
          <w:b/>
          <w:bCs/>
        </w:rPr>
        <w:t xml:space="preserve">spectral indices</w:t>
      </w:r>
      <w:r>
        <w:t xml:space="preserve">, a </w:t>
      </w:r>
      <w:r>
        <w:rPr>
          <w:b/>
          <w:bCs/>
        </w:rPr>
        <w:t xml:space="preserve">principal-component (PCA)</w:t>
      </w:r>
      <w:r>
        <w:t xml:space="preserve"> composite, and </w:t>
      </w:r>
      <w:r>
        <w:rPr>
          <w:b/>
          <w:bCs/>
        </w:rPr>
        <w:t xml:space="preserve">Spectral Angle Mapper (SAM)</w:t>
      </w:r>
      <w:r>
        <w:t xml:space="preserve"> target detection from a pixel picked on the map. The plugin itself is a light PyQt dialog; all per-pixel computation runs in an external native engine, </w:t>
      </w:r>
      <w:r>
        <w:rPr>
          <w:rFonts w:ascii="Courier New" w:cs="Courier New" w:eastAsia="Courier New" w:hAnsi="Courier New"/>
          <w:sz w:val="19"/>
          <w:szCs w:val="19"/>
        </w:rPr>
        <w:t xml:space="preserve">hyperspatial_cli</w:t>
      </w:r>
      <w:r>
        <w:t xml:space="preserve">, written in C++17 on GDAL and parallelised with </w:t>
      </w:r>
      <w:r>
        <w:rPr>
          <w:b/>
          <w:bCs/>
        </w:rPr>
        <w:t xml:space="preserve">OpenMP</w:t>
      </w:r>
      <w:r>
        <w:t xml:space="preserve"> on CPU cores and </w:t>
      </w:r>
      <w:r>
        <w:rPr>
          <w:b/>
          <w:bCs/>
        </w:rPr>
        <w:t xml:space="preserve">OpenCL</w:t>
      </w:r>
      <w:r>
        <w:t xml:space="preserve"> on GPUs from any vendor.</w:t>
      </w:r>
    </w:p>
    <w:p>
      <w:r>
        <w:t xml:space="preserve">The design goal is to process complete scenes on ordinary workstations and laptops: the engine never loads the whole cube into memory, it uses every core, and it keeps QGIS responsive while it runs. On the EnMAP test scene used throughout this document (686 MB, 1259 × 1216 pixels × 224 bands) all seven indices are computed in </w:t>
      </w:r>
      <w:r>
        <w:rPr>
          <w:b/>
          <w:bCs/>
        </w:rPr>
        <w:t xml:space="preserve">2.5 seconds</w:t>
      </w:r>
      <w:r>
        <w:t xml:space="preserve"> on a 12-core Apple M4 Pro.</w:t>
      </w:r>
    </w:p>
    <w:p>
      <w:pPr>
        <w:keepNext/>
        <w:spacing w:after="80" w:before="160"/>
      </w:pPr>
      <w:r>
        <w:rPr>
          <w:b/>
          <w:bCs/>
          <w:color w:val="52514E"/>
          <w:sz w:val="18"/>
          <w:szCs w:val="18"/>
        </w:rPr>
        <w:t xml:space="preserve">Table 1.</w:t>
      </w:r>
      <w:r>
        <w:rPr>
          <w:color w:val="52514E"/>
          <w:sz w:val="18"/>
          <w:szCs w:val="18"/>
        </w:rPr>
        <w:t xml:space="preserve"> Plugin and engine facts.</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2190"/>
        <w:gridCol w:w="7448"/>
      </w:tblGrid>
      <w:tr>
        <w:trPr>
          <w:cantSplit/>
          <w:tblHeader/>
        </w:trPr>
        <w:tc>
          <w:tcPr>
            <w:tcW w:type="dxa" w:w="2190"/>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Item</w:t>
            </w:r>
          </w:p>
        </w:tc>
        <w:tc>
          <w:tcPr>
            <w:tcW w:type="dxa" w:w="7448"/>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Value</w:t>
            </w:r>
          </w:p>
        </w:tc>
      </w:tr>
      <w:tr>
        <w:trPr>
          <w:cantSplit/>
        </w:trPr>
        <w:tc>
          <w:tcPr>
            <w:tcW w:type="dxa" w:w="2190"/>
            <w:tcMar>
              <w:top w:type="dxa" w:w="60"/>
              <w:left w:type="dxa" w:w="90"/>
              <w:bottom w:type="dxa" w:w="60"/>
              <w:right w:type="dxa" w:w="90"/>
            </w:tcMar>
            <w:vAlign w:val="center"/>
          </w:tcPr>
          <w:p>
            <w:pPr>
              <w:spacing w:after="20" w:line="250"/>
            </w:pPr>
            <w:r>
              <w:rPr>
                <w:sz w:val="18"/>
                <w:szCs w:val="18"/>
              </w:rPr>
              <w:t xml:space="preserve">Plugin</w:t>
            </w:r>
          </w:p>
        </w:tc>
        <w:tc>
          <w:tcPr>
            <w:tcW w:type="dxa" w:w="7448"/>
            <w:tcMar>
              <w:top w:type="dxa" w:w="60"/>
              <w:left w:type="dxa" w:w="90"/>
              <w:bottom w:type="dxa" w:w="60"/>
              <w:right w:type="dxa" w:w="90"/>
            </w:tcMar>
            <w:vAlign w:val="center"/>
          </w:tcPr>
          <w:p>
            <w:pPr>
              <w:spacing w:after="20" w:line="250"/>
            </w:pPr>
            <w:r>
              <w:rPr>
                <w:sz w:val="18"/>
                <w:szCs w:val="18"/>
              </w:rPr>
              <w:t xml:space="preserve">Display name </w:t>
            </w:r>
            <w:r>
              <w:rPr>
                <w:i/>
                <w:iCs/>
                <w:sz w:val="18"/>
                <w:szCs w:val="18"/>
              </w:rPr>
              <w:t xml:space="preserve">HyperSpectral Processer</w:t>
            </w:r>
            <w:r>
              <w:rPr>
                <w:sz w:val="18"/>
                <w:szCs w:val="18"/>
              </w:rPr>
              <w:t xml:space="preserve">; package </w:t>
            </w:r>
            <w:r>
              <w:rPr>
                <w:rFonts w:ascii="Courier New" w:cs="Courier New" w:eastAsia="Courier New" w:hAnsi="Courier New"/>
                <w:sz w:val="16"/>
                <w:szCs w:val="16"/>
              </w:rPr>
              <w:t xml:space="preserve">hyperspatial_processing</w:t>
            </w:r>
            <w:r>
              <w:rPr>
                <w:sz w:val="18"/>
                <w:szCs w:val="18"/>
              </w:rPr>
              <w:t xml:space="preserve">; version 1.0.0; experimental; published on plugins.qgis.org</w:t>
            </w:r>
          </w:p>
        </w:tc>
      </w:tr>
      <w:tr>
        <w:trPr>
          <w:cantSplit/>
        </w:trPr>
        <w:tc>
          <w:tcPr>
            <w:tcW w:type="dxa" w:w="2190"/>
            <w:shd w:fill="F3F6FA" w:color="auto" w:val="clear"/>
            <w:tcMar>
              <w:top w:type="dxa" w:w="60"/>
              <w:left w:type="dxa" w:w="90"/>
              <w:bottom w:type="dxa" w:w="60"/>
              <w:right w:type="dxa" w:w="90"/>
            </w:tcMar>
            <w:vAlign w:val="center"/>
          </w:tcPr>
          <w:p>
            <w:pPr>
              <w:spacing w:after="20" w:line="250"/>
            </w:pPr>
            <w:r>
              <w:rPr>
                <w:sz w:val="18"/>
                <w:szCs w:val="18"/>
              </w:rPr>
              <w:t xml:space="preserve">QGIS versions</w:t>
            </w:r>
          </w:p>
        </w:tc>
        <w:tc>
          <w:tcPr>
            <w:tcW w:type="dxa" w:w="7448"/>
            <w:shd w:fill="F3F6FA" w:color="auto" w:val="clear"/>
            <w:tcMar>
              <w:top w:type="dxa" w:w="60"/>
              <w:left w:type="dxa" w:w="90"/>
              <w:bottom w:type="dxa" w:w="60"/>
              <w:right w:type="dxa" w:w="90"/>
            </w:tcMar>
            <w:vAlign w:val="center"/>
          </w:tcPr>
          <w:p>
            <w:pPr>
              <w:spacing w:after="20" w:line="250"/>
            </w:pPr>
            <w:r>
              <w:rPr>
                <w:sz w:val="18"/>
                <w:szCs w:val="18"/>
              </w:rPr>
              <w:t xml:space="preserve">3.0 – 4.99 declared; tested on QGIS 4.2.3 (Qt 6.11, GDAL 3.13)</w:t>
            </w:r>
          </w:p>
        </w:tc>
      </w:tr>
      <w:tr>
        <w:trPr>
          <w:cantSplit/>
        </w:trPr>
        <w:tc>
          <w:tcPr>
            <w:tcW w:type="dxa" w:w="2190"/>
            <w:tcMar>
              <w:top w:type="dxa" w:w="60"/>
              <w:left w:type="dxa" w:w="90"/>
              <w:bottom w:type="dxa" w:w="60"/>
              <w:right w:type="dxa" w:w="90"/>
            </w:tcMar>
            <w:vAlign w:val="center"/>
          </w:tcPr>
          <w:p>
            <w:pPr>
              <w:spacing w:after="20" w:line="250"/>
            </w:pPr>
            <w:r>
              <w:rPr>
                <w:sz w:val="18"/>
                <w:szCs w:val="18"/>
              </w:rPr>
              <w:t xml:space="preserve">Engine</w:t>
            </w:r>
          </w:p>
        </w:tc>
        <w:tc>
          <w:tcPr>
            <w:tcW w:type="dxa" w:w="7448"/>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hyperspatial_cli</w:t>
            </w:r>
            <w:r>
              <w:rPr>
                <w:sz w:val="18"/>
                <w:szCs w:val="18"/>
              </w:rPr>
              <w:t xml:space="preserve"> — C++17, GDAL, OpenMP, OpenCL 1.2; serial, OpenMP and GPU modes; single entry point </w:t>
            </w:r>
            <w:r>
              <w:rPr>
                <w:rFonts w:ascii="Courier New" w:cs="Courier New" w:eastAsia="Courier New" w:hAnsi="Courier New"/>
                <w:sz w:val="16"/>
                <w:szCs w:val="16"/>
              </w:rPr>
              <w:t xml:space="preserve">src/main.cpp</w:t>
            </w:r>
          </w:p>
        </w:tc>
      </w:tr>
      <w:tr>
        <w:trPr>
          <w:cantSplit/>
        </w:trPr>
        <w:tc>
          <w:tcPr>
            <w:tcW w:type="dxa" w:w="2190"/>
            <w:shd w:fill="F3F6FA" w:color="auto" w:val="clear"/>
            <w:tcMar>
              <w:top w:type="dxa" w:w="60"/>
              <w:left w:type="dxa" w:w="90"/>
              <w:bottom w:type="dxa" w:w="60"/>
              <w:right w:type="dxa" w:w="90"/>
            </w:tcMar>
            <w:vAlign w:val="center"/>
          </w:tcPr>
          <w:p>
            <w:pPr>
              <w:spacing w:after="20" w:line="250"/>
            </w:pPr>
            <w:r>
              <w:rPr>
                <w:sz w:val="18"/>
                <w:szCs w:val="18"/>
              </w:rPr>
              <w:t xml:space="preserve">Distribution</w:t>
            </w:r>
          </w:p>
        </w:tc>
        <w:tc>
          <w:tcPr>
            <w:tcW w:type="dxa" w:w="7448"/>
            <w:shd w:fill="F3F6FA" w:color="auto" w:val="clear"/>
            <w:tcMar>
              <w:top w:type="dxa" w:w="60"/>
              <w:left w:type="dxa" w:w="90"/>
              <w:bottom w:type="dxa" w:w="60"/>
              <w:right w:type="dxa" w:w="90"/>
            </w:tcMar>
            <w:vAlign w:val="center"/>
          </w:tcPr>
          <w:p>
            <w:pPr>
              <w:spacing w:after="20" w:line="250"/>
            </w:pPr>
            <w:r>
              <w:rPr>
                <w:sz w:val="18"/>
                <w:szCs w:val="18"/>
              </w:rPr>
              <w:t xml:space="preserve">The plugin zip is </w:t>
            </w:r>
            <w:r>
              <w:rPr>
                <w:sz w:val="18"/>
                <w:szCs w:val="18"/>
              </w:rPr>
              <w:t xml:space="preserve">binary-free</w:t>
            </w:r>
            <w:r>
              <w:rPr>
                <w:sz w:val="18"/>
                <w:szCs w:val="18"/>
              </w:rPr>
              <w:t xml:space="preserve"> (a plugins.qgis.org rule); the engine is found at run time or downloaded from the project's GitHub Releases</w:t>
            </w:r>
          </w:p>
        </w:tc>
      </w:tr>
      <w:tr>
        <w:trPr>
          <w:cantSplit/>
        </w:trPr>
        <w:tc>
          <w:tcPr>
            <w:tcW w:type="dxa" w:w="2190"/>
            <w:tcMar>
              <w:top w:type="dxa" w:w="60"/>
              <w:left w:type="dxa" w:w="90"/>
              <w:bottom w:type="dxa" w:w="60"/>
              <w:right w:type="dxa" w:w="90"/>
            </w:tcMar>
            <w:vAlign w:val="center"/>
          </w:tcPr>
          <w:p>
            <w:pPr>
              <w:spacing w:after="20" w:line="250"/>
            </w:pPr>
            <w:r>
              <w:rPr>
                <w:sz w:val="18"/>
                <w:szCs w:val="18"/>
              </w:rPr>
              <w:t xml:space="preserve">Operations</w:t>
            </w:r>
          </w:p>
        </w:tc>
        <w:tc>
          <w:tcPr>
            <w:tcW w:type="dxa" w:w="7448"/>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indices</w:t>
            </w:r>
            <w:r>
              <w:rPr>
                <w:sz w:val="18"/>
                <w:szCs w:val="18"/>
              </w:rPr>
              <w:t xml:space="preserve"> (NDVI, NDWI, NDBI, SAVI, EVI, NDMI, MSAVI) · </w:t>
            </w:r>
            <w:r>
              <w:rPr>
                <w:rFonts w:ascii="Courier New" w:cs="Courier New" w:eastAsia="Courier New" w:hAnsi="Courier New"/>
                <w:sz w:val="16"/>
                <w:szCs w:val="16"/>
              </w:rPr>
              <w:t xml:space="preserve">pca</w:t>
            </w:r>
            <w:r>
              <w:rPr>
                <w:sz w:val="18"/>
                <w:szCs w:val="18"/>
              </w:rPr>
              <w:t xml:space="preserve"> · </w:t>
            </w:r>
            <w:r>
              <w:rPr>
                <w:rFonts w:ascii="Courier New" w:cs="Courier New" w:eastAsia="Courier New" w:hAnsi="Courier New"/>
                <w:sz w:val="16"/>
                <w:szCs w:val="16"/>
              </w:rPr>
              <w:t xml:space="preserve">sam</w:t>
            </w:r>
          </w:p>
        </w:tc>
      </w:tr>
      <w:tr>
        <w:trPr>
          <w:cantSplit/>
        </w:trPr>
        <w:tc>
          <w:tcPr>
            <w:tcW w:type="dxa" w:w="2190"/>
            <w:shd w:fill="F3F6FA" w:color="auto" w:val="clear"/>
            <w:tcMar>
              <w:top w:type="dxa" w:w="60"/>
              <w:left w:type="dxa" w:w="90"/>
              <w:bottom w:type="dxa" w:w="60"/>
              <w:right w:type="dxa" w:w="90"/>
            </w:tcMar>
            <w:vAlign w:val="center"/>
          </w:tcPr>
          <w:p>
            <w:pPr>
              <w:spacing w:after="20" w:line="250"/>
            </w:pPr>
            <w:r>
              <w:rPr>
                <w:sz w:val="18"/>
                <w:szCs w:val="18"/>
              </w:rPr>
              <w:t xml:space="preserve">Outputs</w:t>
            </w:r>
          </w:p>
        </w:tc>
        <w:tc>
          <w:tcPr>
            <w:tcW w:type="dxa" w:w="7448"/>
            <w:shd w:fill="F3F6FA" w:color="auto" w:val="clear"/>
            <w:tcMar>
              <w:top w:type="dxa" w:w="60"/>
              <w:left w:type="dxa" w:w="90"/>
              <w:bottom w:type="dxa" w:w="60"/>
              <w:right w:type="dxa" w:w="90"/>
            </w:tcMar>
            <w:vAlign w:val="center"/>
          </w:tcPr>
          <w:p>
            <w:pPr>
              <w:spacing w:after="20" w:line="250"/>
            </w:pPr>
            <w:r>
              <w:rPr>
                <w:sz w:val="18"/>
                <w:szCs w:val="18"/>
              </w:rPr>
              <w:t xml:space="preserve">Per-tile GeoTIFFs (224 raw + 7 index bands), VRT or merged GeoTIFF index layers, </w:t>
            </w:r>
            <w:r>
              <w:rPr>
                <w:rFonts w:ascii="Courier New" w:cs="Courier New" w:eastAsia="Courier New" w:hAnsi="Courier New"/>
                <w:sz w:val="16"/>
                <w:szCs w:val="16"/>
              </w:rPr>
              <w:t xml:space="preserve">pca.tif</w:t>
            </w:r>
            <w:r>
              <w:rPr>
                <w:sz w:val="18"/>
                <w:szCs w:val="18"/>
              </w:rPr>
              <w:t xml:space="preserve"> + </w:t>
            </w:r>
            <w:r>
              <w:rPr>
                <w:rFonts w:ascii="Courier New" w:cs="Courier New" w:eastAsia="Courier New" w:hAnsi="Courier New"/>
                <w:sz w:val="16"/>
                <w:szCs w:val="16"/>
              </w:rPr>
              <w:t xml:space="preserve">pca_eigen.csv</w:t>
            </w:r>
            <w:r>
              <w:rPr>
                <w:sz w:val="18"/>
                <w:szCs w:val="18"/>
              </w:rPr>
              <w:t xml:space="preserve">, </w:t>
            </w:r>
            <w:r>
              <w:rPr>
                <w:rFonts w:ascii="Courier New" w:cs="Courier New" w:eastAsia="Courier New" w:hAnsi="Courier New"/>
                <w:sz w:val="16"/>
                <w:szCs w:val="16"/>
              </w:rPr>
              <w:t xml:space="preserve">sam_angle.tif</w:t>
            </w:r>
            <w:r>
              <w:rPr>
                <w:sz w:val="18"/>
                <w:szCs w:val="18"/>
              </w:rPr>
              <w:t xml:space="preserve"> (+ mask, similarity)</w:t>
            </w:r>
          </w:p>
        </w:tc>
      </w:tr>
      <w:tr>
        <w:trPr>
          <w:cantSplit/>
        </w:trPr>
        <w:tc>
          <w:tcPr>
            <w:tcW w:type="dxa" w:w="2190"/>
            <w:tcMar>
              <w:top w:type="dxa" w:w="60"/>
              <w:left w:type="dxa" w:w="90"/>
              <w:bottom w:type="dxa" w:w="60"/>
              <w:right w:type="dxa" w:w="90"/>
            </w:tcMar>
            <w:vAlign w:val="center"/>
          </w:tcPr>
          <w:p>
            <w:pPr>
              <w:spacing w:after="20" w:line="250"/>
            </w:pPr>
            <w:r>
              <w:rPr>
                <w:sz w:val="18"/>
                <w:szCs w:val="18"/>
              </w:rPr>
              <w:t xml:space="preserve">Licence</w:t>
            </w:r>
          </w:p>
        </w:tc>
        <w:tc>
          <w:tcPr>
            <w:tcW w:type="dxa" w:w="7448"/>
            <w:tcMar>
              <w:top w:type="dxa" w:w="60"/>
              <w:left w:type="dxa" w:w="90"/>
              <w:bottom w:type="dxa" w:w="60"/>
              <w:right w:type="dxa" w:w="90"/>
            </w:tcMar>
            <w:vAlign w:val="center"/>
          </w:tcPr>
          <w:p>
            <w:pPr>
              <w:spacing w:after="20" w:line="250"/>
            </w:pPr>
            <w:r>
              <w:rPr>
                <w:sz w:val="18"/>
                <w:szCs w:val="18"/>
              </w:rPr>
              <w:t xml:space="preserve">GPL-2.0</w:t>
            </w:r>
          </w:p>
        </w:tc>
      </w:tr>
    </w:tbl>
    <w:p>
      <w:pPr>
        <w:spacing w:after="120"/>
      </w:pPr>
    </w:p>
    <w:tbl>
      <w:tblPr>
        <w:tblW w:type="dxa" w:w="9638"/>
        <w:tblBorders>
          <w:top w:val="single" w:color="B7D3F6" w:sz="6"/>
          <w:left w:val="single" w:color="B7D3F6" w:sz="6"/>
          <w:bottom w:val="single" w:color="B7D3F6" w:sz="6"/>
          <w:right w:val="single" w:color="B7D3F6" w:sz="6"/>
          <w:insideH w:val="single" w:color="B7D3F6" w:sz="6"/>
          <w:insideV w:val="single" w:color="B7D3F6" w:sz="6"/>
        </w:tblBorders>
      </w:tblPr>
      <w:tblGrid>
        <w:gridCol w:w="9638"/>
      </w:tblGrid>
      <w:tr>
        <w:trPr>
          <w:cantSplit/>
        </w:trPr>
        <w:tc>
          <w:tcPr>
            <w:tcW w:type="dxa" w:w="9638"/>
            <w:shd w:fill="EEF4FB" w:color="auto" w:val="clear"/>
            <w:tcMar>
              <w:top w:type="dxa" w:w="120"/>
              <w:left w:type="dxa" w:w="180"/>
              <w:bottom w:type="dxa" w:w="120"/>
              <w:right w:type="dxa" w:w="180"/>
            </w:tcMar>
          </w:tcPr>
          <w:p>
            <w:pPr>
              <w:spacing w:after="60"/>
            </w:pPr>
            <w:r>
              <w:rPr>
                <w:b/>
                <w:bCs/>
                <w:color w:val="12355B"/>
              </w:rPr>
              <w:t xml:space="preserve">Parallel, GPU-capable — and how it connects to distributed computing</w:t>
            </w:r>
          </w:p>
          <w:p>
            <w:pPr>
              <w:spacing w:after="60"/>
            </w:pPr>
            <w:r>
              <w:t xml:space="preserve">This plugin performs </w:t>
            </w:r>
            <w:r>
              <w:rPr>
                <w:b/>
                <w:bCs/>
              </w:rPr>
              <w:t xml:space="preserve">parallel</w:t>
            </w:r>
            <w:r>
              <w:t xml:space="preserve"> computing on one machine: </w:t>
            </w:r>
            <w:r>
              <w:rPr>
                <w:i/>
                <w:iCs/>
              </w:rPr>
              <w:t xml:space="preserve">data parallelism</w:t>
            </w:r>
            <w:r>
              <w:t xml:space="preserve"> over image tiles, </w:t>
            </w:r>
            <w:r>
              <w:rPr>
                <w:i/>
                <w:iCs/>
              </w:rPr>
              <w:t xml:space="preserve">shared-memory parallelism</w:t>
            </w:r>
            <w:r>
              <w:t xml:space="preserve"> across CPU cores (OpenMP) and </w:t>
            </w:r>
            <w:r>
              <w:rPr>
                <w:i/>
                <w:iCs/>
              </w:rPr>
              <w:t xml:space="preserve">heterogeneous</w:t>
            </w:r>
            <w:r>
              <w:t xml:space="preserve"> execution on a GPU (OpenCL). It does not distribute work across several machines.</w:t>
            </w:r>
          </w:p>
          <w:p>
            <w:pPr>
              <w:spacing w:after="60"/>
            </w:pPr>
            <w:r>
              <w:t xml:space="preserve">Distribution is the job of the second plugin (HyperSpatial Sedona Analytics), which runs Apache Spark jobs over the engine's output. The engine's tiles are deliberately the </w:t>
            </w:r>
            <w:r>
              <w:rPr>
                <w:b/>
                <w:bCs/>
              </w:rPr>
              <w:t xml:space="preserve">unit of distribution</w:t>
            </w:r>
            <w:r>
              <w:t xml:space="preserve">: each tile is a self-contained, georeferenced GeoTIFF that Spark reads as one row (§5.7).</w:t>
            </w:r>
          </w:p>
        </w:tc>
      </w:tr>
    </w:tbl>
    <w:p>
      <w:pPr>
        <w:spacing w:after="120"/>
      </w:pPr>
    </w:p>
    <w:p>
      <w:pPr>
        <w:pStyle w:val="Heading1"/>
      </w:pPr>
      <w:bookmarkStart w:name="_Toc2" w:id="2"/>
      <w:r>
        <w:t xml:space="preserve">2. Architecture</w:t>
      </w:r>
      <w:bookmarkEnd w:id="2"/>
    </w:p>
    <w:p>
      <w:pPr>
        <w:keepNext/>
        <w:spacing w:after="60" w:before="120"/>
        <w:jc w:val="center"/>
      </w:pPr>
      <w:r>
        <w:drawing>
          <wp:inline distT="0" distB="0" distL="0" distR="0">
            <wp:extent cx="6124575" cy="3848100"/>
            <wp:effectExtent t="0" r="0" b="0" l="0"/>
            <wp:docPr id="1" name="diag_system_architecture.png" descr="HyperSpatial system context. This plugin is the upper lane: the dialog drives the C++ engine through a subprocess, and the engine's files feed both the QGIS canvas and the analytics plugin." title="HyperSpatial system context. This plugin is the upper lane: the dialog drives the C++ engine through a subprocess, and the engine's files feed both the QGIS canvas and the analytics plu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3848100"/>
                    </a:xfrm>
                    <a:prstGeom prst="rect">
                      <a:avLst/>
                    </a:prstGeom>
                  </pic:spPr>
                </pic:pic>
              </a:graphicData>
            </a:graphic>
          </wp:inline>
        </w:drawing>
      </w:r>
    </w:p>
    <w:p>
      <w:pPr>
        <w:spacing w:after="200"/>
      </w:pPr>
      <w:r>
        <w:rPr>
          <w:b/>
          <w:bCs/>
          <w:color w:val="52514E"/>
          <w:sz w:val="18"/>
          <w:szCs w:val="18"/>
        </w:rPr>
        <w:t xml:space="preserve">Figure 1.</w:t>
      </w:r>
      <w:r>
        <w:rPr>
          <w:color w:val="52514E"/>
          <w:sz w:val="18"/>
          <w:szCs w:val="18"/>
        </w:rPr>
        <w:t xml:space="preserve"> HyperSpatial system context. This plugin is the upper lane: the dialog drives the C++ engine through a subprocess, and the engine's files feed both the QGIS canvas and the analytics plugin.</w:t>
      </w:r>
    </w:p>
    <w:p>
      <w:pPr>
        <w:pStyle w:val="Heading2"/>
      </w:pPr>
      <w:bookmarkStart w:name="_Toc3" w:id="3"/>
      <w:r>
        <w:t xml:space="preserve">2.1 Components</w:t>
      </w:r>
      <w:bookmarkEnd w:id="3"/>
    </w:p>
    <w:p>
      <w:pPr>
        <w:keepNext/>
        <w:spacing w:after="80" w:before="160"/>
      </w:pPr>
      <w:r>
        <w:rPr>
          <w:b/>
          <w:bCs/>
          <w:color w:val="52514E"/>
          <w:sz w:val="18"/>
          <w:szCs w:val="18"/>
        </w:rPr>
        <w:t xml:space="preserve">Table 2.</w:t>
      </w:r>
      <w:r>
        <w:rPr>
          <w:color w:val="52514E"/>
          <w:sz w:val="18"/>
          <w:szCs w:val="18"/>
        </w:rPr>
        <w:t xml:space="preserve"> Plugin and engine components.</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3162"/>
        <w:gridCol w:w="6476"/>
      </w:tblGrid>
      <w:tr>
        <w:trPr>
          <w:cantSplit/>
          <w:tblHeader/>
        </w:trPr>
        <w:tc>
          <w:tcPr>
            <w:tcW w:type="dxa" w:w="3162"/>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Component</w:t>
            </w:r>
          </w:p>
        </w:tc>
        <w:tc>
          <w:tcPr>
            <w:tcW w:type="dxa" w:w="6476"/>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Role</w:t>
            </w:r>
          </w:p>
        </w:tc>
      </w:tr>
      <w:tr>
        <w:trPr>
          <w:cantSplit/>
        </w:trPr>
        <w:tc>
          <w:tcPr>
            <w:tcW w:type="dxa" w:w="3162"/>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plugin.py</w:t>
            </w:r>
          </w:p>
        </w:tc>
        <w:tc>
          <w:tcPr>
            <w:tcW w:type="dxa" w:w="6476"/>
            <w:tcMar>
              <w:top w:type="dxa" w:w="60"/>
              <w:left w:type="dxa" w:w="90"/>
              <w:bottom w:type="dxa" w:w="60"/>
              <w:right w:type="dxa" w:w="90"/>
            </w:tcMar>
            <w:vAlign w:val="center"/>
          </w:tcPr>
          <w:p>
            <w:pPr>
              <w:spacing w:after="20" w:line="250"/>
            </w:pPr>
            <w:r>
              <w:rPr>
                <w:sz w:val="18"/>
                <w:szCs w:val="18"/>
              </w:rPr>
              <w:t xml:space="preserve">Toolbar action; opens the dialog modelessly.</w:t>
            </w:r>
          </w:p>
        </w:tc>
      </w:tr>
      <w:tr>
        <w:trPr>
          <w:cantSplit/>
        </w:trPr>
        <w:tc>
          <w:tcPr>
            <w:tcW w:type="dxa" w:w="3162"/>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dialog.py</w:t>
            </w:r>
          </w:p>
        </w:tc>
        <w:tc>
          <w:tcPr>
            <w:tcW w:type="dxa" w:w="6476"/>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HyperspectralProcessingDialog</w:t>
            </w:r>
            <w:r>
              <w:rPr>
                <w:sz w:val="18"/>
                <w:szCs w:val="18"/>
              </w:rPr>
              <w:t xml:space="preserve">: inputs, operation panels, SAM pixel picker, worker thread, post-processing (VRT/merge) and layer styling.</w:t>
            </w:r>
          </w:p>
        </w:tc>
      </w:tr>
      <w:tr>
        <w:trPr>
          <w:cantSplit/>
        </w:trPr>
        <w:tc>
          <w:tcPr>
            <w:tcW w:type="dxa" w:w="3162"/>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engine_locator.py</w:t>
            </w:r>
          </w:p>
        </w:tc>
        <w:tc>
          <w:tcPr>
            <w:tcW w:type="dxa" w:w="6476"/>
            <w:tcMar>
              <w:top w:type="dxa" w:w="60"/>
              <w:left w:type="dxa" w:w="90"/>
              <w:bottom w:type="dxa" w:w="60"/>
              <w:right w:type="dxa" w:w="90"/>
            </w:tcMar>
            <w:vAlign w:val="center"/>
          </w:tcPr>
          <w:p>
            <w:pPr>
              <w:spacing w:after="20" w:line="250"/>
            </w:pPr>
            <w:r>
              <w:rPr>
                <w:sz w:val="18"/>
                <w:szCs w:val="18"/>
              </w:rPr>
              <w:t xml:space="preserve">Finds the engine at run time and builds its environment (§3.2).</w:t>
            </w:r>
          </w:p>
        </w:tc>
      </w:tr>
      <w:tr>
        <w:trPr>
          <w:cantSplit/>
        </w:trPr>
        <w:tc>
          <w:tcPr>
            <w:tcW w:type="dxa" w:w="3162"/>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src/main.cpp</w:t>
            </w:r>
          </w:p>
        </w:tc>
        <w:tc>
          <w:tcPr>
            <w:tcW w:type="dxa" w:w="6476"/>
            <w:shd w:fill="F3F6FA" w:color="auto" w:val="clear"/>
            <w:tcMar>
              <w:top w:type="dxa" w:w="60"/>
              <w:left w:type="dxa" w:w="90"/>
              <w:bottom w:type="dxa" w:w="60"/>
              <w:right w:type="dxa" w:w="90"/>
            </w:tcMar>
            <w:vAlign w:val="center"/>
          </w:tcPr>
          <w:p>
            <w:pPr>
              <w:spacing w:after="20" w:line="250"/>
            </w:pPr>
            <w:r>
              <w:rPr>
                <w:sz w:val="18"/>
                <w:szCs w:val="18"/>
              </w:rPr>
              <w:t xml:space="preserve">Engine entry point: argument parsing, scene metadata, band resolution, tile grid, operation dispatch, OpenMP loop, error model, </w:t>
            </w:r>
            <w:r>
              <w:rPr>
                <w:rFonts w:ascii="Courier New" w:cs="Courier New" w:eastAsia="Courier New" w:hAnsi="Courier New"/>
                <w:sz w:val="16"/>
                <w:szCs w:val="16"/>
              </w:rPr>
              <w:t xml:space="preserve">RESULT</w:t>
            </w:r>
            <w:r>
              <w:rPr>
                <w:sz w:val="18"/>
                <w:szCs w:val="18"/>
              </w:rPr>
              <w:t xml:space="preserve"> line.</w:t>
            </w:r>
          </w:p>
        </w:tc>
      </w:tr>
      <w:tr>
        <w:trPr>
          <w:cantSplit/>
        </w:trPr>
        <w:tc>
          <w:tcPr>
            <w:tcW w:type="dxa" w:w="3162"/>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RasterReader</w:t>
            </w:r>
            <w:r>
              <w:rPr>
                <w:sz w:val="18"/>
                <w:szCs w:val="18"/>
              </w:rPr>
              <w:t xml:space="preserve"> / </w:t>
            </w:r>
            <w:r>
              <w:rPr>
                <w:rFonts w:ascii="Courier New" w:cs="Courier New" w:eastAsia="Courier New" w:hAnsi="Courier New"/>
                <w:sz w:val="16"/>
                <w:szCs w:val="16"/>
              </w:rPr>
              <w:t xml:space="preserve">TileWriter</w:t>
            </w:r>
          </w:p>
        </w:tc>
        <w:tc>
          <w:tcPr>
            <w:tcW w:type="dxa" w:w="6476"/>
            <w:tcMar>
              <w:top w:type="dxa" w:w="60"/>
              <w:left w:type="dxa" w:w="90"/>
              <w:bottom w:type="dxa" w:w="60"/>
              <w:right w:type="dxa" w:w="90"/>
            </w:tcMar>
            <w:vAlign w:val="center"/>
          </w:tcPr>
          <w:p>
            <w:pPr>
              <w:spacing w:after="20" w:line="250"/>
            </w:pPr>
            <w:r>
              <w:rPr>
                <w:sz w:val="18"/>
                <w:szCs w:val="18"/>
              </w:rPr>
              <w:t xml:space="preserve">Thread-safe tile I/O: a fresh GDAL handle per read; one GeoTIFF per tile.</w:t>
            </w:r>
          </w:p>
        </w:tc>
      </w:tr>
      <w:tr>
        <w:trPr>
          <w:cantSplit/>
        </w:trPr>
        <w:tc>
          <w:tcPr>
            <w:tcW w:type="dxa" w:w="3162"/>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Tiler</w:t>
            </w:r>
            <w:r>
              <w:rPr>
                <w:sz w:val="18"/>
                <w:szCs w:val="18"/>
              </w:rPr>
              <w:t xml:space="preserve">, </w:t>
            </w:r>
            <w:r>
              <w:rPr>
                <w:rFonts w:ascii="Courier New" w:cs="Courier New" w:eastAsia="Courier New" w:hAnsi="Courier New"/>
                <w:sz w:val="16"/>
                <w:szCs w:val="16"/>
              </w:rPr>
              <w:t xml:space="preserve">NoDataHandler</w:t>
            </w:r>
            <w:r>
              <w:rPr>
                <w:sz w:val="18"/>
                <w:szCs w:val="18"/>
              </w:rPr>
              <w:t xml:space="preserve">, </w:t>
            </w:r>
            <w:r>
              <w:rPr>
                <w:rFonts w:ascii="Courier New" w:cs="Courier New" w:eastAsia="Courier New" w:hAnsi="Courier New"/>
                <w:sz w:val="16"/>
                <w:szCs w:val="16"/>
              </w:rPr>
              <w:t xml:space="preserve">BadBandRemover</w:t>
            </w:r>
            <w:r>
              <w:rPr>
                <w:sz w:val="18"/>
                <w:szCs w:val="18"/>
              </w:rPr>
              <w:t xml:space="preserve">, </w:t>
            </w:r>
            <w:r>
              <w:rPr>
                <w:rFonts w:ascii="Courier New" w:cs="Courier New" w:eastAsia="Courier New" w:hAnsi="Courier New"/>
                <w:sz w:val="16"/>
                <w:szCs w:val="16"/>
              </w:rPr>
              <w:t xml:space="preserve">SpectralFeatures</w:t>
            </w:r>
            <w:r>
              <w:rPr>
                <w:sz w:val="18"/>
                <w:szCs w:val="18"/>
              </w:rPr>
              <w:t xml:space="preserve">, </w:t>
            </w:r>
            <w:r>
              <w:rPr>
                <w:rFonts w:ascii="Courier New" w:cs="Courier New" w:eastAsia="Courier New" w:hAnsi="Courier New"/>
                <w:sz w:val="16"/>
                <w:szCs w:val="16"/>
              </w:rPr>
              <w:t xml:space="preserve">Normalizer</w:t>
            </w:r>
          </w:p>
        </w:tc>
        <w:tc>
          <w:tcPr>
            <w:tcW w:type="dxa" w:w="6476"/>
            <w:shd w:fill="F3F6FA" w:color="auto" w:val="clear"/>
            <w:tcMar>
              <w:top w:type="dxa" w:w="60"/>
              <w:left w:type="dxa" w:w="90"/>
              <w:bottom w:type="dxa" w:w="60"/>
              <w:right w:type="dxa" w:w="90"/>
            </w:tcMar>
            <w:vAlign w:val="center"/>
          </w:tcPr>
          <w:p>
            <w:pPr>
              <w:spacing w:after="20" w:line="250"/>
            </w:pPr>
            <w:r>
              <w:rPr>
                <w:sz w:val="18"/>
                <w:szCs w:val="18"/>
              </w:rPr>
              <w:t xml:space="preserve">Header-only, independently testable pipeline stages (§5.2).</w:t>
            </w:r>
          </w:p>
        </w:tc>
      </w:tr>
      <w:tr>
        <w:trPr>
          <w:cantSplit/>
        </w:trPr>
        <w:tc>
          <w:tcPr>
            <w:tcW w:type="dxa" w:w="3162"/>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BandResolver</w:t>
            </w:r>
          </w:p>
        </w:tc>
        <w:tc>
          <w:tcPr>
            <w:tcW w:type="dxa" w:w="6476"/>
            <w:tcMar>
              <w:top w:type="dxa" w:w="60"/>
              <w:left w:type="dxa" w:w="90"/>
              <w:bottom w:type="dxa" w:w="60"/>
              <w:right w:type="dxa" w:w="90"/>
            </w:tcMar>
            <w:vAlign w:val="center"/>
          </w:tcPr>
          <w:p>
            <w:pPr>
              <w:spacing w:after="20" w:line="250"/>
            </w:pPr>
            <w:r>
              <w:rPr>
                <w:sz w:val="18"/>
                <w:szCs w:val="18"/>
              </w:rPr>
              <w:t xml:space="preserve">Chooses the NIR/Red/Green/SWIR/Blue bands by wavelength (§6.1).</w:t>
            </w:r>
          </w:p>
        </w:tc>
      </w:tr>
      <w:tr>
        <w:trPr>
          <w:cantSplit/>
        </w:trPr>
        <w:tc>
          <w:tcPr>
            <w:tcW w:type="dxa" w:w="3162"/>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PCA.hpp</w:t>
            </w:r>
            <w:r>
              <w:rPr>
                <w:sz w:val="18"/>
                <w:szCs w:val="18"/>
              </w:rPr>
              <w:t xml:space="preserve">, </w:t>
            </w:r>
            <w:r>
              <w:rPr>
                <w:rFonts w:ascii="Courier New" w:cs="Courier New" w:eastAsia="Courier New" w:hAnsi="Courier New"/>
                <w:sz w:val="16"/>
                <w:szCs w:val="16"/>
              </w:rPr>
              <w:t xml:space="preserve">SAM.hpp</w:t>
            </w:r>
          </w:p>
        </w:tc>
        <w:tc>
          <w:tcPr>
            <w:tcW w:type="dxa" w:w="6476"/>
            <w:shd w:fill="F3F6FA" w:color="auto" w:val="clear"/>
            <w:tcMar>
              <w:top w:type="dxa" w:w="60"/>
              <w:left w:type="dxa" w:w="90"/>
              <w:bottom w:type="dxa" w:w="60"/>
              <w:right w:type="dxa" w:w="90"/>
            </w:tcMar>
            <w:vAlign w:val="center"/>
          </w:tcPr>
          <w:p>
            <w:pPr>
              <w:spacing w:after="20" w:line="250"/>
            </w:pPr>
            <w:r>
              <w:rPr>
                <w:sz w:val="18"/>
                <w:szCs w:val="18"/>
              </w:rPr>
              <w:t xml:space="preserve">Whole-scene PCA (two-pass covariance, Jacobi eigen-solver) and the Spectral Angle Mapper.</w:t>
            </w:r>
          </w:p>
        </w:tc>
      </w:tr>
      <w:tr>
        <w:trPr>
          <w:cantSplit/>
        </w:trPr>
        <w:tc>
          <w:tcPr>
            <w:tcW w:type="dxa" w:w="3162"/>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src/gpu/gpu_backend_opencl.cpp</w:t>
            </w:r>
          </w:p>
        </w:tc>
        <w:tc>
          <w:tcPr>
            <w:tcW w:type="dxa" w:w="6476"/>
            <w:tcMar>
              <w:top w:type="dxa" w:w="60"/>
              <w:left w:type="dxa" w:w="90"/>
              <w:bottom w:type="dxa" w:w="60"/>
              <w:right w:type="dxa" w:w="90"/>
            </w:tcMar>
            <w:vAlign w:val="center"/>
          </w:tcPr>
          <w:p>
            <w:pPr>
              <w:spacing w:after="20" w:line="250"/>
            </w:pPr>
            <w:r>
              <w:rPr>
                <w:sz w:val="18"/>
                <w:szCs w:val="18"/>
              </w:rPr>
              <w:t xml:space="preserve">OpenCL backend: index, SAM and PCA kernels with per-tile CPU fallback.</w:t>
            </w:r>
          </w:p>
        </w:tc>
      </w:tr>
    </w:tbl>
    <w:p>
      <w:pPr>
        <w:spacing w:after="120"/>
      </w:pPr>
    </w:p>
    <w:p>
      <w:pPr>
        <w:pStyle w:val="Heading2"/>
      </w:pPr>
      <w:bookmarkStart w:name="_Toc4" w:id="4"/>
      <w:r>
        <w:t xml:space="preserve">2.2 Process model</w:t>
      </w:r>
      <w:bookmarkEnd w:id="4"/>
    </w:p>
    <w:p>
      <w:r>
        <w:t xml:space="preserve">The dialog never runs the engine on the GUI thread. When the user clicks RUN, a </w:t>
      </w:r>
      <w:r>
        <w:rPr>
          <w:rFonts w:ascii="Courier New" w:cs="Courier New" w:eastAsia="Courier New" w:hAnsi="Courier New"/>
          <w:sz w:val="19"/>
          <w:szCs w:val="19"/>
        </w:rPr>
        <w:t xml:space="preserve">threading.Thread</w:t>
      </w:r>
      <w:r>
        <w:t xml:space="preserve"> launches </w:t>
      </w:r>
      <w:r>
        <w:rPr>
          <w:rFonts w:ascii="Courier New" w:cs="Courier New" w:eastAsia="Courier New" w:hAnsi="Courier New"/>
          <w:sz w:val="19"/>
          <w:szCs w:val="19"/>
        </w:rPr>
        <w:t xml:space="preserve">hyperspatial_cli</w:t>
      </w:r>
      <w:r>
        <w:t xml:space="preserve"> with </w:t>
      </w:r>
      <w:r>
        <w:rPr>
          <w:rFonts w:ascii="Courier New" w:cs="Courier New" w:eastAsia="Courier New" w:hAnsi="Courier New"/>
          <w:sz w:val="19"/>
          <w:szCs w:val="19"/>
        </w:rPr>
        <w:t xml:space="preserve">subprocess.Popen</w:t>
      </w:r>
      <w:r>
        <w:t xml:space="preserve">, streams its standard output line by line into the log through the </w:t>
      </w:r>
      <w:r>
        <w:rPr>
          <w:rFonts w:ascii="Courier New" w:cs="Courier New" w:eastAsia="Courier New" w:hAnsi="Courier New"/>
          <w:sz w:val="19"/>
          <w:szCs w:val="19"/>
        </w:rPr>
        <w:t xml:space="preserve">hpc_log</w:t>
      </w:r>
      <w:r>
        <w:t xml:space="preserve"> signal, performs the GDAL post-processing (VRT building or merging) on the same worker thread, and finally emits </w:t>
      </w:r>
      <w:r>
        <w:rPr>
          <w:rFonts w:ascii="Courier New" w:cs="Courier New" w:eastAsia="Courier New" w:hAnsi="Courier New"/>
          <w:sz w:val="19"/>
          <w:szCs w:val="19"/>
        </w:rPr>
        <w:t xml:space="preserve">hpc_finished</w:t>
      </w:r>
      <w:r>
        <w:t xml:space="preserve">; the slot on the GUI thread then adds and styles the layers. The engine-download button works the same way (</w:t>
      </w:r>
      <w:r>
        <w:rPr>
          <w:rFonts w:ascii="Courier New" w:cs="Courier New" w:eastAsia="Courier New" w:hAnsi="Courier New"/>
          <w:sz w:val="19"/>
          <w:szCs w:val="19"/>
        </w:rPr>
        <w:t xml:space="preserve">engine_download_finished</w:t>
      </w:r>
      <w:r>
        <w:t xml:space="preserve">).</w:t>
      </w:r>
    </w:p>
    <w:p>
      <w:pPr>
        <w:pStyle w:val="Heading2"/>
      </w:pPr>
      <w:bookmarkStart w:name="_Toc5" w:id="5"/>
      <w:r>
        <w:t xml:space="preserve">2.3 Engine interface contract</w:t>
      </w:r>
      <w:bookmarkEnd w:id="5"/>
    </w:p>
    <w:p>
      <w:pPr>
        <w:keepNext/>
        <w:spacing w:after="80" w:before="160"/>
      </w:pPr>
      <w:r>
        <w:rPr>
          <w:b/>
          <w:bCs/>
          <w:color w:val="52514E"/>
          <w:sz w:val="18"/>
          <w:szCs w:val="18"/>
        </w:rPr>
        <w:t xml:space="preserve">Table 3.</w:t>
      </w:r>
      <w:r>
        <w:rPr>
          <w:color w:val="52514E"/>
          <w:sz w:val="18"/>
          <w:szCs w:val="18"/>
        </w:rPr>
        <w:t xml:space="preserve"> How the plugin and the engine communicate.</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1807"/>
        <w:gridCol w:w="7831"/>
      </w:tblGrid>
      <w:tr>
        <w:trPr>
          <w:cantSplit/>
          <w:tblHeader/>
        </w:trPr>
        <w:tc>
          <w:tcPr>
            <w:tcW w:type="dxa" w:w="1807"/>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Channel</w:t>
            </w:r>
          </w:p>
        </w:tc>
        <w:tc>
          <w:tcPr>
            <w:tcW w:type="dxa" w:w="7831"/>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Contract</w:t>
            </w:r>
          </w:p>
        </w:tc>
      </w:tr>
      <w:tr>
        <w:trPr>
          <w:cantSplit/>
        </w:trPr>
        <w:tc>
          <w:tcPr>
            <w:tcW w:type="dxa" w:w="1807"/>
            <w:tcMar>
              <w:top w:type="dxa" w:w="60"/>
              <w:left w:type="dxa" w:w="90"/>
              <w:bottom w:type="dxa" w:w="60"/>
              <w:right w:type="dxa" w:w="90"/>
            </w:tcMar>
            <w:vAlign w:val="center"/>
          </w:tcPr>
          <w:p>
            <w:pPr>
              <w:spacing w:after="20" w:line="250"/>
            </w:pPr>
            <w:r>
              <w:rPr>
                <w:sz w:val="18"/>
                <w:szCs w:val="18"/>
              </w:rPr>
              <w:t xml:space="preserve">Command line</w:t>
            </w:r>
          </w:p>
        </w:tc>
        <w:tc>
          <w:tcPr>
            <w:tcW w:type="dxa" w:w="7831"/>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hyperspatial_cli --input &lt;file&gt; --output &lt;dir&gt; --operation indices|pca|sam [options]</w:t>
            </w:r>
            <w:r>
              <w:rPr>
                <w:sz w:val="18"/>
                <w:szCs w:val="18"/>
              </w:rPr>
              <w:t xml:space="preserve"> (Appendix A).</w:t>
            </w:r>
          </w:p>
        </w:tc>
      </w:tr>
      <w:tr>
        <w:trPr>
          <w:cantSplit/>
        </w:trPr>
        <w:tc>
          <w:tcPr>
            <w:tcW w:type="dxa" w:w="1807"/>
            <w:shd w:fill="F3F6FA" w:color="auto" w:val="clear"/>
            <w:tcMar>
              <w:top w:type="dxa" w:w="60"/>
              <w:left w:type="dxa" w:w="90"/>
              <w:bottom w:type="dxa" w:w="60"/>
              <w:right w:type="dxa" w:w="90"/>
            </w:tcMar>
            <w:vAlign w:val="center"/>
          </w:tcPr>
          <w:p>
            <w:pPr>
              <w:spacing w:after="20" w:line="250"/>
            </w:pPr>
            <w:r>
              <w:rPr>
                <w:sz w:val="18"/>
                <w:szCs w:val="18"/>
              </w:rPr>
              <w:t xml:space="preserve">Standard output</w:t>
            </w:r>
          </w:p>
        </w:tc>
        <w:tc>
          <w:tcPr>
            <w:tcW w:type="dxa" w:w="7831"/>
            <w:shd w:fill="F3F6FA" w:color="auto" w:val="clear"/>
            <w:tcMar>
              <w:top w:type="dxa" w:w="60"/>
              <w:left w:type="dxa" w:w="90"/>
              <w:bottom w:type="dxa" w:w="60"/>
              <w:right w:type="dxa" w:w="90"/>
            </w:tcMar>
            <w:vAlign w:val="center"/>
          </w:tcPr>
          <w:p>
            <w:pPr>
              <w:spacing w:after="20" w:line="250"/>
            </w:pPr>
            <w:r>
              <w:rPr>
                <w:sz w:val="18"/>
                <w:szCs w:val="18"/>
              </w:rPr>
              <w:t xml:space="preserve">Scene, tile and band summary, then </w:t>
            </w:r>
            <w:r>
              <w:rPr>
                <w:rFonts w:ascii="Courier New" w:cs="Courier New" w:eastAsia="Courier New" w:hAnsi="Courier New"/>
                <w:sz w:val="16"/>
                <w:szCs w:val="16"/>
              </w:rPr>
              <w:t xml:space="preserve">Progress: k/total</w:t>
            </w:r>
            <w:r>
              <w:rPr>
                <w:sz w:val="18"/>
                <w:szCs w:val="18"/>
              </w:rPr>
              <w:t xml:space="preserve">, then one final line </w:t>
            </w:r>
            <w:r>
              <w:rPr>
                <w:rFonts w:ascii="Courier New" w:cs="Courier New" w:eastAsia="Courier New" w:hAnsi="Courier New"/>
                <w:sz w:val="16"/>
                <w:szCs w:val="16"/>
              </w:rPr>
              <w:t xml:space="preserve">RESULT mode=&lt;ran&gt; operation=&lt;op&gt; tiles=&lt;n&gt; bands=&lt;b&gt; time_sec=&lt;s&gt;</w:t>
            </w:r>
            <w:r>
              <w:rPr>
                <w:sz w:val="18"/>
                <w:szCs w:val="18"/>
              </w:rPr>
              <w:t xml:space="preserve"> (kept stable for benchmark scripts). </w:t>
            </w:r>
            <w:r>
              <w:rPr>
                <w:rFonts w:ascii="Courier New" w:cs="Courier New" w:eastAsia="Courier New" w:hAnsi="Courier New"/>
                <w:sz w:val="16"/>
                <w:szCs w:val="16"/>
              </w:rPr>
              <w:t xml:space="preserve">mode</w:t>
            </w:r>
            <w:r>
              <w:rPr>
                <w:sz w:val="18"/>
                <w:szCs w:val="18"/>
              </w:rPr>
              <w:t xml:space="preserve"> reports what actually ran — </w:t>
            </w:r>
            <w:r>
              <w:rPr>
                <w:rFonts w:ascii="Courier New" w:cs="Courier New" w:eastAsia="Courier New" w:hAnsi="Courier New"/>
                <w:sz w:val="16"/>
                <w:szCs w:val="16"/>
              </w:rPr>
              <w:t xml:space="preserve">gpu</w:t>
            </w:r>
            <w:r>
              <w:rPr>
                <w:sz w:val="18"/>
                <w:szCs w:val="18"/>
              </w:rPr>
              <w:t xml:space="preserve"> only if the GPU initialised.</w:t>
            </w:r>
          </w:p>
        </w:tc>
      </w:tr>
      <w:tr>
        <w:trPr>
          <w:cantSplit/>
        </w:trPr>
        <w:tc>
          <w:tcPr>
            <w:tcW w:type="dxa" w:w="1807"/>
            <w:tcMar>
              <w:top w:type="dxa" w:w="60"/>
              <w:left w:type="dxa" w:w="90"/>
              <w:bottom w:type="dxa" w:w="60"/>
              <w:right w:type="dxa" w:w="90"/>
            </w:tcMar>
            <w:vAlign w:val="center"/>
          </w:tcPr>
          <w:p>
            <w:pPr>
              <w:spacing w:after="20" w:line="250"/>
            </w:pPr>
            <w:r>
              <w:rPr>
                <w:sz w:val="18"/>
                <w:szCs w:val="18"/>
              </w:rPr>
              <w:t xml:space="preserve">Exit code</w:t>
            </w:r>
          </w:p>
        </w:tc>
        <w:tc>
          <w:tcPr>
            <w:tcW w:type="dxa" w:w="7831"/>
            <w:tcMar>
              <w:top w:type="dxa" w:w="60"/>
              <w:left w:type="dxa" w:w="90"/>
              <w:bottom w:type="dxa" w:w="60"/>
              <w:right w:type="dxa" w:w="90"/>
            </w:tcMar>
            <w:vAlign w:val="center"/>
          </w:tcPr>
          <w:p>
            <w:pPr>
              <w:spacing w:after="20" w:line="250"/>
            </w:pPr>
            <w:r>
              <w:rPr>
                <w:sz w:val="18"/>
                <w:szCs w:val="18"/>
              </w:rPr>
              <w:t xml:space="preserve">0 success; 2 if any tile failed (the run continues and the first error is printed); non-zero on invalid input.</w:t>
            </w:r>
          </w:p>
        </w:tc>
      </w:tr>
      <w:tr>
        <w:trPr>
          <w:cantSplit/>
        </w:trPr>
        <w:tc>
          <w:tcPr>
            <w:tcW w:type="dxa" w:w="1807"/>
            <w:shd w:fill="F3F6FA" w:color="auto" w:val="clear"/>
            <w:tcMar>
              <w:top w:type="dxa" w:w="60"/>
              <w:left w:type="dxa" w:w="90"/>
              <w:bottom w:type="dxa" w:w="60"/>
              <w:right w:type="dxa" w:w="90"/>
            </w:tcMar>
            <w:vAlign w:val="center"/>
          </w:tcPr>
          <w:p>
            <w:pPr>
              <w:spacing w:after="20" w:line="250"/>
            </w:pPr>
            <w:r>
              <w:rPr>
                <w:sz w:val="18"/>
                <w:szCs w:val="18"/>
              </w:rPr>
              <w:t xml:space="preserve">Files</w:t>
            </w:r>
          </w:p>
        </w:tc>
        <w:tc>
          <w:tcPr>
            <w:tcW w:type="dxa" w:w="7831"/>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indices</w:t>
            </w:r>
            <w:r>
              <w:rPr>
                <w:sz w:val="18"/>
                <w:szCs w:val="18"/>
              </w:rPr>
              <w:t xml:space="preserve">: </w:t>
            </w:r>
            <w:r>
              <w:rPr>
                <w:rFonts w:ascii="Courier New" w:cs="Courier New" w:eastAsia="Courier New" w:hAnsi="Courier New"/>
                <w:sz w:val="16"/>
                <w:szCs w:val="16"/>
              </w:rPr>
              <w:t xml:space="preserve">tile_r####_c####.tif</w:t>
            </w:r>
            <w:r>
              <w:rPr>
                <w:sz w:val="18"/>
                <w:szCs w:val="18"/>
              </w:rPr>
              <w:t xml:space="preserve"> with 224 raw + 7 index bands; </w:t>
            </w:r>
            <w:r>
              <w:rPr>
                <w:rFonts w:ascii="Courier New" w:cs="Courier New" w:eastAsia="Courier New" w:hAnsi="Courier New"/>
                <w:sz w:val="16"/>
                <w:szCs w:val="16"/>
              </w:rPr>
              <w:t xml:space="preserve">pca</w:t>
            </w:r>
            <w:r>
              <w:rPr>
                <w:sz w:val="18"/>
                <w:szCs w:val="18"/>
              </w:rPr>
              <w:t xml:space="preserve">: </w:t>
            </w:r>
            <w:r>
              <w:rPr>
                <w:rFonts w:ascii="Courier New" w:cs="Courier New" w:eastAsia="Courier New" w:hAnsi="Courier New"/>
                <w:sz w:val="16"/>
                <w:szCs w:val="16"/>
              </w:rPr>
              <w:t xml:space="preserve">pca.tif</w:t>
            </w:r>
            <w:r>
              <w:rPr>
                <w:sz w:val="18"/>
                <w:szCs w:val="18"/>
              </w:rPr>
              <w:t xml:space="preserve">, </w:t>
            </w:r>
            <w:r>
              <w:rPr>
                <w:rFonts w:ascii="Courier New" w:cs="Courier New" w:eastAsia="Courier New" w:hAnsi="Courier New"/>
                <w:sz w:val="16"/>
                <w:szCs w:val="16"/>
              </w:rPr>
              <w:t xml:space="preserve">pca_eigen.csv</w:t>
            </w:r>
            <w:r>
              <w:rPr>
                <w:sz w:val="18"/>
                <w:szCs w:val="18"/>
              </w:rPr>
              <w:t xml:space="preserve">; </w:t>
            </w:r>
            <w:r>
              <w:rPr>
                <w:rFonts w:ascii="Courier New" w:cs="Courier New" w:eastAsia="Courier New" w:hAnsi="Courier New"/>
                <w:sz w:val="16"/>
                <w:szCs w:val="16"/>
              </w:rPr>
              <w:t xml:space="preserve">sam</w:t>
            </w:r>
            <w:r>
              <w:rPr>
                <w:sz w:val="18"/>
                <w:szCs w:val="18"/>
              </w:rPr>
              <w:t xml:space="preserve">: </w:t>
            </w:r>
            <w:r>
              <w:rPr>
                <w:rFonts w:ascii="Courier New" w:cs="Courier New" w:eastAsia="Courier New" w:hAnsi="Courier New"/>
                <w:sz w:val="16"/>
                <w:szCs w:val="16"/>
              </w:rPr>
              <w:t xml:space="preserve">sam_angle.tif</w:t>
            </w:r>
            <w:r>
              <w:rPr>
                <w:sz w:val="18"/>
                <w:szCs w:val="18"/>
              </w:rPr>
              <w:t xml:space="preserve">, optional </w:t>
            </w:r>
            <w:r>
              <w:rPr>
                <w:rFonts w:ascii="Courier New" w:cs="Courier New" w:eastAsia="Courier New" w:hAnsi="Courier New"/>
                <w:sz w:val="16"/>
                <w:szCs w:val="16"/>
              </w:rPr>
              <w:t xml:space="preserve">sam_mask.tif</w:t>
            </w:r>
            <w:r>
              <w:rPr>
                <w:sz w:val="18"/>
                <w:szCs w:val="18"/>
              </w:rPr>
              <w:t xml:space="preserve">, </w:t>
            </w:r>
            <w:r>
              <w:rPr>
                <w:rFonts w:ascii="Courier New" w:cs="Courier New" w:eastAsia="Courier New" w:hAnsi="Courier New"/>
                <w:sz w:val="16"/>
                <w:szCs w:val="16"/>
              </w:rPr>
              <w:t xml:space="preserve">sam_similarity.tif</w:t>
            </w:r>
            <w:r>
              <w:rPr>
                <w:sz w:val="18"/>
                <w:szCs w:val="18"/>
              </w:rPr>
              <w:t xml:space="preserve">. The engine clears its own earlier outputs at start.</w:t>
            </w:r>
          </w:p>
        </w:tc>
      </w:tr>
    </w:tbl>
    <w:p>
      <w:pPr>
        <w:spacing w:after="120"/>
      </w:pPr>
    </w:p>
    <w:p>
      <w:pPr>
        <w:pStyle w:val="Heading1"/>
      </w:pPr>
      <w:bookmarkStart w:name="_Toc6" w:id="6"/>
      <w:r>
        <w:t xml:space="preserve">3. Installation</w:t>
      </w:r>
      <w:bookmarkEnd w:id="6"/>
    </w:p>
    <w:p>
      <w:pPr>
        <w:pStyle w:val="Heading2"/>
      </w:pPr>
      <w:bookmarkStart w:name="_Toc7" w:id="7"/>
      <w:r>
        <w:t xml:space="preserve">3.1 The plugin</w:t>
      </w:r>
      <w:bookmarkEnd w:id="7"/>
    </w:p>
    <w:p>
      <w:r>
        <w:t xml:space="preserve">Install from plugins.qgis.org, or build the zip with </w:t>
      </w:r>
      <w:r>
        <w:rPr>
          <w:rFonts w:ascii="Courier New" w:cs="Courier New" w:eastAsia="Courier New" w:hAnsi="Courier New"/>
          <w:sz w:val="19"/>
          <w:szCs w:val="19"/>
        </w:rPr>
        <w:t xml:space="preserve">bash qgis-plugin/hyperspatial_processing/package_plugin.sh</w:t>
      </w:r>
      <w:r>
        <w:t xml:space="preserve"> and use </w:t>
      </w:r>
      <w:r>
        <w:rPr>
          <w:b/>
          <w:bCs/>
        </w:rPr>
        <w:t xml:space="preserve">Plugins → Manage and Install Plugins → Install from ZIP</w:t>
      </w:r>
      <w:r>
        <w:t xml:space="preserve">. The zip contains no compiled code, so it is the same on every operating system.</w:t>
      </w:r>
    </w:p>
    <w:p>
      <w:pPr>
        <w:pStyle w:val="Heading2"/>
      </w:pPr>
      <w:bookmarkStart w:name="_Toc8" w:id="8"/>
      <w:r>
        <w:t xml:space="preserve">3.2 The engine</w:t>
      </w:r>
      <w:bookmarkEnd w:id="8"/>
    </w:p>
    <w:p>
      <w:r>
        <w:rPr>
          <w:rFonts w:ascii="Courier New" w:cs="Courier New" w:eastAsia="Courier New" w:hAnsi="Courier New"/>
          <w:sz w:val="19"/>
          <w:szCs w:val="19"/>
        </w:rPr>
        <w:t xml:space="preserve">engine_locator.resolve_engine()</w:t>
      </w:r>
      <w:r>
        <w:t xml:space="preserve"> looks for </w:t>
      </w:r>
      <w:r>
        <w:rPr>
          <w:rFonts w:ascii="Courier New" w:cs="Courier New" w:eastAsia="Courier New" w:hAnsi="Courier New"/>
          <w:sz w:val="19"/>
          <w:szCs w:val="19"/>
        </w:rPr>
        <w:t xml:space="preserve">hyperspatial_cli</w:t>
      </w:r>
      <w:r>
        <w:t xml:space="preserve"> in this order and shows the result (and its source) in the Engine row:</w:t>
      </w:r>
    </w:p>
    <w:p>
      <w:pPr>
        <w:pStyle w:val="ListParagraph"/>
        <w:numPr>
          <w:ilvl w:val="0"/>
          <w:numId w:val="2"/>
        </w:numPr>
        <w:spacing w:after="60"/>
      </w:pPr>
      <w:r>
        <w:t xml:space="preserve">A path saved with the Engine </w:t>
      </w:r>
      <w:r>
        <w:rPr>
          <w:b/>
          <w:bCs/>
        </w:rPr>
        <w:t xml:space="preserve">Browse</w:t>
      </w:r>
      <w:r>
        <w:t xml:space="preserve"> button (stored in QGIS settings).</w:t>
      </w:r>
    </w:p>
    <w:p>
      <w:pPr>
        <w:pStyle w:val="ListParagraph"/>
        <w:numPr>
          <w:ilvl w:val="0"/>
          <w:numId w:val="2"/>
        </w:numPr>
        <w:spacing w:after="60"/>
      </w:pPr>
      <w:r>
        <w:rPr>
          <w:rFonts w:ascii="Courier New" w:cs="Courier New" w:eastAsia="Courier New" w:hAnsi="Courier New"/>
          <w:sz w:val="19"/>
          <w:szCs w:val="19"/>
        </w:rPr>
        <w:t xml:space="preserve">hyperspatial_cli</w:t>
      </w:r>
      <w:r>
        <w:t xml:space="preserve"> on the system </w:t>
      </w:r>
      <w:r>
        <w:rPr>
          <w:rFonts w:ascii="Courier New" w:cs="Courier New" w:eastAsia="Courier New" w:hAnsi="Courier New"/>
          <w:sz w:val="19"/>
          <w:szCs w:val="19"/>
        </w:rPr>
        <w:t xml:space="preserve">PATH</w:t>
      </w:r>
      <w:r>
        <w:t xml:space="preserve"> (for example after </w:t>
      </w:r>
      <w:r>
        <w:rPr>
          <w:rFonts w:ascii="Courier New" w:cs="Courier New" w:eastAsia="Courier New" w:hAnsi="Courier New"/>
          <w:sz w:val="19"/>
          <w:szCs w:val="19"/>
        </w:rPr>
        <w:t xml:space="preserve">make install</w:t>
      </w:r>
      <w:r>
        <w:t xml:space="preserve">, conda or Homebrew).</w:t>
      </w:r>
    </w:p>
    <w:p>
      <w:pPr>
        <w:pStyle w:val="ListParagraph"/>
        <w:numPr>
          <w:ilvl w:val="0"/>
          <w:numId w:val="2"/>
        </w:numPr>
        <w:spacing w:after="60"/>
      </w:pPr>
      <w:r>
        <w:t xml:space="preserve">A copy under the plugin's </w:t>
      </w:r>
      <w:r>
        <w:rPr>
          <w:rFonts w:ascii="Courier New" w:cs="Courier New" w:eastAsia="Courier New" w:hAnsi="Courier New"/>
          <w:sz w:val="19"/>
          <w:szCs w:val="19"/>
        </w:rPr>
        <w:t xml:space="preserve">bin/&lt;platform&gt;/</w:t>
      </w:r>
      <w:r>
        <w:t xml:space="preserve"> folder (development builds only; absent from the published zip).</w:t>
      </w:r>
    </w:p>
    <w:p>
      <w:r>
        <w:rPr>
          <w:b/>
          <w:bCs/>
        </w:rPr>
        <w:t xml:space="preserve">Download engine</w:t>
      </w:r>
      <w:r>
        <w:t xml:space="preserve"> fetches the prebuilt engine for the host from the project's GitHub Releases (</w:t>
      </w:r>
      <w:r>
        <w:rPr>
          <w:rFonts w:ascii="Courier New" w:cs="Courier New" w:eastAsia="Courier New" w:hAnsi="Courier New"/>
          <w:sz w:val="19"/>
          <w:szCs w:val="19"/>
        </w:rPr>
        <w:t xml:space="preserve">engine-macos-arm64.zip</w:t>
      </w:r>
      <w:r>
        <w:t xml:space="preserve">, </w:t>
      </w:r>
      <w:r>
        <w:rPr>
          <w:rFonts w:ascii="Courier New" w:cs="Courier New" w:eastAsia="Courier New" w:hAnsi="Courier New"/>
          <w:sz w:val="19"/>
          <w:szCs w:val="19"/>
        </w:rPr>
        <w:t xml:space="preserve">engine-windows-x64.zip</w:t>
      </w:r>
      <w:r>
        <w:t xml:space="preserve"> or </w:t>
      </w:r>
      <w:r>
        <w:rPr>
          <w:rFonts w:ascii="Courier New" w:cs="Courier New" w:eastAsia="Courier New" w:hAnsi="Courier New"/>
          <w:sz w:val="19"/>
          <w:szCs w:val="19"/>
        </w:rPr>
        <w:t xml:space="preserve">engine-linux-x64.zip</w:t>
      </w:r>
      <w:r>
        <w:t xml:space="preserve">, from </w:t>
      </w:r>
      <w:r>
        <w:rPr>
          <w:rFonts w:ascii="Courier New" w:cs="Courier New" w:eastAsia="Courier New" w:hAnsi="Courier New"/>
          <w:sz w:val="19"/>
          <w:szCs w:val="19"/>
        </w:rPr>
        <w:t xml:space="preserve">…/releases/latest/download/</w:t>
      </w:r>
      <w:r>
        <w:t xml:space="preserve">), unpacks it into the plugin's </w:t>
      </w:r>
      <w:r>
        <w:rPr>
          <w:rFonts w:ascii="Courier New" w:cs="Courier New" w:eastAsia="Courier New" w:hAnsi="Courier New"/>
          <w:sz w:val="19"/>
          <w:szCs w:val="19"/>
        </w:rPr>
        <w:t xml:space="preserve">bin/</w:t>
      </w:r>
      <w:r>
        <w:t xml:space="preserve"> folder on a worker thread, and refreshes the Engine row. </w:t>
      </w:r>
      <w:r>
        <w:rPr>
          <w:rFonts w:ascii="Courier New" w:cs="Courier New" w:eastAsia="Courier New" w:hAnsi="Courier New"/>
          <w:sz w:val="19"/>
          <w:szCs w:val="19"/>
        </w:rPr>
        <w:t xml:space="preserve">engine_env()</w:t>
      </w:r>
      <w:r>
        <w:t xml:space="preserve"> puts QGIS's own GDAL library folder first on the library path, so the engine links the same GDAL that QGIS uses.</w:t>
      </w:r>
    </w:p>
    <w:p>
      <w:pPr>
        <w:pStyle w:val="Heading2"/>
      </w:pPr>
      <w:bookmarkStart w:name="_Toc9" w:id="9"/>
      <w:r>
        <w:t xml:space="preserve">3.3 Building the engine from source</w:t>
      </w:r>
      <w:bookmarkEnd w:id="9"/>
    </w:p>
    <w:p>
      <w:pPr>
        <w:shd w:fill="F4F3EF" w:color="auto" w:val="clear"/>
        <w:spacing w:after="0" w:before="80" w:line="240"/>
      </w:pPr>
      <w:r>
        <w:rPr>
          <w:rFonts w:ascii="Courier New" w:cs="Courier New" w:eastAsia="Courier New" w:hAnsi="Courier New"/>
          <w:color w:val="1F1F1F"/>
          <w:sz w:val="16"/>
          <w:szCs w:val="16"/>
        </w:rPr>
        <w:t xml:space="preserve"># macOS: brew install gdal libomp cmake</w:t>
      </w:r>
    </w:p>
    <w:p>
      <w:pPr>
        <w:shd w:fill="F4F3EF" w:color="auto" w:val="clear"/>
        <w:spacing w:after="0" w:before="0" w:line="240"/>
      </w:pPr>
      <w:r>
        <w:rPr>
          <w:rFonts w:ascii="Courier New" w:cs="Courier New" w:eastAsia="Courier New" w:hAnsi="Courier New"/>
          <w:color w:val="1F1F1F"/>
          <w:sz w:val="16"/>
          <w:szCs w:val="16"/>
        </w:rPr>
        <w:t xml:space="preserve">cmake -S hpc-engine -B hpc-engine/build -DCMAKE_BUILD_TYPE=Release</w:t>
      </w:r>
    </w:p>
    <w:p>
      <w:pPr>
        <w:shd w:fill="F4F3EF" w:color="auto" w:val="clear"/>
        <w:spacing w:after="0" w:before="0" w:line="240"/>
      </w:pPr>
      <w:r>
        <w:rPr>
          <w:rFonts w:ascii="Courier New" w:cs="Courier New" w:eastAsia="Courier New" w:hAnsi="Courier New"/>
          <w:color w:val="1F1F1F"/>
          <w:sz w:val="16"/>
          <w:szCs w:val="16"/>
        </w:rPr>
        <w:t xml:space="preserve">cmake --build hpc-engine/build -j</w:t>
      </w:r>
    </w:p>
    <w:p>
      <w:pPr>
        <w:spacing w:after="120"/>
      </w:pPr>
    </w:p>
    <w:p>
      <w:pPr>
        <w:pStyle w:val="ListParagraph"/>
        <w:numPr>
          <w:ilvl w:val="0"/>
          <w:numId w:val="3"/>
        </w:numPr>
        <w:spacing w:after="60"/>
      </w:pPr>
      <w:r>
        <w:t xml:space="preserve">Requires GDAL; OpenMP is optional (auto-detected, Homebrew </w:t>
      </w:r>
      <w:r>
        <w:rPr>
          <w:rFonts w:ascii="Courier New" w:cs="Courier New" w:eastAsia="Courier New" w:hAnsi="Courier New"/>
          <w:sz w:val="19"/>
          <w:szCs w:val="19"/>
        </w:rPr>
        <w:t xml:space="preserve">libomp</w:t>
      </w:r>
      <w:r>
        <w:t xml:space="preserve"> on macOS); OpenCL is optional (</w:t>
      </w:r>
      <w:r>
        <w:rPr>
          <w:rFonts w:ascii="Courier New" w:cs="Courier New" w:eastAsia="Courier New" w:hAnsi="Courier New"/>
          <w:sz w:val="19"/>
          <w:szCs w:val="19"/>
        </w:rPr>
        <w:t xml:space="preserve">-DUSE_OPENCL=ON</w:t>
      </w:r>
      <w:r>
        <w:t xml:space="preserve"> by default; without an SDK, </w:t>
      </w:r>
      <w:r>
        <w:rPr>
          <w:rFonts w:ascii="Courier New" w:cs="Courier New" w:eastAsia="Courier New" w:hAnsi="Courier New"/>
          <w:sz w:val="19"/>
          <w:szCs w:val="19"/>
        </w:rPr>
        <w:t xml:space="preserve">--mode gpu</w:t>
      </w:r>
      <w:r>
        <w:t xml:space="preserve"> warns and runs on the CPU).</w:t>
      </w:r>
    </w:p>
    <w:p>
      <w:pPr>
        <w:pStyle w:val="ListParagraph"/>
        <w:numPr>
          <w:ilvl w:val="0"/>
          <w:numId w:val="3"/>
        </w:numPr>
        <w:spacing w:after="60"/>
      </w:pPr>
      <w:r>
        <w:t xml:space="preserve">The default build is portable (</w:t>
      </w:r>
      <w:r>
        <w:rPr>
          <w:rFonts w:ascii="Courier New" w:cs="Courier New" w:eastAsia="Courier New" w:hAnsi="Courier New"/>
          <w:sz w:val="19"/>
          <w:szCs w:val="19"/>
        </w:rPr>
        <w:t xml:space="preserve">-O3</w:t>
      </w:r>
      <w:r>
        <w:t xml:space="preserve"> / </w:t>
      </w:r>
      <w:r>
        <w:rPr>
          <w:rFonts w:ascii="Courier New" w:cs="Courier New" w:eastAsia="Courier New" w:hAnsi="Courier New"/>
          <w:sz w:val="19"/>
          <w:szCs w:val="19"/>
        </w:rPr>
        <w:t xml:space="preserve">/O2</w:t>
      </w:r>
      <w:r>
        <w:t xml:space="preserve">). </w:t>
      </w:r>
      <w:r>
        <w:rPr>
          <w:rFonts w:ascii="Courier New" w:cs="Courier New" w:eastAsia="Courier New" w:hAnsi="Courier New"/>
          <w:sz w:val="19"/>
          <w:szCs w:val="19"/>
        </w:rPr>
        <w:t xml:space="preserve">-DNATIVE_ARCH=ON</w:t>
      </w:r>
      <w:r>
        <w:t xml:space="preserve"> adds </w:t>
      </w:r>
      <w:r>
        <w:rPr>
          <w:rFonts w:ascii="Courier New" w:cs="Courier New" w:eastAsia="Courier New" w:hAnsi="Courier New"/>
          <w:sz w:val="19"/>
          <w:szCs w:val="19"/>
        </w:rPr>
        <w:t xml:space="preserve">-march=native</w:t>
      </w:r>
      <w:r>
        <w:t xml:space="preserve">, which is faster but aborts on a different CPU — do not distribute such builds.</w:t>
      </w:r>
    </w:p>
    <w:p>
      <w:pPr>
        <w:pStyle w:val="ListParagraph"/>
        <w:numPr>
          <w:ilvl w:val="0"/>
          <w:numId w:val="3"/>
        </w:numPr>
        <w:spacing w:after="60"/>
      </w:pPr>
      <w:r>
        <w:t xml:space="preserve">The project's GitHub Actions workflow builds the engine and both plugin zips for Windows, Linux and macOS and attaches engine archives to tagged releases.</w:t>
      </w:r>
    </w:p>
    <w:p>
      <w:pPr>
        <w:pStyle w:val="Heading1"/>
      </w:pPr>
      <w:bookmarkStart w:name="_Toc10" w:id="10"/>
      <w:r>
        <w:t xml:space="preserve">4. User interface</w:t>
      </w:r>
      <w:bookmarkEnd w:id="10"/>
    </w:p>
    <w:p>
      <w:pPr>
        <w:keepNext/>
        <w:spacing w:after="60" w:before="120"/>
        <w:jc w:val="center"/>
      </w:pPr>
      <w:r>
        <w:drawing>
          <wp:inline distT="0" distB="0" distL="0" distR="0">
            <wp:extent cx="5267325" cy="4448175"/>
            <wp:effectExtent t="0" r="0" b="0" l="0"/>
            <wp:docPr id="2" name="ui_processing_indices.png" descr="The dialog with the Spectral Indices operation and the engine's real output for the EnMAP test scene (rendered from the plugin running in QGIS 4.2.3)." title="The dialog with the Spectral Indices operation and the engine's real output for the EnMAP test scene (rendered from the plugin running in QGIS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67325" cy="4448175"/>
                    </a:xfrm>
                    <a:prstGeom prst="rect">
                      <a:avLst/>
                    </a:prstGeom>
                  </pic:spPr>
                </pic:pic>
              </a:graphicData>
            </a:graphic>
          </wp:inline>
        </w:drawing>
      </w:r>
    </w:p>
    <w:p>
      <w:pPr>
        <w:spacing w:after="200"/>
      </w:pPr>
      <w:r>
        <w:rPr>
          <w:b/>
          <w:bCs/>
          <w:color w:val="52514E"/>
          <w:sz w:val="18"/>
          <w:szCs w:val="18"/>
        </w:rPr>
        <w:t xml:space="preserve">Figure 2.</w:t>
      </w:r>
      <w:r>
        <w:rPr>
          <w:color w:val="52514E"/>
          <w:sz w:val="18"/>
          <w:szCs w:val="18"/>
        </w:rPr>
        <w:t xml:space="preserve"> The dialog with the Spectral Indices operation and the engine's real output for the EnMAP test scene (rendered from the plugin running in QGIS 4.2.3).</w:t>
      </w:r>
    </w:p>
    <w:p>
      <w:pPr>
        <w:keepNext/>
        <w:spacing w:after="80" w:before="160"/>
      </w:pPr>
      <w:r>
        <w:rPr>
          <w:b/>
          <w:bCs/>
          <w:color w:val="52514E"/>
          <w:sz w:val="18"/>
          <w:szCs w:val="18"/>
        </w:rPr>
        <w:t xml:space="preserve">Table 4.</w:t>
      </w:r>
      <w:r>
        <w:rPr>
          <w:color w:val="52514E"/>
          <w:sz w:val="18"/>
          <w:szCs w:val="18"/>
        </w:rPr>
        <w:t xml:space="preserve"> Dialog controls.</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3011"/>
        <w:gridCol w:w="6627"/>
      </w:tblGrid>
      <w:tr>
        <w:trPr>
          <w:cantSplit/>
          <w:tblHeader/>
        </w:trPr>
        <w:tc>
          <w:tcPr>
            <w:tcW w:type="dxa" w:w="3011"/>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Control</w:t>
            </w:r>
          </w:p>
        </w:tc>
        <w:tc>
          <w:tcPr>
            <w:tcW w:type="dxa" w:w="6627"/>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Meaning</w:t>
            </w:r>
          </w:p>
        </w:tc>
      </w:tr>
      <w:tr>
        <w:trPr>
          <w:cantSplit/>
        </w:trPr>
        <w:tc>
          <w:tcPr>
            <w:tcW w:type="dxa" w:w="3011"/>
            <w:tcMar>
              <w:top w:type="dxa" w:w="60"/>
              <w:left w:type="dxa" w:w="90"/>
              <w:bottom w:type="dxa" w:w="60"/>
              <w:right w:type="dxa" w:w="90"/>
            </w:tcMar>
            <w:vAlign w:val="center"/>
          </w:tcPr>
          <w:p>
            <w:pPr>
              <w:spacing w:after="20" w:line="250"/>
            </w:pPr>
            <w:r>
              <w:rPr>
                <w:sz w:val="18"/>
                <w:szCs w:val="18"/>
              </w:rPr>
              <w:t xml:space="preserve">Input Layer</w:t>
            </w:r>
          </w:p>
        </w:tc>
        <w:tc>
          <w:tcPr>
            <w:tcW w:type="dxa" w:w="6627"/>
            <w:tcMar>
              <w:top w:type="dxa" w:w="60"/>
              <w:left w:type="dxa" w:w="90"/>
              <w:bottom w:type="dxa" w:w="60"/>
              <w:right w:type="dxa" w:w="90"/>
            </w:tcMar>
            <w:vAlign w:val="center"/>
          </w:tcPr>
          <w:p>
            <w:pPr>
              <w:spacing w:after="20" w:line="250"/>
            </w:pPr>
            <w:r>
              <w:rPr>
                <w:sz w:val="18"/>
                <w:szCs w:val="18"/>
              </w:rPr>
              <w:t xml:space="preserve">Any raster layer in the project (EnMAP </w:t>
            </w:r>
            <w:r>
              <w:rPr>
                <w:rFonts w:ascii="Courier New" w:cs="Courier New" w:eastAsia="Courier New" w:hAnsi="Courier New"/>
                <w:sz w:val="16"/>
                <w:szCs w:val="16"/>
              </w:rPr>
              <w:t xml:space="preserve">.BSQ</w:t>
            </w:r>
            <w:r>
              <w:rPr>
                <w:sz w:val="18"/>
                <w:szCs w:val="18"/>
              </w:rPr>
              <w:t xml:space="preserve">, ENVI, GeoTIFF …); its file is passed to the engine.</w:t>
            </w:r>
          </w:p>
        </w:tc>
      </w:tr>
      <w:tr>
        <w:trPr>
          <w:cantSplit/>
        </w:trPr>
        <w:tc>
          <w:tcPr>
            <w:tcW w:type="dxa" w:w="3011"/>
            <w:shd w:fill="F3F6FA" w:color="auto" w:val="clear"/>
            <w:tcMar>
              <w:top w:type="dxa" w:w="60"/>
              <w:left w:type="dxa" w:w="90"/>
              <w:bottom w:type="dxa" w:w="60"/>
              <w:right w:type="dxa" w:w="90"/>
            </w:tcMar>
            <w:vAlign w:val="center"/>
          </w:tcPr>
          <w:p>
            <w:pPr>
              <w:spacing w:after="20" w:line="250"/>
            </w:pPr>
            <w:r>
              <w:rPr>
                <w:sz w:val="18"/>
                <w:szCs w:val="18"/>
              </w:rPr>
              <w:t xml:space="preserve">Output</w:t>
            </w:r>
          </w:p>
        </w:tc>
        <w:tc>
          <w:tcPr>
            <w:tcW w:type="dxa" w:w="6627"/>
            <w:shd w:fill="F3F6FA" w:color="auto" w:val="clear"/>
            <w:tcMar>
              <w:top w:type="dxa" w:w="60"/>
              <w:left w:type="dxa" w:w="90"/>
              <w:bottom w:type="dxa" w:w="60"/>
              <w:right w:type="dxa" w:w="90"/>
            </w:tcMar>
            <w:vAlign w:val="center"/>
          </w:tcPr>
          <w:p>
            <w:pPr>
              <w:spacing w:after="20" w:line="250"/>
            </w:pPr>
            <w:r>
              <w:rPr>
                <w:sz w:val="18"/>
                <w:szCs w:val="18"/>
              </w:rPr>
              <w:t xml:space="preserve">Output folder; blank uses QGIS's temporary space.</w:t>
            </w:r>
          </w:p>
        </w:tc>
      </w:tr>
      <w:tr>
        <w:trPr>
          <w:cantSplit/>
        </w:trPr>
        <w:tc>
          <w:tcPr>
            <w:tcW w:type="dxa" w:w="3011"/>
            <w:tcMar>
              <w:top w:type="dxa" w:w="60"/>
              <w:left w:type="dxa" w:w="90"/>
              <w:bottom w:type="dxa" w:w="60"/>
              <w:right w:type="dxa" w:w="90"/>
            </w:tcMar>
            <w:vAlign w:val="center"/>
          </w:tcPr>
          <w:p>
            <w:pPr>
              <w:spacing w:after="20" w:line="250"/>
            </w:pPr>
            <w:r>
              <w:rPr>
                <w:sz w:val="18"/>
                <w:szCs w:val="18"/>
              </w:rPr>
              <w:t xml:space="preserve">Engine + Browse / Download engine</w:t>
            </w:r>
          </w:p>
        </w:tc>
        <w:tc>
          <w:tcPr>
            <w:tcW w:type="dxa" w:w="6627"/>
            <w:tcMar>
              <w:top w:type="dxa" w:w="60"/>
              <w:left w:type="dxa" w:w="90"/>
              <w:bottom w:type="dxa" w:w="60"/>
              <w:right w:type="dxa" w:w="90"/>
            </w:tcMar>
            <w:vAlign w:val="center"/>
          </w:tcPr>
          <w:p>
            <w:pPr>
              <w:spacing w:after="20" w:line="250"/>
            </w:pPr>
            <w:r>
              <w:rPr>
                <w:sz w:val="18"/>
                <w:szCs w:val="18"/>
              </w:rPr>
              <w:t xml:space="preserve">Shows the resolved engine and its source; red when missing (§3.2).</w:t>
            </w:r>
          </w:p>
        </w:tc>
      </w:tr>
      <w:tr>
        <w:trPr>
          <w:cantSplit/>
        </w:trPr>
        <w:tc>
          <w:tcPr>
            <w:tcW w:type="dxa" w:w="3011"/>
            <w:shd w:fill="F3F6FA" w:color="auto" w:val="clear"/>
            <w:tcMar>
              <w:top w:type="dxa" w:w="60"/>
              <w:left w:type="dxa" w:w="90"/>
              <w:bottom w:type="dxa" w:w="60"/>
              <w:right w:type="dxa" w:w="90"/>
            </w:tcMar>
            <w:vAlign w:val="center"/>
          </w:tcPr>
          <w:p>
            <w:pPr>
              <w:spacing w:after="20" w:line="250"/>
            </w:pPr>
            <w:r>
              <w:rPr>
                <w:sz w:val="18"/>
                <w:szCs w:val="18"/>
              </w:rPr>
              <w:t xml:space="preserve">Operation</w:t>
            </w:r>
          </w:p>
        </w:tc>
        <w:tc>
          <w:tcPr>
            <w:tcW w:type="dxa" w:w="6627"/>
            <w:shd w:fill="F3F6FA" w:color="auto" w:val="clear"/>
            <w:tcMar>
              <w:top w:type="dxa" w:w="60"/>
              <w:left w:type="dxa" w:w="90"/>
              <w:bottom w:type="dxa" w:w="60"/>
              <w:right w:type="dxa" w:w="90"/>
            </w:tcMar>
            <w:vAlign w:val="center"/>
          </w:tcPr>
          <w:p>
            <w:pPr>
              <w:spacing w:after="20" w:line="250"/>
            </w:pPr>
            <w:r>
              <w:rPr>
                <w:sz w:val="18"/>
                <w:szCs w:val="18"/>
              </w:rPr>
              <w:t xml:space="preserve">Spectral Indices · PCA (false-colour composite) · Target Detection (SAM). The panel below changes with the operation.</w:t>
            </w:r>
          </w:p>
        </w:tc>
      </w:tr>
      <w:tr>
        <w:trPr>
          <w:cantSplit/>
        </w:trPr>
        <w:tc>
          <w:tcPr>
            <w:tcW w:type="dxa" w:w="3011"/>
            <w:tcMar>
              <w:top w:type="dxa" w:w="60"/>
              <w:left w:type="dxa" w:w="90"/>
              <w:bottom w:type="dxa" w:w="60"/>
              <w:right w:type="dxa" w:w="90"/>
            </w:tcMar>
            <w:vAlign w:val="center"/>
          </w:tcPr>
          <w:p>
            <w:pPr>
              <w:spacing w:after="20" w:line="250"/>
            </w:pPr>
            <w:r>
              <w:rPr>
                <w:sz w:val="18"/>
                <w:szCs w:val="18"/>
              </w:rPr>
              <w:t xml:space="preserve">Index checkboxes</w:t>
            </w:r>
          </w:p>
        </w:tc>
        <w:tc>
          <w:tcPr>
            <w:tcW w:type="dxa" w:w="6627"/>
            <w:tcMar>
              <w:top w:type="dxa" w:w="60"/>
              <w:left w:type="dxa" w:w="90"/>
              <w:bottom w:type="dxa" w:w="60"/>
              <w:right w:type="dxa" w:w="90"/>
            </w:tcMar>
            <w:vAlign w:val="center"/>
          </w:tcPr>
          <w:p>
            <w:pPr>
              <w:spacing w:after="20" w:line="250"/>
            </w:pPr>
            <w:r>
              <w:rPr>
                <w:sz w:val="18"/>
                <w:szCs w:val="18"/>
              </w:rPr>
              <w:t xml:space="preserve">Which index layers to load. All seven are always computed and stored in the tiles; the band offsets are fixed, so unticking NDVI never shifts NDWI onto the wrong band.</w:t>
            </w:r>
          </w:p>
        </w:tc>
      </w:tr>
      <w:tr>
        <w:trPr>
          <w:cantSplit/>
        </w:trPr>
        <w:tc>
          <w:tcPr>
            <w:tcW w:type="dxa" w:w="3011"/>
            <w:shd w:fill="F3F6FA" w:color="auto" w:val="clear"/>
            <w:tcMar>
              <w:top w:type="dxa" w:w="60"/>
              <w:left w:type="dxa" w:w="90"/>
              <w:bottom w:type="dxa" w:w="60"/>
              <w:right w:type="dxa" w:w="90"/>
            </w:tcMar>
            <w:vAlign w:val="center"/>
          </w:tcPr>
          <w:p>
            <w:pPr>
              <w:spacing w:after="20" w:line="250"/>
            </w:pPr>
            <w:r>
              <w:rPr>
                <w:sz w:val="18"/>
                <w:szCs w:val="18"/>
              </w:rPr>
              <w:t xml:space="preserve">PCA: Components; correlation matrix</w:t>
            </w:r>
          </w:p>
        </w:tc>
        <w:tc>
          <w:tcPr>
            <w:tcW w:type="dxa" w:w="6627"/>
            <w:shd w:fill="F3F6FA" w:color="auto" w:val="clear"/>
            <w:tcMar>
              <w:top w:type="dxa" w:w="60"/>
              <w:left w:type="dxa" w:w="90"/>
              <w:bottom w:type="dxa" w:w="60"/>
              <w:right w:type="dxa" w:w="90"/>
            </w:tcMar>
            <w:vAlign w:val="center"/>
          </w:tcPr>
          <w:p>
            <w:pPr>
              <w:spacing w:after="20" w:line="250"/>
            </w:pPr>
            <w:r>
              <w:rPr>
                <w:sz w:val="18"/>
                <w:szCs w:val="18"/>
              </w:rPr>
              <w:t xml:space="preserve">Number of components written (default 3); correlation instead of covariance standardises each band first.</w:t>
            </w:r>
          </w:p>
        </w:tc>
      </w:tr>
      <w:tr>
        <w:trPr>
          <w:cantSplit/>
        </w:trPr>
        <w:tc>
          <w:tcPr>
            <w:tcW w:type="dxa" w:w="3011"/>
            <w:tcMar>
              <w:top w:type="dxa" w:w="60"/>
              <w:left w:type="dxa" w:w="90"/>
              <w:bottom w:type="dxa" w:w="60"/>
              <w:right w:type="dxa" w:w="90"/>
            </w:tcMar>
            <w:vAlign w:val="center"/>
          </w:tcPr>
          <w:p>
            <w:pPr>
              <w:spacing w:after="20" w:line="250"/>
            </w:pPr>
            <w:r>
              <w:rPr>
                <w:sz w:val="18"/>
                <w:szCs w:val="18"/>
              </w:rPr>
              <w:t xml:space="preserve">SAM: Pick reference pixel; Max angle; mask; similarity</w:t>
            </w:r>
          </w:p>
        </w:tc>
        <w:tc>
          <w:tcPr>
            <w:tcW w:type="dxa" w:w="6627"/>
            <w:tcMar>
              <w:top w:type="dxa" w:w="60"/>
              <w:left w:type="dxa" w:w="90"/>
              <w:bottom w:type="dxa" w:w="60"/>
              <w:right w:type="dxa" w:w="90"/>
            </w:tcMar>
            <w:vAlign w:val="center"/>
          </w:tcPr>
          <w:p>
            <w:pPr>
              <w:spacing w:after="20" w:line="250"/>
            </w:pPr>
            <w:r>
              <w:rPr>
                <w:sz w:val="18"/>
                <w:szCs w:val="18"/>
              </w:rPr>
              <w:t xml:space="preserve">Click a pixel on the map to capture its full spectrum; the max angle (radians, degrees shown) defines a detection; optional detection mask and similarity band.</w:t>
            </w:r>
          </w:p>
        </w:tc>
      </w:tr>
      <w:tr>
        <w:trPr>
          <w:cantSplit/>
        </w:trPr>
        <w:tc>
          <w:tcPr>
            <w:tcW w:type="dxa" w:w="3011"/>
            <w:shd w:fill="F3F6FA" w:color="auto" w:val="clear"/>
            <w:tcMar>
              <w:top w:type="dxa" w:w="60"/>
              <w:left w:type="dxa" w:w="90"/>
              <w:bottom w:type="dxa" w:w="60"/>
              <w:right w:type="dxa" w:w="90"/>
            </w:tcMar>
            <w:vAlign w:val="center"/>
          </w:tcPr>
          <w:p>
            <w:pPr>
              <w:spacing w:after="20" w:line="250"/>
            </w:pPr>
            <w:r>
              <w:rPr>
                <w:sz w:val="18"/>
                <w:szCs w:val="18"/>
              </w:rPr>
              <w:t xml:space="preserve">Output Format</w:t>
            </w:r>
          </w:p>
        </w:tc>
        <w:tc>
          <w:tcPr>
            <w:tcW w:type="dxa" w:w="6627"/>
            <w:shd w:fill="F3F6FA" w:color="auto" w:val="clear"/>
            <w:tcMar>
              <w:top w:type="dxa" w:w="60"/>
              <w:left w:type="dxa" w:w="90"/>
              <w:bottom w:type="dxa" w:w="60"/>
              <w:right w:type="dxa" w:w="90"/>
            </w:tcMar>
            <w:vAlign w:val="center"/>
          </w:tcPr>
          <w:p>
            <w:pPr>
              <w:spacing w:after="20" w:line="250"/>
            </w:pPr>
            <w:r>
              <w:rPr>
                <w:sz w:val="18"/>
                <w:szCs w:val="18"/>
              </w:rPr>
              <w:t xml:space="preserve">Virtual Raster (.vrt)</w:t>
            </w:r>
            <w:r>
              <w:rPr>
                <w:sz w:val="18"/>
                <w:szCs w:val="18"/>
              </w:rPr>
              <w:t xml:space="preserve"> keeps the per-tile GeoTIFFs (required for the analytics plugin); </w:t>
            </w:r>
            <w:r>
              <w:rPr>
                <w:sz w:val="18"/>
                <w:szCs w:val="18"/>
              </w:rPr>
              <w:t xml:space="preserve">Merged GeoTIFF</w:t>
            </w:r>
            <w:r>
              <w:rPr>
                <w:sz w:val="18"/>
                <w:szCs w:val="18"/>
              </w:rPr>
              <w:t xml:space="preserve"> writes one file per index and deletes the tiles.</w:t>
            </w:r>
          </w:p>
        </w:tc>
      </w:tr>
      <w:tr>
        <w:trPr>
          <w:cantSplit/>
        </w:trPr>
        <w:tc>
          <w:tcPr>
            <w:tcW w:type="dxa" w:w="3011"/>
            <w:tcMar>
              <w:top w:type="dxa" w:w="60"/>
              <w:left w:type="dxa" w:w="90"/>
              <w:bottom w:type="dxa" w:w="60"/>
              <w:right w:type="dxa" w:w="90"/>
            </w:tcMar>
            <w:vAlign w:val="center"/>
          </w:tcPr>
          <w:p>
            <w:pPr>
              <w:spacing w:after="20" w:line="250"/>
            </w:pPr>
            <w:r>
              <w:rPr>
                <w:sz w:val="18"/>
                <w:szCs w:val="18"/>
              </w:rPr>
              <w:t xml:space="preserve">Instantly load results</w:t>
            </w:r>
          </w:p>
        </w:tc>
        <w:tc>
          <w:tcPr>
            <w:tcW w:type="dxa" w:w="6627"/>
            <w:tcMar>
              <w:top w:type="dxa" w:w="60"/>
              <w:left w:type="dxa" w:w="90"/>
              <w:bottom w:type="dxa" w:w="60"/>
              <w:right w:type="dxa" w:w="90"/>
            </w:tcMar>
            <w:vAlign w:val="center"/>
          </w:tcPr>
          <w:p>
            <w:pPr>
              <w:spacing w:after="20" w:line="250"/>
            </w:pPr>
            <w:r>
              <w:rPr>
                <w:sz w:val="18"/>
                <w:szCs w:val="18"/>
              </w:rPr>
              <w:t xml:space="preserve">Adds the results to the canvas with suitable styling.</w:t>
            </w:r>
          </w:p>
        </w:tc>
      </w:tr>
      <w:tr>
        <w:trPr>
          <w:cantSplit/>
        </w:trPr>
        <w:tc>
          <w:tcPr>
            <w:tcW w:type="dxa" w:w="3011"/>
            <w:shd w:fill="F3F6FA" w:color="auto" w:val="clear"/>
            <w:tcMar>
              <w:top w:type="dxa" w:w="60"/>
              <w:left w:type="dxa" w:w="90"/>
              <w:bottom w:type="dxa" w:w="60"/>
              <w:right w:type="dxa" w:w="90"/>
            </w:tcMar>
            <w:vAlign w:val="center"/>
          </w:tcPr>
          <w:p>
            <w:pPr>
              <w:spacing w:after="20" w:line="250"/>
            </w:pPr>
            <w:r>
              <w:rPr>
                <w:sz w:val="18"/>
                <w:szCs w:val="18"/>
              </w:rPr>
              <w:t xml:space="preserve">CPU Cores</w:t>
            </w:r>
          </w:p>
        </w:tc>
        <w:tc>
          <w:tcPr>
            <w:tcW w:type="dxa" w:w="6627"/>
            <w:shd w:fill="F3F6FA" w:color="auto" w:val="clear"/>
            <w:tcMar>
              <w:top w:type="dxa" w:w="60"/>
              <w:left w:type="dxa" w:w="90"/>
              <w:bottom w:type="dxa" w:w="60"/>
              <w:right w:type="dxa" w:w="90"/>
            </w:tcMar>
            <w:vAlign w:val="center"/>
          </w:tcPr>
          <w:p>
            <w:pPr>
              <w:spacing w:after="20" w:line="250"/>
            </w:pPr>
            <w:r>
              <w:rPr>
                <w:sz w:val="18"/>
                <w:szCs w:val="18"/>
              </w:rPr>
              <w:t xml:space="preserve">OpenMP threads (0 = all cores).</w:t>
            </w:r>
          </w:p>
        </w:tc>
      </w:tr>
      <w:tr>
        <w:trPr>
          <w:cantSplit/>
        </w:trPr>
        <w:tc>
          <w:tcPr>
            <w:tcW w:type="dxa" w:w="3011"/>
            <w:tcMar>
              <w:top w:type="dxa" w:w="60"/>
              <w:left w:type="dxa" w:w="90"/>
              <w:bottom w:type="dxa" w:w="60"/>
              <w:right w:type="dxa" w:w="90"/>
            </w:tcMar>
            <w:vAlign w:val="center"/>
          </w:tcPr>
          <w:p>
            <w:pPr>
              <w:spacing w:after="20" w:line="250"/>
            </w:pPr>
            <w:r>
              <w:rPr>
                <w:sz w:val="18"/>
                <w:szCs w:val="18"/>
              </w:rPr>
              <w:t xml:space="preserve">Backend</w:t>
            </w:r>
          </w:p>
        </w:tc>
        <w:tc>
          <w:tcPr>
            <w:tcW w:type="dxa" w:w="6627"/>
            <w:tcMar>
              <w:top w:type="dxa" w:w="60"/>
              <w:left w:type="dxa" w:w="90"/>
              <w:bottom w:type="dxa" w:w="60"/>
              <w:right w:type="dxa" w:w="90"/>
            </w:tcMar>
            <w:vAlign w:val="center"/>
          </w:tcPr>
          <w:p>
            <w:pPr>
              <w:spacing w:after="20" w:line="250"/>
            </w:pPr>
            <w:r>
              <w:rPr>
                <w:sz w:val="18"/>
                <w:szCs w:val="18"/>
              </w:rPr>
              <w:t xml:space="preserve">CPU (OpenMP) or GPU (OpenCL: Apple / NVIDIA / Intel / AMD); the GPU path falls back to the CPU automatically.</w:t>
            </w:r>
          </w:p>
        </w:tc>
      </w:tr>
    </w:tbl>
    <w:p>
      <w:pPr>
        <w:spacing w:after="120"/>
      </w:pPr>
    </w:p>
    <w:p>
      <w:pPr>
        <w:keepNext/>
        <w:spacing w:after="60" w:before="120"/>
        <w:jc w:val="center"/>
      </w:pPr>
      <w:r>
        <w:drawing>
          <wp:inline distT="0" distB="0" distL="0" distR="0">
            <wp:extent cx="5267325" cy="4448175"/>
            <wp:effectExtent t="0" r="0" b="0" l="0"/>
            <wp:docPr id="3" name="ui_processing_sam.png" descr="The SAM panel after a reference pixel has been picked on the canvas (224-band spectrum, row 1082, column 738), with the engine's output for this run." title="The SAM panel after a reference pixel has been picked on the canvas (224-band spectrum, row 1082, column 738), with the engine's output for this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67325" cy="4448175"/>
                    </a:xfrm>
                    <a:prstGeom prst="rect">
                      <a:avLst/>
                    </a:prstGeom>
                  </pic:spPr>
                </pic:pic>
              </a:graphicData>
            </a:graphic>
          </wp:inline>
        </w:drawing>
      </w:r>
    </w:p>
    <w:p>
      <w:pPr>
        <w:spacing w:after="200"/>
      </w:pPr>
      <w:r>
        <w:rPr>
          <w:b/>
          <w:bCs/>
          <w:color w:val="52514E"/>
          <w:sz w:val="18"/>
          <w:szCs w:val="18"/>
        </w:rPr>
        <w:t xml:space="preserve">Figure 3.</w:t>
      </w:r>
      <w:r>
        <w:rPr>
          <w:color w:val="52514E"/>
          <w:sz w:val="18"/>
          <w:szCs w:val="18"/>
        </w:rPr>
        <w:t xml:space="preserve"> The SAM panel after a reference pixel has been picked on the canvas (224-band spectrum, row 1082, column 738), with the engine's output for this run.</w:t>
      </w:r>
    </w:p>
    <w:p>
      <w:pPr>
        <w:pStyle w:val="Heading2"/>
      </w:pPr>
      <w:bookmarkStart w:name="_Toc11" w:id="11"/>
      <w:r>
        <w:t xml:space="preserve">4.1 How results are loaded</w:t>
      </w:r>
      <w:bookmarkEnd w:id="11"/>
    </w:p>
    <w:p>
      <w:pPr>
        <w:keepNext/>
        <w:spacing w:after="80" w:before="160"/>
      </w:pPr>
      <w:r>
        <w:rPr>
          <w:b/>
          <w:bCs/>
          <w:color w:val="52514E"/>
          <w:sz w:val="18"/>
          <w:szCs w:val="18"/>
        </w:rPr>
        <w:t xml:space="preserve">Table 5.</w:t>
      </w:r>
      <w:r>
        <w:rPr>
          <w:color w:val="52514E"/>
          <w:sz w:val="18"/>
          <w:szCs w:val="18"/>
        </w:rPr>
        <w:t xml:space="preserve"> Result loading.</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1505"/>
        <w:gridCol w:w="4517"/>
        <w:gridCol w:w="3616"/>
      </w:tblGrid>
      <w:tr>
        <w:trPr>
          <w:cantSplit/>
          <w:tblHeader/>
        </w:trPr>
        <w:tc>
          <w:tcPr>
            <w:tcW w:type="dxa" w:w="1505"/>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Operation</w:t>
            </w:r>
          </w:p>
        </w:tc>
        <w:tc>
          <w:tcPr>
            <w:tcW w:type="dxa" w:w="4517"/>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Layers added</w:t>
            </w:r>
          </w:p>
        </w:tc>
        <w:tc>
          <w:tcPr>
            <w:tcW w:type="dxa" w:w="3616"/>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Styling</w:t>
            </w:r>
          </w:p>
        </w:tc>
      </w:tr>
      <w:tr>
        <w:trPr>
          <w:cantSplit/>
        </w:trPr>
        <w:tc>
          <w:tcPr>
            <w:tcW w:type="dxa" w:w="1505"/>
            <w:tcMar>
              <w:top w:type="dxa" w:w="60"/>
              <w:left w:type="dxa" w:w="90"/>
              <w:bottom w:type="dxa" w:w="60"/>
              <w:right w:type="dxa" w:w="90"/>
            </w:tcMar>
            <w:vAlign w:val="center"/>
          </w:tcPr>
          <w:p>
            <w:pPr>
              <w:spacing w:after="20" w:line="250"/>
            </w:pPr>
            <w:r>
              <w:rPr>
                <w:sz w:val="18"/>
                <w:szCs w:val="18"/>
              </w:rPr>
              <w:t xml:space="preserve">Indices</w:t>
            </w:r>
          </w:p>
        </w:tc>
        <w:tc>
          <w:tcPr>
            <w:tcW w:type="dxa" w:w="4517"/>
            <w:tcMar>
              <w:top w:type="dxa" w:w="60"/>
              <w:left w:type="dxa" w:w="90"/>
              <w:bottom w:type="dxa" w:w="60"/>
              <w:right w:type="dxa" w:w="90"/>
            </w:tcMar>
            <w:vAlign w:val="center"/>
          </w:tcPr>
          <w:p>
            <w:pPr>
              <w:spacing w:after="20" w:line="250"/>
            </w:pPr>
            <w:r>
              <w:rPr>
                <w:sz w:val="18"/>
                <w:szCs w:val="18"/>
              </w:rPr>
              <w:t xml:space="preserve">One layer per ticked index (</w:t>
            </w:r>
            <w:r>
              <w:rPr>
                <w:rFonts w:ascii="Courier New" w:cs="Courier New" w:eastAsia="Courier New" w:hAnsi="Courier New"/>
                <w:sz w:val="16"/>
                <w:szCs w:val="16"/>
              </w:rPr>
              <w:t xml:space="preserve">ndvi_layer.vrt</w:t>
            </w:r>
            <w:r>
              <w:rPr>
                <w:sz w:val="18"/>
                <w:szCs w:val="18"/>
              </w:rPr>
              <w:t xml:space="preserve"> …), built with </w:t>
            </w:r>
            <w:r>
              <w:rPr>
                <w:rFonts w:ascii="Courier New" w:cs="Courier New" w:eastAsia="Courier New" w:hAnsi="Courier New"/>
                <w:sz w:val="16"/>
                <w:szCs w:val="16"/>
              </w:rPr>
              <w:t xml:space="preserve">gdal.BuildVRT(bandList=[first_index_band + k])</w:t>
            </w:r>
            <w:r>
              <w:rPr>
                <w:sz w:val="18"/>
                <w:szCs w:val="18"/>
              </w:rPr>
              <w:t xml:space="preserve"> over all tiles</w:t>
            </w:r>
          </w:p>
        </w:tc>
        <w:tc>
          <w:tcPr>
            <w:tcW w:type="dxa" w:w="3616"/>
            <w:tcMar>
              <w:top w:type="dxa" w:w="60"/>
              <w:left w:type="dxa" w:w="90"/>
              <w:bottom w:type="dxa" w:w="60"/>
              <w:right w:type="dxa" w:w="90"/>
            </w:tcMar>
            <w:vAlign w:val="center"/>
          </w:tcPr>
          <w:p>
            <w:pPr>
              <w:spacing w:after="20" w:line="250"/>
            </w:pPr>
            <w:r>
              <w:rPr>
                <w:sz w:val="18"/>
                <w:szCs w:val="18"/>
              </w:rPr>
              <w:t xml:space="preserve">Single-band, stretched −1 … +1</w:t>
            </w:r>
          </w:p>
        </w:tc>
      </w:tr>
      <w:tr>
        <w:trPr>
          <w:cantSplit/>
        </w:trPr>
        <w:tc>
          <w:tcPr>
            <w:tcW w:type="dxa" w:w="1505"/>
            <w:shd w:fill="F3F6FA" w:color="auto" w:val="clear"/>
            <w:tcMar>
              <w:top w:type="dxa" w:w="60"/>
              <w:left w:type="dxa" w:w="90"/>
              <w:bottom w:type="dxa" w:w="60"/>
              <w:right w:type="dxa" w:w="90"/>
            </w:tcMar>
            <w:vAlign w:val="center"/>
          </w:tcPr>
          <w:p>
            <w:pPr>
              <w:spacing w:after="20" w:line="250"/>
            </w:pPr>
            <w:r>
              <w:rPr>
                <w:sz w:val="18"/>
                <w:szCs w:val="18"/>
              </w:rPr>
              <w:t xml:space="preserve">PCA</w:t>
            </w:r>
          </w:p>
        </w:tc>
        <w:tc>
          <w:tcPr>
            <w:tcW w:type="dxa" w:w="4517"/>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pca.tif</w:t>
            </w:r>
            <w:r>
              <w:rPr>
                <w:sz w:val="18"/>
                <w:szCs w:val="18"/>
              </w:rPr>
              <w:t xml:space="preserve"> as “PCA Composite”</w:t>
            </w:r>
          </w:p>
        </w:tc>
        <w:tc>
          <w:tcPr>
            <w:tcW w:type="dxa" w:w="3616"/>
            <w:shd w:fill="F3F6FA" w:color="auto" w:val="clear"/>
            <w:tcMar>
              <w:top w:type="dxa" w:w="60"/>
              <w:left w:type="dxa" w:w="90"/>
              <w:bottom w:type="dxa" w:w="60"/>
              <w:right w:type="dxa" w:w="90"/>
            </w:tcMar>
            <w:vAlign w:val="center"/>
          </w:tcPr>
          <w:p>
            <w:pPr>
              <w:spacing w:after="20" w:line="250"/>
            </w:pPr>
            <w:r>
              <w:rPr>
                <w:sz w:val="18"/>
                <w:szCs w:val="18"/>
              </w:rPr>
              <w:t xml:space="preserve">RGB = PC1 / PC2 / PC3, each stretched to its min–max</w:t>
            </w:r>
          </w:p>
        </w:tc>
      </w:tr>
      <w:tr>
        <w:trPr>
          <w:cantSplit/>
        </w:trPr>
        <w:tc>
          <w:tcPr>
            <w:tcW w:type="dxa" w:w="1505"/>
            <w:tcMar>
              <w:top w:type="dxa" w:w="60"/>
              <w:left w:type="dxa" w:w="90"/>
              <w:bottom w:type="dxa" w:w="60"/>
              <w:right w:type="dxa" w:w="90"/>
            </w:tcMar>
            <w:vAlign w:val="center"/>
          </w:tcPr>
          <w:p>
            <w:pPr>
              <w:spacing w:after="20" w:line="250"/>
            </w:pPr>
            <w:r>
              <w:rPr>
                <w:sz w:val="18"/>
                <w:szCs w:val="18"/>
              </w:rPr>
              <w:t xml:space="preserve">SAM</w:t>
            </w:r>
          </w:p>
        </w:tc>
        <w:tc>
          <w:tcPr>
            <w:tcW w:type="dxa" w:w="4517"/>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sam_angle.tif</w:t>
            </w:r>
            <w:r>
              <w:rPr>
                <w:sz w:val="18"/>
                <w:szCs w:val="18"/>
              </w:rPr>
              <w:t xml:space="preserve">, plus </w:t>
            </w:r>
            <w:r>
              <w:rPr>
                <w:rFonts w:ascii="Courier New" w:cs="Courier New" w:eastAsia="Courier New" w:hAnsi="Courier New"/>
                <w:sz w:val="16"/>
                <w:szCs w:val="16"/>
              </w:rPr>
              <w:t xml:space="preserve">sam_mask.tif</w:t>
            </w:r>
            <w:r>
              <w:rPr>
                <w:sz w:val="18"/>
                <w:szCs w:val="18"/>
              </w:rPr>
              <w:t xml:space="preserve"> and </w:t>
            </w:r>
            <w:r>
              <w:rPr>
                <w:rFonts w:ascii="Courier New" w:cs="Courier New" w:eastAsia="Courier New" w:hAnsi="Courier New"/>
                <w:sz w:val="16"/>
                <w:szCs w:val="16"/>
              </w:rPr>
              <w:t xml:space="preserve">sam_similarity.tif</w:t>
            </w:r>
            <w:r>
              <w:rPr>
                <w:sz w:val="18"/>
                <w:szCs w:val="18"/>
              </w:rPr>
              <w:t xml:space="preserve"> when requested</w:t>
            </w:r>
          </w:p>
        </w:tc>
        <w:tc>
          <w:tcPr>
            <w:tcW w:type="dxa" w:w="3616"/>
            <w:tcMar>
              <w:top w:type="dxa" w:w="60"/>
              <w:left w:type="dxa" w:w="90"/>
              <w:bottom w:type="dxa" w:w="60"/>
              <w:right w:type="dxa" w:w="90"/>
            </w:tcMar>
            <w:vAlign w:val="center"/>
          </w:tcPr>
          <w:p>
            <w:pPr>
              <w:spacing w:after="20" w:line="250"/>
            </w:pPr>
            <w:r>
              <w:rPr>
                <w:sz w:val="18"/>
                <w:szCs w:val="18"/>
              </w:rPr>
              <w:t xml:space="preserve">Angle: inverted red–yellow–blue ramp (small angle = strong match, capped at the max angle); mask: transparent / red</w:t>
            </w:r>
          </w:p>
        </w:tc>
      </w:tr>
    </w:tbl>
    <w:p>
      <w:pPr>
        <w:spacing w:after="120"/>
      </w:pPr>
    </w:p>
    <w:p>
      <w:pPr>
        <w:pStyle w:val="Heading1"/>
      </w:pPr>
      <w:bookmarkStart w:name="_Toc12" w:id="12"/>
      <w:r>
        <w:t xml:space="preserve">5. Parallel computing methods</w:t>
      </w:r>
      <w:bookmarkEnd w:id="12"/>
    </w:p>
    <w:p>
      <w:r>
        <w:t xml:space="preserve">This chapter describes how the engine turns one large scene into many small, independent pieces of work and executes them in parallel on CPU cores and GPUs, while keeping memory bounded and failures contained.</w:t>
      </w:r>
    </w:p>
    <w:p>
      <w:pPr>
        <w:pStyle w:val="Heading2"/>
      </w:pPr>
      <w:bookmarkStart w:name="_Toc13" w:id="13"/>
      <w:r>
        <w:t xml:space="preserve">5.1 Data decomposition: tiles</w:t>
      </w:r>
      <w:bookmarkEnd w:id="13"/>
    </w:p>
    <w:p>
      <w:r>
        <w:rPr>
          <w:rFonts w:ascii="Courier New" w:cs="Courier New" w:eastAsia="Courier New" w:hAnsi="Courier New"/>
          <w:sz w:val="19"/>
          <w:szCs w:val="19"/>
        </w:rPr>
        <w:t xml:space="preserve">Tiler</w:t>
      </w:r>
      <w:r>
        <w:t xml:space="preserve"> cuts the scene into square tiles (default 512 × 512 pixels; </w:t>
      </w:r>
      <w:r>
        <w:rPr>
          <w:rFonts w:ascii="Courier New" w:cs="Courier New" w:eastAsia="Courier New" w:hAnsi="Courier New"/>
          <w:sz w:val="19"/>
          <w:szCs w:val="19"/>
        </w:rPr>
        <w:t xml:space="preserve">--tile-size</w:t>
      </w:r>
      <w:r>
        <w:t xml:space="preserve">). The EnMAP test scene becomes 9 tiles. For the index pipeline every tile is processed independently — no tile needs data from another — so the problem is </w:t>
      </w:r>
      <w:r>
        <w:rPr>
          <w:i/>
          <w:iCs/>
        </w:rPr>
        <w:t xml:space="preserve">embarrassingly parallel</w:t>
      </w:r>
      <w:r>
        <w:t xml:space="preserve">: the tiles can be handed to any number of workers in any order. The same property makes the tile the natural unit of distribution for Spark (§5.7).</w:t>
      </w:r>
    </w:p>
    <w:p>
      <w:r>
        <w:t xml:space="preserve">Tiling also makes the engine </w:t>
      </w:r>
      <w:r>
        <w:rPr>
          <w:b/>
          <w:bCs/>
        </w:rPr>
        <w:t xml:space="preserve">out-of-core</w:t>
      </w:r>
      <w:r>
        <w:t xml:space="preserve">: a worker reads one tile, processes it and writes it, so the scene is never held in memory as a whole. Peak memory therefore depends on the number of threads and the tile size, not on the size of the scene (§5.6).</w:t>
      </w:r>
    </w:p>
    <w:p>
      <w:pPr>
        <w:pStyle w:val="Heading2"/>
      </w:pPr>
      <w:bookmarkStart w:name="_Toc14" w:id="14"/>
      <w:r>
        <w:t xml:space="preserve">5.2 The per-tile pipeline</w:t>
      </w:r>
      <w:bookmarkEnd w:id="14"/>
    </w:p>
    <w:p>
      <w:pPr>
        <w:keepNext/>
        <w:spacing w:after="60" w:before="120"/>
        <w:jc w:val="center"/>
      </w:pPr>
      <w:r>
        <w:drawing>
          <wp:inline distT="0" distB="0" distL="0" distR="0">
            <wp:extent cx="6124575" cy="2847975"/>
            <wp:effectExtent t="0" r="0" b="0" l="0"/>
            <wp:docPr id="4" name="diag_engine_pipeline.png" descr="Per-tile pipeline of the `indices` operation. Each OpenMP iteration runs all six stages for one tile." title="Per-tile pipeline of the `indices` operation. Each OpenMP iteration runs all six stages for one t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2847975"/>
                    </a:xfrm>
                    <a:prstGeom prst="rect">
                      <a:avLst/>
                    </a:prstGeom>
                  </pic:spPr>
                </pic:pic>
              </a:graphicData>
            </a:graphic>
          </wp:inline>
        </w:drawing>
      </w:r>
    </w:p>
    <w:p>
      <w:pPr>
        <w:spacing w:after="200"/>
      </w:pPr>
      <w:r>
        <w:rPr>
          <w:b/>
          <w:bCs/>
          <w:color w:val="52514E"/>
          <w:sz w:val="18"/>
          <w:szCs w:val="18"/>
        </w:rPr>
        <w:t xml:space="preserve">Figure 4.</w:t>
      </w:r>
      <w:r>
        <w:rPr>
          <w:color w:val="52514E"/>
          <w:sz w:val="18"/>
          <w:szCs w:val="18"/>
        </w:rPr>
        <w:t xml:space="preserve"> Per-tile pipeline of the </w:t>
      </w:r>
      <w:r>
        <w:rPr>
          <w:rFonts w:ascii="Courier New" w:cs="Courier New" w:eastAsia="Courier New" w:hAnsi="Courier New"/>
          <w:color w:val="52514E"/>
          <w:sz w:val="16"/>
          <w:szCs w:val="16"/>
        </w:rPr>
        <w:t xml:space="preserve">indices</w:t>
      </w:r>
      <w:r>
        <w:rPr>
          <w:color w:val="52514E"/>
          <w:sz w:val="18"/>
          <w:szCs w:val="18"/>
        </w:rPr>
        <w:t xml:space="preserve"> operation. Each OpenMP iteration runs all six stages for one tile.</w:t>
      </w:r>
    </w:p>
    <w:p>
      <w:pPr>
        <w:keepNext/>
        <w:spacing w:after="80" w:before="160"/>
      </w:pPr>
      <w:r>
        <w:rPr>
          <w:b/>
          <w:bCs/>
          <w:color w:val="52514E"/>
          <w:sz w:val="18"/>
          <w:szCs w:val="18"/>
        </w:rPr>
        <w:t xml:space="preserve">Table 6.</w:t>
      </w:r>
      <w:r>
        <w:rPr>
          <w:color w:val="52514E"/>
          <w:sz w:val="18"/>
          <w:szCs w:val="18"/>
        </w:rPr>
        <w:t xml:space="preserve"> Pipeline stages.</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1957"/>
        <w:gridCol w:w="4066"/>
        <w:gridCol w:w="3615"/>
      </w:tblGrid>
      <w:tr>
        <w:trPr>
          <w:cantSplit/>
          <w:tblHeader/>
        </w:trPr>
        <w:tc>
          <w:tcPr>
            <w:tcW w:type="dxa" w:w="1957"/>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Stage</w:t>
            </w:r>
          </w:p>
        </w:tc>
        <w:tc>
          <w:tcPr>
            <w:tcW w:type="dxa" w:w="4066"/>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What it does</w:t>
            </w:r>
          </w:p>
        </w:tc>
        <w:tc>
          <w:tcPr>
            <w:tcW w:type="dxa" w:w="3615"/>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Why</w:t>
            </w:r>
          </w:p>
        </w:tc>
      </w:tr>
      <w:tr>
        <w:trPr>
          <w:cantSplit/>
        </w:trPr>
        <w:tc>
          <w:tcPr>
            <w:tcW w:type="dxa" w:w="1957"/>
            <w:tcMar>
              <w:top w:type="dxa" w:w="60"/>
              <w:left w:type="dxa" w:w="90"/>
              <w:bottom w:type="dxa" w:w="60"/>
              <w:right w:type="dxa" w:w="90"/>
            </w:tcMar>
            <w:vAlign w:val="center"/>
          </w:tcPr>
          <w:p>
            <w:pPr>
              <w:spacing w:after="20" w:line="250"/>
            </w:pPr>
            <w:r>
              <w:rPr>
                <w:sz w:val="18"/>
                <w:szCs w:val="18"/>
              </w:rPr>
              <w:t xml:space="preserve">1 RasterReader</w:t>
            </w:r>
          </w:p>
        </w:tc>
        <w:tc>
          <w:tcPr>
            <w:tcW w:type="dxa" w:w="4066"/>
            <w:tcMar>
              <w:top w:type="dxa" w:w="60"/>
              <w:left w:type="dxa" w:w="90"/>
              <w:bottom w:type="dxa" w:w="60"/>
              <w:right w:type="dxa" w:w="90"/>
            </w:tcMar>
            <w:vAlign w:val="center"/>
          </w:tcPr>
          <w:p>
            <w:pPr>
              <w:spacing w:after="20" w:line="250"/>
            </w:pPr>
            <w:r>
              <w:rPr>
                <w:sz w:val="18"/>
                <w:szCs w:val="18"/>
              </w:rPr>
              <w:t xml:space="preserve">Opens a new GDAL dataset and reads every band of the tile as float32; a failed read throws.</w:t>
            </w:r>
          </w:p>
        </w:tc>
        <w:tc>
          <w:tcPr>
            <w:tcW w:type="dxa" w:w="3615"/>
            <w:tcMar>
              <w:top w:type="dxa" w:w="60"/>
              <w:left w:type="dxa" w:w="90"/>
              <w:bottom w:type="dxa" w:w="60"/>
              <w:right w:type="dxa" w:w="90"/>
            </w:tcMar>
            <w:vAlign w:val="center"/>
          </w:tcPr>
          <w:p>
            <w:pPr>
              <w:spacing w:after="20" w:line="250"/>
            </w:pPr>
            <w:r>
              <w:rPr>
                <w:sz w:val="18"/>
                <w:szCs w:val="18"/>
              </w:rPr>
              <w:t xml:space="preserve">GDAL datasets are not thread-safe; a silent failure would produce a fake no-data tile.</w:t>
            </w:r>
          </w:p>
        </w:tc>
      </w:tr>
      <w:tr>
        <w:trPr>
          <w:cantSplit/>
        </w:trPr>
        <w:tc>
          <w:tcPr>
            <w:tcW w:type="dxa" w:w="1957"/>
            <w:shd w:fill="F3F6FA" w:color="auto" w:val="clear"/>
            <w:tcMar>
              <w:top w:type="dxa" w:w="60"/>
              <w:left w:type="dxa" w:w="90"/>
              <w:bottom w:type="dxa" w:w="60"/>
              <w:right w:type="dxa" w:w="90"/>
            </w:tcMar>
            <w:vAlign w:val="center"/>
          </w:tcPr>
          <w:p>
            <w:pPr>
              <w:spacing w:after="20" w:line="250"/>
            </w:pPr>
            <w:r>
              <w:rPr>
                <w:sz w:val="18"/>
                <w:szCs w:val="18"/>
              </w:rPr>
              <w:t xml:space="preserve">2 NoDataHandler</w:t>
            </w:r>
          </w:p>
        </w:tc>
        <w:tc>
          <w:tcPr>
            <w:tcW w:type="dxa" w:w="4066"/>
            <w:shd w:fill="F3F6FA" w:color="auto" w:val="clear"/>
            <w:tcMar>
              <w:top w:type="dxa" w:w="60"/>
              <w:left w:type="dxa" w:w="90"/>
              <w:bottom w:type="dxa" w:w="60"/>
              <w:right w:type="dxa" w:w="90"/>
            </w:tcMar>
            <w:vAlign w:val="center"/>
          </w:tcPr>
          <w:p>
            <w:pPr>
              <w:spacing w:after="20" w:line="250"/>
            </w:pPr>
            <w:r>
              <w:rPr>
                <w:sz w:val="18"/>
                <w:szCs w:val="18"/>
              </w:rPr>
              <w:t xml:space="preserve">Replaces the no-data value (with a 1e-3 tolerance), NaN and Inf by 0.0.</w:t>
            </w:r>
          </w:p>
        </w:tc>
        <w:tc>
          <w:tcPr>
            <w:tcW w:type="dxa" w:w="3615"/>
            <w:shd w:fill="F3F6FA" w:color="auto" w:val="clear"/>
            <w:tcMar>
              <w:top w:type="dxa" w:w="60"/>
              <w:left w:type="dxa" w:w="90"/>
              <w:bottom w:type="dxa" w:w="60"/>
              <w:right w:type="dxa" w:w="90"/>
            </w:tcMar>
            <w:vAlign w:val="center"/>
          </w:tcPr>
          <w:p>
            <w:pPr>
              <w:spacing w:after="20" w:line="250"/>
            </w:pPr>
            <w:r>
              <w:rPr>
                <w:sz w:val="18"/>
                <w:szCs w:val="18"/>
              </w:rPr>
              <w:t xml:space="preserve">0.0 becomes the single no-data marker for the rest of the pipeline.</w:t>
            </w:r>
          </w:p>
        </w:tc>
      </w:tr>
      <w:tr>
        <w:trPr>
          <w:cantSplit/>
        </w:trPr>
        <w:tc>
          <w:tcPr>
            <w:tcW w:type="dxa" w:w="1957"/>
            <w:tcMar>
              <w:top w:type="dxa" w:w="60"/>
              <w:left w:type="dxa" w:w="90"/>
              <w:bottom w:type="dxa" w:w="60"/>
              <w:right w:type="dxa" w:w="90"/>
            </w:tcMar>
            <w:vAlign w:val="center"/>
          </w:tcPr>
          <w:p>
            <w:pPr>
              <w:spacing w:after="20" w:line="250"/>
            </w:pPr>
            <w:r>
              <w:rPr>
                <w:sz w:val="18"/>
                <w:szCs w:val="18"/>
              </w:rPr>
              <w:t xml:space="preserve">3 BadBandRemover</w:t>
            </w:r>
          </w:p>
        </w:tc>
        <w:tc>
          <w:tcPr>
            <w:tcW w:type="dxa" w:w="4066"/>
            <w:tcMar>
              <w:top w:type="dxa" w:w="60"/>
              <w:left w:type="dxa" w:w="90"/>
              <w:bottom w:type="dxa" w:w="60"/>
              <w:right w:type="dxa" w:w="90"/>
            </w:tcMar>
            <w:vAlign w:val="center"/>
          </w:tcPr>
          <w:p>
            <w:pPr>
              <w:spacing w:after="20" w:line="250"/>
            </w:pPr>
            <w:r>
              <w:rPr>
                <w:sz w:val="18"/>
                <w:szCs w:val="18"/>
              </w:rPr>
              <w:t xml:space="preserve">Zero-fills bands that are &gt; 50 % no-data or have near-zero variance (variance in double precision).</w:t>
            </w:r>
          </w:p>
        </w:tc>
        <w:tc>
          <w:tcPr>
            <w:tcW w:type="dxa" w:w="3615"/>
            <w:tcMar>
              <w:top w:type="dxa" w:w="60"/>
              <w:left w:type="dxa" w:w="90"/>
              <w:bottom w:type="dxa" w:w="60"/>
              <w:right w:type="dxa" w:w="90"/>
            </w:tcMar>
            <w:vAlign w:val="center"/>
          </w:tcPr>
          <w:p>
            <w:pPr>
              <w:spacing w:after="20" w:line="250"/>
            </w:pPr>
            <w:r>
              <w:rPr>
                <w:sz w:val="18"/>
                <w:szCs w:val="18"/>
              </w:rPr>
              <w:t xml:space="preserve">Masking instead of deleting keeps the band count identical in every tile, which the VRT mosaic and index offsets require.</w:t>
            </w:r>
          </w:p>
        </w:tc>
      </w:tr>
      <w:tr>
        <w:trPr>
          <w:cantSplit/>
        </w:trPr>
        <w:tc>
          <w:tcPr>
            <w:tcW w:type="dxa" w:w="1957"/>
            <w:shd w:fill="F3F6FA" w:color="auto" w:val="clear"/>
            <w:tcMar>
              <w:top w:type="dxa" w:w="60"/>
              <w:left w:type="dxa" w:w="90"/>
              <w:bottom w:type="dxa" w:w="60"/>
              <w:right w:type="dxa" w:w="90"/>
            </w:tcMar>
            <w:vAlign w:val="center"/>
          </w:tcPr>
          <w:p>
            <w:pPr>
              <w:spacing w:after="20" w:line="250"/>
            </w:pPr>
            <w:r>
              <w:rPr>
                <w:sz w:val="18"/>
                <w:szCs w:val="18"/>
              </w:rPr>
              <w:t xml:space="preserve">4 SpectralFeatures</w:t>
            </w:r>
          </w:p>
        </w:tc>
        <w:tc>
          <w:tcPr>
            <w:tcW w:type="dxa" w:w="4066"/>
            <w:shd w:fill="F3F6FA" w:color="auto" w:val="clear"/>
            <w:tcMar>
              <w:top w:type="dxa" w:w="60"/>
              <w:left w:type="dxa" w:w="90"/>
              <w:bottom w:type="dxa" w:w="60"/>
              <w:right w:type="dxa" w:w="90"/>
            </w:tcMar>
            <w:vAlign w:val="center"/>
          </w:tcPr>
          <w:p>
            <w:pPr>
              <w:spacing w:after="20" w:line="250"/>
            </w:pPr>
            <w:r>
              <w:rPr>
                <w:sz w:val="18"/>
                <w:szCs w:val="18"/>
              </w:rPr>
              <w:t xml:space="preserve">Computes the 7 indices on raw reflectance (de-scaled by 10,000), only where all operand bands are non-zero; clamps to −1 … 1.</w:t>
            </w:r>
          </w:p>
        </w:tc>
        <w:tc>
          <w:tcPr>
            <w:tcW w:type="dxa" w:w="3615"/>
            <w:shd w:fill="F3F6FA" w:color="auto" w:val="clear"/>
            <w:tcMar>
              <w:top w:type="dxa" w:w="60"/>
              <w:left w:type="dxa" w:w="90"/>
              <w:bottom w:type="dxa" w:w="60"/>
              <w:right w:type="dxa" w:w="90"/>
            </w:tcMar>
            <w:vAlign w:val="center"/>
          </w:tcPr>
          <w:p>
            <w:pPr>
              <w:spacing w:after="20" w:line="250"/>
            </w:pPr>
            <w:r>
              <w:rPr>
                <w:sz w:val="18"/>
                <w:szCs w:val="18"/>
              </w:rPr>
              <w:t xml:space="preserve">Indices need physical reflectance, before any display stretch.</w:t>
            </w:r>
          </w:p>
        </w:tc>
      </w:tr>
      <w:tr>
        <w:trPr>
          <w:cantSplit/>
        </w:trPr>
        <w:tc>
          <w:tcPr>
            <w:tcW w:type="dxa" w:w="1957"/>
            <w:tcMar>
              <w:top w:type="dxa" w:w="60"/>
              <w:left w:type="dxa" w:w="90"/>
              <w:bottom w:type="dxa" w:w="60"/>
              <w:right w:type="dxa" w:w="90"/>
            </w:tcMar>
            <w:vAlign w:val="center"/>
          </w:tcPr>
          <w:p>
            <w:pPr>
              <w:spacing w:after="20" w:line="250"/>
            </w:pPr>
            <w:r>
              <w:rPr>
                <w:sz w:val="18"/>
                <w:szCs w:val="18"/>
              </w:rPr>
              <w:t xml:space="preserve">5 Normalizer</w:t>
            </w:r>
          </w:p>
        </w:tc>
        <w:tc>
          <w:tcPr>
            <w:tcW w:type="dxa" w:w="4066"/>
            <w:tcMar>
              <w:top w:type="dxa" w:w="60"/>
              <w:left w:type="dxa" w:w="90"/>
              <w:bottom w:type="dxa" w:w="60"/>
              <w:right w:type="dxa" w:w="90"/>
            </w:tcMar>
            <w:vAlign w:val="center"/>
          </w:tcPr>
          <w:p>
            <w:pPr>
              <w:spacing w:after="20" w:line="250"/>
            </w:pPr>
            <w:r>
              <w:rPr>
                <w:sz w:val="18"/>
                <w:szCs w:val="18"/>
              </w:rPr>
              <w:t xml:space="preserve">Stretches each raw band of the tile to [1e-6, 1].</w:t>
            </w:r>
          </w:p>
        </w:tc>
        <w:tc>
          <w:tcPr>
            <w:tcW w:type="dxa" w:w="3615"/>
            <w:tcMar>
              <w:top w:type="dxa" w:w="60"/>
              <w:left w:type="dxa" w:w="90"/>
              <w:bottom w:type="dxa" w:w="60"/>
              <w:right w:type="dxa" w:w="90"/>
            </w:tcMar>
            <w:vAlign w:val="center"/>
          </w:tcPr>
          <w:p>
            <w:pPr>
              <w:spacing w:after="20" w:line="250"/>
            </w:pPr>
            <w:r>
              <w:rPr>
                <w:sz w:val="18"/>
                <w:szCs w:val="18"/>
              </w:rPr>
              <w:t xml:space="preserve">Display-friendly raw bands; 0 stays reserved for no-data.</w:t>
            </w:r>
          </w:p>
        </w:tc>
      </w:tr>
      <w:tr>
        <w:trPr>
          <w:cantSplit/>
        </w:trPr>
        <w:tc>
          <w:tcPr>
            <w:tcW w:type="dxa" w:w="1957"/>
            <w:shd w:fill="F3F6FA" w:color="auto" w:val="clear"/>
            <w:tcMar>
              <w:top w:type="dxa" w:w="60"/>
              <w:left w:type="dxa" w:w="90"/>
              <w:bottom w:type="dxa" w:w="60"/>
              <w:right w:type="dxa" w:w="90"/>
            </w:tcMar>
            <w:vAlign w:val="center"/>
          </w:tcPr>
          <w:p>
            <w:pPr>
              <w:spacing w:after="20" w:line="250"/>
            </w:pPr>
            <w:r>
              <w:rPr>
                <w:sz w:val="18"/>
                <w:szCs w:val="18"/>
              </w:rPr>
              <w:t xml:space="preserve">6 TileWriter</w:t>
            </w:r>
          </w:p>
        </w:tc>
        <w:tc>
          <w:tcPr>
            <w:tcW w:type="dxa" w:w="4066"/>
            <w:shd w:fill="F3F6FA" w:color="auto" w:val="clear"/>
            <w:tcMar>
              <w:top w:type="dxa" w:w="60"/>
              <w:left w:type="dxa" w:w="90"/>
              <w:bottom w:type="dxa" w:w="60"/>
              <w:right w:type="dxa" w:w="90"/>
            </w:tcMar>
            <w:vAlign w:val="center"/>
          </w:tcPr>
          <w:p>
            <w:pPr>
              <w:spacing w:after="20" w:line="250"/>
            </w:pPr>
            <w:r>
              <w:rPr>
                <w:sz w:val="18"/>
                <w:szCs w:val="18"/>
              </w:rPr>
              <w:t xml:space="preserve">Writes </w:t>
            </w:r>
            <w:r>
              <w:rPr>
                <w:rFonts w:ascii="Courier New" w:cs="Courier New" w:eastAsia="Courier New" w:hAnsi="Courier New"/>
                <w:sz w:val="16"/>
                <w:szCs w:val="16"/>
              </w:rPr>
              <w:t xml:space="preserve">tile_r####_c####.tif</w:t>
            </w:r>
            <w:r>
              <w:rPr>
                <w:sz w:val="18"/>
                <w:szCs w:val="18"/>
              </w:rPr>
              <w:t xml:space="preserve"> (LZW, tiled, float32, no-data 0) with 224 + 7 bands.</w:t>
            </w:r>
          </w:p>
        </w:tc>
        <w:tc>
          <w:tcPr>
            <w:tcW w:type="dxa" w:w="3615"/>
            <w:shd w:fill="F3F6FA" w:color="auto" w:val="clear"/>
            <w:tcMar>
              <w:top w:type="dxa" w:w="60"/>
              <w:left w:type="dxa" w:w="90"/>
              <w:bottom w:type="dxa" w:w="60"/>
              <w:right w:type="dxa" w:w="90"/>
            </w:tcMar>
            <w:vAlign w:val="center"/>
          </w:tcPr>
          <w:p>
            <w:pPr>
              <w:spacing w:after="20" w:line="250"/>
            </w:pPr>
            <w:r>
              <w:rPr>
                <w:sz w:val="18"/>
                <w:szCs w:val="18"/>
              </w:rPr>
              <w:t xml:space="preserve">One file per tile: writers never contend.</w:t>
            </w:r>
          </w:p>
        </w:tc>
      </w:tr>
    </w:tbl>
    <w:p>
      <w:pPr>
        <w:spacing w:after="120"/>
      </w:pPr>
    </w:p>
    <w:p>
      <w:pPr>
        <w:pStyle w:val="Heading2"/>
      </w:pPr>
      <w:bookmarkStart w:name="_Toc15" w:id="15"/>
      <w:r>
        <w:t xml:space="preserve">5.3 Shared-memory parallelism with OpenMP</w:t>
      </w:r>
      <w:bookmarkEnd w:id="15"/>
    </w:p>
    <w:p>
      <w:r>
        <w:t xml:space="preserve">The tile loop is a single </w:t>
      </w:r>
      <w:r>
        <w:rPr>
          <w:rFonts w:ascii="Courier New" w:cs="Courier New" w:eastAsia="Courier New" w:hAnsi="Courier New"/>
          <w:sz w:val="19"/>
          <w:szCs w:val="19"/>
        </w:rPr>
        <w:t xml:space="preserve">#pragma omp parallel for schedule(dynamic)</w:t>
      </w:r>
      <w:r>
        <w:t xml:space="preserve">. Each thread takes the next unprocessed tile when it finishes its current one. </w:t>
      </w:r>
      <w:r>
        <w:rPr>
          <w:b/>
          <w:bCs/>
        </w:rPr>
        <w:t xml:space="preserve">Dynamic scheduling</w:t>
      </w:r>
      <w:r>
        <w:t xml:space="preserve"> matters because tiles carry unequal work: edge tiles of a rotated satellite footprint can be 60–97 % background, while interior tiles are full, so a static split would leave threads idle. The thread count (</w:t>
      </w:r>
      <w:r>
        <w:rPr>
          <w:rFonts w:ascii="Courier New" w:cs="Courier New" w:eastAsia="Courier New" w:hAnsi="Courier New"/>
          <w:sz w:val="19"/>
          <w:szCs w:val="19"/>
        </w:rPr>
        <w:t xml:space="preserve">--threads</w:t>
      </w:r>
      <w:r>
        <w:t xml:space="preserve">, 0 = all) is clamped to the hardware concurrency.</w:t>
      </w:r>
    </w:p>
    <w:p>
      <w:r>
        <w:t xml:space="preserve">Thread safety is achieved by </w:t>
      </w:r>
      <w:r>
        <w:rPr>
          <w:b/>
          <w:bCs/>
        </w:rPr>
        <w:t xml:space="preserve">not sharing</w:t>
      </w:r>
      <w:r>
        <w:t xml:space="preserve"> anything mutable: every read opens its own </w:t>
      </w:r>
      <w:r>
        <w:rPr>
          <w:rFonts w:ascii="Courier New" w:cs="Courier New" w:eastAsia="Courier New" w:hAnsi="Courier New"/>
          <w:sz w:val="19"/>
          <w:szCs w:val="19"/>
        </w:rPr>
        <w:t xml:space="preserve">GDALDataset</w:t>
      </w:r>
      <w:r>
        <w:t xml:space="preserve"> (never a shared pointer), every write goes to a different file, and the only shared state — the first error — is guarded by an atomic flag and a mutex.</w:t>
      </w:r>
    </w:p>
    <w:p>
      <w:pPr>
        <w:pStyle w:val="Heading2"/>
      </w:pPr>
      <w:bookmarkStart w:name="_Toc16" w:id="16"/>
      <w:r>
        <w:t xml:space="preserve">5.4 Heterogeneous computing with OpenCL</w:t>
      </w:r>
      <w:bookmarkEnd w:id="16"/>
    </w:p>
    <w:p>
      <w:pPr>
        <w:keepNext/>
        <w:spacing w:after="60" w:before="120"/>
        <w:jc w:val="center"/>
      </w:pPr>
      <w:r>
        <w:drawing>
          <wp:inline distT="0" distB="0" distL="0" distR="0">
            <wp:extent cx="6124575" cy="3257550"/>
            <wp:effectExtent t="0" r="0" b="0" l="0"/>
            <wp:docPr id="5" name="diag_concurrency.png" descr="Concurrency and heterogeneous execution: in CPU mode, OpenMP workers with private GDAL handles; in GPU mode, a single host thread drives the OpenCL kernels with per-tile CPU fallback; one output file per tile." title="Concurrency and heterogeneous execution: in CPU mode, OpenMP workers with private GDAL handles; in GPU mode, a single host thread drives the OpenCL kernels with per-tile CPU fallback; one output file per t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3257550"/>
                    </a:xfrm>
                    <a:prstGeom prst="rect">
                      <a:avLst/>
                    </a:prstGeom>
                  </pic:spPr>
                </pic:pic>
              </a:graphicData>
            </a:graphic>
          </wp:inline>
        </w:drawing>
      </w:r>
    </w:p>
    <w:p>
      <w:pPr>
        <w:spacing w:after="200"/>
      </w:pPr>
      <w:r>
        <w:rPr>
          <w:b/>
          <w:bCs/>
          <w:color w:val="52514E"/>
          <w:sz w:val="18"/>
          <w:szCs w:val="18"/>
        </w:rPr>
        <w:t xml:space="preserve">Figure 5.</w:t>
      </w:r>
      <w:r>
        <w:rPr>
          <w:color w:val="52514E"/>
          <w:sz w:val="18"/>
          <w:szCs w:val="18"/>
        </w:rPr>
        <w:t xml:space="preserve"> Concurrency and heterogeneous execution: in CPU mode, OpenMP workers with private GDAL handles; in GPU mode, a single host thread drives the OpenCL kernels with per-tile CPU fallback; one output file per tile.</w:t>
      </w:r>
    </w:p>
    <w:p>
      <w:pPr>
        <w:pStyle w:val="ListParagraph"/>
        <w:numPr>
          <w:ilvl w:val="0"/>
          <w:numId w:val="3"/>
        </w:numPr>
        <w:spacing w:after="60"/>
      </w:pPr>
      <w:r>
        <w:rPr>
          <w:b/>
          <w:bCs/>
        </w:rPr>
        <w:t xml:space="preserve">Portability.</w:t>
      </w:r>
      <w:r>
        <w:t xml:space="preserve"> The backend targets OpenCL 1.2 (</w:t>
      </w:r>
      <w:r>
        <w:rPr>
          <w:rFonts w:ascii="Courier New" w:cs="Courier New" w:eastAsia="Courier New" w:hAnsi="Courier New"/>
          <w:sz w:val="19"/>
          <w:szCs w:val="19"/>
        </w:rPr>
        <w:t xml:space="preserve">CL_TARGET_OPENCL_VERSION=120</w:t>
      </w:r>
      <w:r>
        <w:t xml:space="preserve">), the common denominator of Apple, NVIDIA, Intel and AMD drivers, and selects a </w:t>
      </w:r>
      <w:r>
        <w:rPr>
          <w:rFonts w:ascii="Courier New" w:cs="Courier New" w:eastAsia="Courier New" w:hAnsi="Courier New"/>
          <w:sz w:val="19"/>
          <w:szCs w:val="19"/>
        </w:rPr>
        <w:t xml:space="preserve">CL_DEVICE_TYPE_GPU</w:t>
      </w:r>
      <w:r>
        <w:t xml:space="preserve"> device. On macOS the OpenCL framework is built in; on Linux an ICD loader plus vendor runtime is needed; on Windows the GPU driver provides </w:t>
      </w:r>
      <w:r>
        <w:rPr>
          <w:rFonts w:ascii="Courier New" w:cs="Courier New" w:eastAsia="Courier New" w:hAnsi="Courier New"/>
          <w:sz w:val="19"/>
          <w:szCs w:val="19"/>
        </w:rPr>
        <w:t xml:space="preserve">OpenCL.dll</w:t>
      </w:r>
      <w:r>
        <w:t xml:space="preserve">.</w:t>
      </w:r>
    </w:p>
    <w:p>
      <w:pPr>
        <w:pStyle w:val="ListParagraph"/>
        <w:numPr>
          <w:ilvl w:val="0"/>
          <w:numId w:val="3"/>
        </w:numPr>
        <w:spacing w:after="60"/>
      </w:pPr>
      <w:r>
        <w:rPr>
          <w:b/>
          <w:bCs/>
        </w:rPr>
        <w:t xml:space="preserve">Same results by construction.</w:t>
      </w:r>
      <w:r>
        <w:t xml:space="preserve"> The </w:t>
      </w:r>
      <w:r>
        <w:rPr>
          <w:rFonts w:ascii="Courier New" w:cs="Courier New" w:eastAsia="Courier New" w:hAnsi="Courier New"/>
          <w:sz w:val="19"/>
          <w:szCs w:val="19"/>
        </w:rPr>
        <w:t xml:space="preserve">calc_index</w:t>
      </w:r>
      <w:r>
        <w:t xml:space="preserve"> kernel is a line-for-line port of </w:t>
      </w:r>
      <w:r>
        <w:rPr>
          <w:rFonts w:ascii="Courier New" w:cs="Courier New" w:eastAsia="Courier New" w:hAnsi="Courier New"/>
          <w:sz w:val="19"/>
          <w:szCs w:val="19"/>
        </w:rPr>
        <w:t xml:space="preserve">SpectralFeatures</w:t>
      </w:r>
      <w:r>
        <w:t xml:space="preserve">: same formulas, same ÷10,000 de-scaling, same all-operands-non-zero rule, same clamp. SAM and PCA have their own kernels; the PCA covariance uses Kahan-compensated sums to limit float32 drift.</w:t>
      </w:r>
    </w:p>
    <w:p>
      <w:pPr>
        <w:pStyle w:val="ListParagraph"/>
        <w:numPr>
          <w:ilvl w:val="0"/>
          <w:numId w:val="3"/>
        </w:numPr>
        <w:spacing w:after="60"/>
      </w:pPr>
      <w:r>
        <w:rPr>
          <w:b/>
          <w:bCs/>
        </w:rPr>
        <w:t xml:space="preserve">One host thread in GPU mode.</w:t>
      </w:r>
      <w:r>
        <w:t xml:space="preserve"> Apple's OpenCL queue was found to corrupt results when driven from several host threads, even behind the dispatch mutex, so in GPU mode the tile loop runs on a single host thread (the OpenMP pragma carries </w:t>
      </w:r>
      <w:r>
        <w:rPr>
          <w:rFonts w:ascii="Courier New" w:cs="Courier New" w:eastAsia="Courier New" w:hAnsi="Courier New"/>
          <w:sz w:val="19"/>
          <w:szCs w:val="19"/>
        </w:rPr>
        <w:t xml:space="preserve">if(!use_gpu)</w:t>
      </w:r>
      <w:r>
        <w:t xml:space="preserve">). Tile reading and writing are therefore serial in GPU mode.</w:t>
      </w:r>
    </w:p>
    <w:p>
      <w:pPr>
        <w:pStyle w:val="ListParagraph"/>
        <w:numPr>
          <w:ilvl w:val="0"/>
          <w:numId w:val="3"/>
        </w:numPr>
        <w:spacing w:after="60"/>
      </w:pPr>
      <w:r>
        <w:rPr>
          <w:b/>
          <w:bCs/>
        </w:rPr>
        <w:t xml:space="preserve">Graceful fallback.</w:t>
      </w:r>
      <w:r>
        <w:t xml:space="preserve"> If OpenCL cannot initialise, or a dispatch fails, that tile is computed on the CPU. A build without an OpenCL SDK runs </w:t>
      </w:r>
      <w:r>
        <w:rPr>
          <w:rFonts w:ascii="Courier New" w:cs="Courier New" w:eastAsia="Courier New" w:hAnsi="Courier New"/>
          <w:sz w:val="19"/>
          <w:szCs w:val="19"/>
        </w:rPr>
        <w:t xml:space="preserve">--mode gpu</w:t>
      </w:r>
      <w:r>
        <w:t xml:space="preserve"> on the CPU with a warning; the </w:t>
      </w:r>
      <w:r>
        <w:rPr>
          <w:rFonts w:ascii="Courier New" w:cs="Courier New" w:eastAsia="Courier New" w:hAnsi="Courier New"/>
          <w:sz w:val="19"/>
          <w:szCs w:val="19"/>
        </w:rPr>
        <w:t xml:space="preserve">RESULT</w:t>
      </w:r>
      <w:r>
        <w:t xml:space="preserve"> line always reports the mode that actually ran.</w:t>
      </w:r>
    </w:p>
    <w:p>
      <w:pPr>
        <w:pStyle w:val="Heading2"/>
      </w:pPr>
      <w:bookmarkStart w:name="_Toc17" w:id="17"/>
      <w:r>
        <w:t xml:space="preserve">5.5 Fault isolation and the error model</w:t>
      </w:r>
      <w:bookmarkEnd w:id="17"/>
    </w:p>
    <w:p>
      <w:r>
        <w:t xml:space="preserve">An exception that escapes an OpenMP parallel region is undefined behaviour (in practice </w:t>
      </w:r>
      <w:r>
        <w:rPr>
          <w:rFonts w:ascii="Courier New" w:cs="Courier New" w:eastAsia="Courier New" w:hAnsi="Courier New"/>
          <w:sz w:val="19"/>
          <w:szCs w:val="19"/>
        </w:rPr>
        <w:t xml:space="preserve">std::terminate</w:t>
      </w:r>
      <w:r>
        <w:t xml:space="preserve">). Every loop iteration therefore catches exceptions itself, records the first error, and lets the other tiles finish; the process then exits with </w:t>
      </w:r>
      <w:r>
        <w:rPr>
          <w:b/>
          <w:bCs/>
        </w:rPr>
        <w:t xml:space="preserve">code 2</w:t>
      </w:r>
      <w:r>
        <w:t xml:space="preserve"> and prints the error, so the plugin reports a failure instead of loading partial results as if they were complete. Numeric command-line options are parsed with guarded helpers, so a typo such as </w:t>
      </w:r>
      <w:r>
        <w:rPr>
          <w:rFonts w:ascii="Courier New" w:cs="Courier New" w:eastAsia="Courier New" w:hAnsi="Courier New"/>
          <w:sz w:val="19"/>
          <w:szCs w:val="19"/>
        </w:rPr>
        <w:t xml:space="preserve">--tile-size foo</w:t>
      </w:r>
      <w:r>
        <w:t xml:space="preserve"> falls back to the default rather than crashing.</w:t>
      </w:r>
    </w:p>
    <w:p>
      <w:pPr>
        <w:pStyle w:val="Heading2"/>
      </w:pPr>
      <w:bookmarkStart w:name="_Toc18" w:id="18"/>
      <w:r>
        <w:t xml:space="preserve">5.6 Memory model</w:t>
      </w:r>
      <w:bookmarkEnd w:id="18"/>
    </w:p>
    <w:p>
      <w:r>
        <w:t xml:space="preserve">Each in-flight tile needs </w:t>
      </w:r>
      <w:r>
        <w:rPr>
          <w:rFonts w:ascii="Courier New" w:cs="Courier New" w:eastAsia="Courier New" w:hAnsi="Courier New"/>
          <w:sz w:val="19"/>
          <w:szCs w:val="19"/>
        </w:rPr>
        <w:t xml:space="preserve">tile² × bands × 4 bytes</w:t>
      </w:r>
      <w:r>
        <w:t xml:space="preserve"> — about 235 MB for 512² × 224 float32 bands — plus the 7 index arrays, so peak memory ≈ </w:t>
      </w:r>
      <w:r>
        <w:rPr>
          <w:i/>
          <w:iCs/>
        </w:rPr>
        <w:t xml:space="preserve">threads × ~250 MB</w:t>
      </w:r>
      <w:r>
        <w:t xml:space="preserve">, independent of scene size. Measured peak memory on the test scene confirms the model (Figure 11, right): 1.4 GB serial, 2.5 GB with 2 threads, 4.2 GB with 8 threads, 4.4 GB with 12 threads (the scene has only 9 tiles, so at most 9 are in flight). On memory-constrained machines, reduce </w:t>
      </w:r>
      <w:r>
        <w:rPr>
          <w:rFonts w:ascii="Courier New" w:cs="Courier New" w:eastAsia="Courier New" w:hAnsi="Courier New"/>
          <w:sz w:val="19"/>
          <w:szCs w:val="19"/>
        </w:rPr>
        <w:t xml:space="preserve">--threads</w:t>
      </w:r>
      <w:r>
        <w:t xml:space="preserve"> or </w:t>
      </w:r>
      <w:r>
        <w:rPr>
          <w:rFonts w:ascii="Courier New" w:cs="Courier New" w:eastAsia="Courier New" w:hAnsi="Courier New"/>
          <w:sz w:val="19"/>
          <w:szCs w:val="19"/>
        </w:rPr>
        <w:t xml:space="preserve">--tile-size</w:t>
      </w:r>
      <w:r>
        <w:t xml:space="preserve">.</w:t>
      </w:r>
    </w:p>
    <w:p>
      <w:pPr>
        <w:pStyle w:val="Heading2"/>
      </w:pPr>
      <w:bookmarkStart w:name="_Toc19" w:id="19"/>
      <w:r>
        <w:t xml:space="preserve">5.7 From parallel to distributed</w:t>
      </w:r>
      <w:bookmarkEnd w:id="19"/>
    </w:p>
    <w:p>
      <w:r>
        <w:t xml:space="preserve">The engine's output is designed for distributed processing. Every tile is a complete, georeferenced GeoTIFF with an identical band layout, so a cluster framework can treat tiles as independent records. The analytics plugin does exactly that: Spark's </w:t>
      </w:r>
      <w:r>
        <w:rPr>
          <w:rFonts w:ascii="Courier New" w:cs="Courier New" w:eastAsia="Courier New" w:hAnsi="Courier New"/>
          <w:sz w:val="19"/>
          <w:szCs w:val="19"/>
        </w:rPr>
        <w:t xml:space="preserve">binaryFile</w:t>
      </w:r>
      <w:r>
        <w:t xml:space="preserve"> reader makes one row per tile and Sedona processes the rows in parallel tasks, locally or across a cluster. The earlier MPI variant of the engine was removed in favour of this split: the C++ engine does the dense per-pixel arithmetic on one node, and Spark/Sedona handles distribution, spatial joins and machine learning.</w:t>
      </w:r>
    </w:p>
    <w:p>
      <w:pPr>
        <w:pStyle w:val="Heading1"/>
      </w:pPr>
      <w:bookmarkStart w:name="_Toc20" w:id="20"/>
      <w:r>
        <w:t xml:space="preserve">6. Algorithms</w:t>
      </w:r>
      <w:bookmarkEnd w:id="20"/>
    </w:p>
    <w:p>
      <w:pPr>
        <w:pStyle w:val="Heading2"/>
      </w:pPr>
      <w:bookmarkStart w:name="_Toc21" w:id="21"/>
      <w:r>
        <w:t xml:space="preserve">6.1 Wavelength-driven band selection</w:t>
      </w:r>
      <w:bookmarkEnd w:id="21"/>
    </w:p>
    <w:p>
      <w:r>
        <w:t xml:space="preserve">Indices are only meaningful if NIR, Red, Green, SWIR and Blue are the right </w:t>
      </w:r>
      <w:r>
        <w:rPr>
          <w:i/>
          <w:iCs/>
        </w:rPr>
        <w:t xml:space="preserve">physical</w:t>
      </w:r>
      <w:r>
        <w:t xml:space="preserve"> wavelengths, and band numbers differ between sensors and even processor versions. The engine reads each band's centre wavelength from the file (GDAL </w:t>
      </w:r>
      <w:r>
        <w:rPr>
          <w:rFonts w:ascii="Courier New" w:cs="Courier New" w:eastAsia="Courier New" w:hAnsi="Courier New"/>
          <w:sz w:val="19"/>
          <w:szCs w:val="19"/>
        </w:rPr>
        <w:t xml:space="preserve">wavelength</w:t>
      </w:r>
      <w:r>
        <w:t xml:space="preserve"> metadata or descriptions such as “Band 75 (863.40 nm)”, nm or µm) and </w:t>
      </w:r>
      <w:r>
        <w:rPr>
          <w:rFonts w:ascii="Courier New" w:cs="Courier New" w:eastAsia="Courier New" w:hAnsi="Courier New"/>
          <w:sz w:val="19"/>
          <w:szCs w:val="19"/>
        </w:rPr>
        <w:t xml:space="preserve">BandResolver</w:t>
      </w:r>
      <w:r>
        <w:t xml:space="preserve"> picks the band nearest each target: NIR 860, Red 660, Green 560, SWIR 1640 and Blue 480 nm. On the test scene this gives NIR = 75 (863.4 nm), Red = 47 (660.0 nm), Green = 30 (560.9 nm), SWIR = 152 (1642.4 nm), Blue = 14 (482.2 nm). </w:t>
      </w:r>
      <w:r>
        <w:rPr>
          <w:rFonts w:ascii="Courier New" w:cs="Courier New" w:eastAsia="Courier New" w:hAnsi="Courier New"/>
          <w:sz w:val="19"/>
          <w:szCs w:val="19"/>
        </w:rPr>
        <w:t xml:space="preserve">--*-band</w:t>
      </w:r>
      <w:r>
        <w:t xml:space="preserve"> flags override a role; without wavelength metadata the engine falls back to the standard EnMAP bands {75, 47, 30, 151, 14}. (An earlier hard-coded default pointed at 936 nm water-vapour absorption instead of NIR and biased every index; wavelength resolution removed that class of error.)</w:t>
      </w:r>
    </w:p>
    <w:p>
      <w:pPr>
        <w:pStyle w:val="Heading2"/>
      </w:pPr>
      <w:bookmarkStart w:name="_Toc22" w:id="22"/>
      <w:r>
        <w:t xml:space="preserve">6.2 Spectral indices</w:t>
      </w:r>
      <w:bookmarkEnd w:id="22"/>
    </w:p>
    <w:p>
      <w:pPr>
        <w:keepNext/>
        <w:spacing w:after="80" w:before="160"/>
      </w:pPr>
      <w:r>
        <w:rPr>
          <w:b/>
          <w:bCs/>
          <w:color w:val="52514E"/>
          <w:sz w:val="18"/>
          <w:szCs w:val="18"/>
        </w:rPr>
        <w:t xml:space="preserve">Table 7.</w:t>
      </w:r>
      <w:r>
        <w:rPr>
          <w:color w:val="52514E"/>
          <w:sz w:val="18"/>
          <w:szCs w:val="18"/>
        </w:rPr>
        <w:t xml:space="preserve"> The seven indices, appended as bands 225–231 of every tile in this fixed order: NDVI, NDWI, NDBI, SAVI, EVI, NDMI, MSAVI.</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1352"/>
        <w:gridCol w:w="4903"/>
        <w:gridCol w:w="3383"/>
      </w:tblGrid>
      <w:tr>
        <w:trPr>
          <w:cantSplit/>
          <w:tblHeader/>
        </w:trPr>
        <w:tc>
          <w:tcPr>
            <w:tcW w:type="dxa" w:w="1352"/>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Index</w:t>
            </w:r>
          </w:p>
        </w:tc>
        <w:tc>
          <w:tcPr>
            <w:tcW w:type="dxa" w:w="4903"/>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Formula (reflectance 0–1, L = 0.5)</w:t>
            </w:r>
          </w:p>
        </w:tc>
        <w:tc>
          <w:tcPr>
            <w:tcW w:type="dxa" w:w="3383"/>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Indicates</w:t>
            </w:r>
          </w:p>
        </w:tc>
      </w:tr>
      <w:tr>
        <w:trPr>
          <w:cantSplit/>
        </w:trPr>
        <w:tc>
          <w:tcPr>
            <w:tcW w:type="dxa" w:w="1352"/>
            <w:tcMar>
              <w:top w:type="dxa" w:w="60"/>
              <w:left w:type="dxa" w:w="90"/>
              <w:bottom w:type="dxa" w:w="60"/>
              <w:right w:type="dxa" w:w="90"/>
            </w:tcMar>
            <w:vAlign w:val="center"/>
          </w:tcPr>
          <w:p>
            <w:pPr>
              <w:spacing w:after="20" w:line="250"/>
            </w:pPr>
            <w:r>
              <w:rPr>
                <w:sz w:val="18"/>
                <w:szCs w:val="18"/>
              </w:rPr>
              <w:t xml:space="preserve">NDVI</w:t>
            </w:r>
          </w:p>
        </w:tc>
        <w:tc>
          <w:tcPr>
            <w:tcW w:type="dxa" w:w="4903"/>
            <w:tcMar>
              <w:top w:type="dxa" w:w="60"/>
              <w:left w:type="dxa" w:w="90"/>
              <w:bottom w:type="dxa" w:w="60"/>
              <w:right w:type="dxa" w:w="90"/>
            </w:tcMar>
            <w:vAlign w:val="center"/>
          </w:tcPr>
          <w:p>
            <w:pPr>
              <w:spacing w:after="20" w:line="250"/>
            </w:pPr>
            <w:r>
              <w:rPr>
                <w:sz w:val="18"/>
                <w:szCs w:val="18"/>
              </w:rPr>
              <w:t xml:space="preserve">(NIR − R) / (NIR + R)</w:t>
            </w:r>
          </w:p>
        </w:tc>
        <w:tc>
          <w:tcPr>
            <w:tcW w:type="dxa" w:w="3383"/>
            <w:tcMar>
              <w:top w:type="dxa" w:w="60"/>
              <w:left w:type="dxa" w:w="90"/>
              <w:bottom w:type="dxa" w:w="60"/>
              <w:right w:type="dxa" w:w="90"/>
            </w:tcMar>
            <w:vAlign w:val="center"/>
          </w:tcPr>
          <w:p>
            <w:pPr>
              <w:spacing w:after="20" w:line="250"/>
            </w:pPr>
            <w:r>
              <w:rPr>
                <w:sz w:val="18"/>
                <w:szCs w:val="18"/>
              </w:rPr>
              <w:t xml:space="preserve">Vegetation vigour</w:t>
            </w:r>
          </w:p>
        </w:tc>
      </w:tr>
      <w:tr>
        <w:trPr>
          <w:cantSplit/>
        </w:trPr>
        <w:tc>
          <w:tcPr>
            <w:tcW w:type="dxa" w:w="1352"/>
            <w:shd w:fill="F3F6FA" w:color="auto" w:val="clear"/>
            <w:tcMar>
              <w:top w:type="dxa" w:w="60"/>
              <w:left w:type="dxa" w:w="90"/>
              <w:bottom w:type="dxa" w:w="60"/>
              <w:right w:type="dxa" w:w="90"/>
            </w:tcMar>
            <w:vAlign w:val="center"/>
          </w:tcPr>
          <w:p>
            <w:pPr>
              <w:spacing w:after="20" w:line="250"/>
            </w:pPr>
            <w:r>
              <w:rPr>
                <w:sz w:val="18"/>
                <w:szCs w:val="18"/>
              </w:rPr>
              <w:t xml:space="preserve">NDWI</w:t>
            </w:r>
          </w:p>
        </w:tc>
        <w:tc>
          <w:tcPr>
            <w:tcW w:type="dxa" w:w="4903"/>
            <w:shd w:fill="F3F6FA" w:color="auto" w:val="clear"/>
            <w:tcMar>
              <w:top w:type="dxa" w:w="60"/>
              <w:left w:type="dxa" w:w="90"/>
              <w:bottom w:type="dxa" w:w="60"/>
              <w:right w:type="dxa" w:w="90"/>
            </w:tcMar>
            <w:vAlign w:val="center"/>
          </w:tcPr>
          <w:p>
            <w:pPr>
              <w:spacing w:after="20" w:line="250"/>
            </w:pPr>
            <w:r>
              <w:rPr>
                <w:sz w:val="18"/>
                <w:szCs w:val="18"/>
              </w:rPr>
              <w:t xml:space="preserve">(G − NIR) / (G + NIR)</w:t>
            </w:r>
          </w:p>
        </w:tc>
        <w:tc>
          <w:tcPr>
            <w:tcW w:type="dxa" w:w="3383"/>
            <w:shd w:fill="F3F6FA" w:color="auto" w:val="clear"/>
            <w:tcMar>
              <w:top w:type="dxa" w:w="60"/>
              <w:left w:type="dxa" w:w="90"/>
              <w:bottom w:type="dxa" w:w="60"/>
              <w:right w:type="dxa" w:w="90"/>
            </w:tcMar>
            <w:vAlign w:val="center"/>
          </w:tcPr>
          <w:p>
            <w:pPr>
              <w:spacing w:after="20" w:line="250"/>
            </w:pPr>
            <w:r>
              <w:rPr>
                <w:sz w:val="18"/>
                <w:szCs w:val="18"/>
              </w:rPr>
              <w:t xml:space="preserve">Open water (McFeeters 1996)</w:t>
            </w:r>
          </w:p>
        </w:tc>
      </w:tr>
      <w:tr>
        <w:trPr>
          <w:cantSplit/>
        </w:trPr>
        <w:tc>
          <w:tcPr>
            <w:tcW w:type="dxa" w:w="1352"/>
            <w:tcMar>
              <w:top w:type="dxa" w:w="60"/>
              <w:left w:type="dxa" w:w="90"/>
              <w:bottom w:type="dxa" w:w="60"/>
              <w:right w:type="dxa" w:w="90"/>
            </w:tcMar>
            <w:vAlign w:val="center"/>
          </w:tcPr>
          <w:p>
            <w:pPr>
              <w:spacing w:after="20" w:line="250"/>
            </w:pPr>
            <w:r>
              <w:rPr>
                <w:sz w:val="18"/>
                <w:szCs w:val="18"/>
              </w:rPr>
              <w:t xml:space="preserve">NDBI</w:t>
            </w:r>
          </w:p>
        </w:tc>
        <w:tc>
          <w:tcPr>
            <w:tcW w:type="dxa" w:w="4903"/>
            <w:tcMar>
              <w:top w:type="dxa" w:w="60"/>
              <w:left w:type="dxa" w:w="90"/>
              <w:bottom w:type="dxa" w:w="60"/>
              <w:right w:type="dxa" w:w="90"/>
            </w:tcMar>
            <w:vAlign w:val="center"/>
          </w:tcPr>
          <w:p>
            <w:pPr>
              <w:spacing w:after="20" w:line="250"/>
            </w:pPr>
            <w:r>
              <w:rPr>
                <w:sz w:val="18"/>
                <w:szCs w:val="18"/>
              </w:rPr>
              <w:t xml:space="preserve">(SWIR − NIR) / (SWIR + NIR)</w:t>
            </w:r>
          </w:p>
        </w:tc>
        <w:tc>
          <w:tcPr>
            <w:tcW w:type="dxa" w:w="3383"/>
            <w:tcMar>
              <w:top w:type="dxa" w:w="60"/>
              <w:left w:type="dxa" w:w="90"/>
              <w:bottom w:type="dxa" w:w="60"/>
              <w:right w:type="dxa" w:w="90"/>
            </w:tcMar>
            <w:vAlign w:val="center"/>
          </w:tcPr>
          <w:p>
            <w:pPr>
              <w:spacing w:after="20" w:line="250"/>
            </w:pPr>
            <w:r>
              <w:rPr>
                <w:sz w:val="18"/>
                <w:szCs w:val="18"/>
              </w:rPr>
              <w:t xml:space="preserve">Built-up / bare surfaces</w:t>
            </w:r>
          </w:p>
        </w:tc>
      </w:tr>
      <w:tr>
        <w:trPr>
          <w:cantSplit/>
        </w:trPr>
        <w:tc>
          <w:tcPr>
            <w:tcW w:type="dxa" w:w="1352"/>
            <w:shd w:fill="F3F6FA" w:color="auto" w:val="clear"/>
            <w:tcMar>
              <w:top w:type="dxa" w:w="60"/>
              <w:left w:type="dxa" w:w="90"/>
              <w:bottom w:type="dxa" w:w="60"/>
              <w:right w:type="dxa" w:w="90"/>
            </w:tcMar>
            <w:vAlign w:val="center"/>
          </w:tcPr>
          <w:p>
            <w:pPr>
              <w:spacing w:after="20" w:line="250"/>
            </w:pPr>
            <w:r>
              <w:rPr>
                <w:sz w:val="18"/>
                <w:szCs w:val="18"/>
              </w:rPr>
              <w:t xml:space="preserve">NDMI</w:t>
            </w:r>
          </w:p>
        </w:tc>
        <w:tc>
          <w:tcPr>
            <w:tcW w:type="dxa" w:w="4903"/>
            <w:shd w:fill="F3F6FA" w:color="auto" w:val="clear"/>
            <w:tcMar>
              <w:top w:type="dxa" w:w="60"/>
              <w:left w:type="dxa" w:w="90"/>
              <w:bottom w:type="dxa" w:w="60"/>
              <w:right w:type="dxa" w:w="90"/>
            </w:tcMar>
            <w:vAlign w:val="center"/>
          </w:tcPr>
          <w:p>
            <w:pPr>
              <w:spacing w:after="20" w:line="250"/>
            </w:pPr>
            <w:r>
              <w:rPr>
                <w:sz w:val="18"/>
                <w:szCs w:val="18"/>
              </w:rPr>
              <w:t xml:space="preserve">(NIR − SWIR) / (NIR + SWIR)</w:t>
            </w:r>
          </w:p>
        </w:tc>
        <w:tc>
          <w:tcPr>
            <w:tcW w:type="dxa" w:w="3383"/>
            <w:shd w:fill="F3F6FA" w:color="auto" w:val="clear"/>
            <w:tcMar>
              <w:top w:type="dxa" w:w="60"/>
              <w:left w:type="dxa" w:w="90"/>
              <w:bottom w:type="dxa" w:w="60"/>
              <w:right w:type="dxa" w:w="90"/>
            </w:tcMar>
            <w:vAlign w:val="center"/>
          </w:tcPr>
          <w:p>
            <w:pPr>
              <w:spacing w:after="20" w:line="250"/>
            </w:pPr>
            <w:r>
              <w:rPr>
                <w:sz w:val="18"/>
                <w:szCs w:val="18"/>
              </w:rPr>
              <w:t xml:space="preserve">Canopy moisture</w:t>
            </w:r>
          </w:p>
        </w:tc>
      </w:tr>
      <w:tr>
        <w:trPr>
          <w:cantSplit/>
        </w:trPr>
        <w:tc>
          <w:tcPr>
            <w:tcW w:type="dxa" w:w="1352"/>
            <w:tcMar>
              <w:top w:type="dxa" w:w="60"/>
              <w:left w:type="dxa" w:w="90"/>
              <w:bottom w:type="dxa" w:w="60"/>
              <w:right w:type="dxa" w:w="90"/>
            </w:tcMar>
            <w:vAlign w:val="center"/>
          </w:tcPr>
          <w:p>
            <w:pPr>
              <w:spacing w:after="20" w:line="250"/>
            </w:pPr>
            <w:r>
              <w:rPr>
                <w:sz w:val="18"/>
                <w:szCs w:val="18"/>
              </w:rPr>
              <w:t xml:space="preserve">SAVI</w:t>
            </w:r>
          </w:p>
        </w:tc>
        <w:tc>
          <w:tcPr>
            <w:tcW w:type="dxa" w:w="4903"/>
            <w:tcMar>
              <w:top w:type="dxa" w:w="60"/>
              <w:left w:type="dxa" w:w="90"/>
              <w:bottom w:type="dxa" w:w="60"/>
              <w:right w:type="dxa" w:w="90"/>
            </w:tcMar>
            <w:vAlign w:val="center"/>
          </w:tcPr>
          <w:p>
            <w:pPr>
              <w:spacing w:after="20" w:line="250"/>
            </w:pPr>
            <w:r>
              <w:rPr>
                <w:sz w:val="18"/>
                <w:szCs w:val="18"/>
              </w:rPr>
              <w:t xml:space="preserve">(NIR − R) / (NIR + R + L) · (1 + L)</w:t>
            </w:r>
          </w:p>
        </w:tc>
        <w:tc>
          <w:tcPr>
            <w:tcW w:type="dxa" w:w="3383"/>
            <w:tcMar>
              <w:top w:type="dxa" w:w="60"/>
              <w:left w:type="dxa" w:w="90"/>
              <w:bottom w:type="dxa" w:w="60"/>
              <w:right w:type="dxa" w:w="90"/>
            </w:tcMar>
            <w:vAlign w:val="center"/>
          </w:tcPr>
          <w:p>
            <w:pPr>
              <w:spacing w:after="20" w:line="250"/>
            </w:pPr>
            <w:r>
              <w:rPr>
                <w:sz w:val="18"/>
                <w:szCs w:val="18"/>
              </w:rPr>
              <w:t xml:space="preserve">Vegetation, soil-adjusted</w:t>
            </w:r>
          </w:p>
        </w:tc>
      </w:tr>
      <w:tr>
        <w:trPr>
          <w:cantSplit/>
        </w:trPr>
        <w:tc>
          <w:tcPr>
            <w:tcW w:type="dxa" w:w="1352"/>
            <w:shd w:fill="F3F6FA" w:color="auto" w:val="clear"/>
            <w:tcMar>
              <w:top w:type="dxa" w:w="60"/>
              <w:left w:type="dxa" w:w="90"/>
              <w:bottom w:type="dxa" w:w="60"/>
              <w:right w:type="dxa" w:w="90"/>
            </w:tcMar>
            <w:vAlign w:val="center"/>
          </w:tcPr>
          <w:p>
            <w:pPr>
              <w:spacing w:after="20" w:line="250"/>
            </w:pPr>
            <w:r>
              <w:rPr>
                <w:sz w:val="18"/>
                <w:szCs w:val="18"/>
              </w:rPr>
              <w:t xml:space="preserve">EVI</w:t>
            </w:r>
          </w:p>
        </w:tc>
        <w:tc>
          <w:tcPr>
            <w:tcW w:type="dxa" w:w="4903"/>
            <w:shd w:fill="F3F6FA" w:color="auto" w:val="clear"/>
            <w:tcMar>
              <w:top w:type="dxa" w:w="60"/>
              <w:left w:type="dxa" w:w="90"/>
              <w:bottom w:type="dxa" w:w="60"/>
              <w:right w:type="dxa" w:w="90"/>
            </w:tcMar>
            <w:vAlign w:val="center"/>
          </w:tcPr>
          <w:p>
            <w:pPr>
              <w:spacing w:after="20" w:line="250"/>
            </w:pPr>
            <w:r>
              <w:rPr>
                <w:sz w:val="18"/>
                <w:szCs w:val="18"/>
              </w:rPr>
              <w:t xml:space="preserve">2.5 · (NIR − R) / (NIR + 6R − 7.5B + 1)</w:t>
            </w:r>
          </w:p>
        </w:tc>
        <w:tc>
          <w:tcPr>
            <w:tcW w:type="dxa" w:w="3383"/>
            <w:shd w:fill="F3F6FA" w:color="auto" w:val="clear"/>
            <w:tcMar>
              <w:top w:type="dxa" w:w="60"/>
              <w:left w:type="dxa" w:w="90"/>
              <w:bottom w:type="dxa" w:w="60"/>
              <w:right w:type="dxa" w:w="90"/>
            </w:tcMar>
            <w:vAlign w:val="center"/>
          </w:tcPr>
          <w:p>
            <w:pPr>
              <w:spacing w:after="20" w:line="250"/>
            </w:pPr>
            <w:r>
              <w:rPr>
                <w:sz w:val="18"/>
                <w:szCs w:val="18"/>
              </w:rPr>
              <w:t xml:space="preserve">Vegetation, atmosphere/soil resistant</w:t>
            </w:r>
          </w:p>
        </w:tc>
      </w:tr>
      <w:tr>
        <w:trPr>
          <w:cantSplit/>
        </w:trPr>
        <w:tc>
          <w:tcPr>
            <w:tcW w:type="dxa" w:w="1352"/>
            <w:tcMar>
              <w:top w:type="dxa" w:w="60"/>
              <w:left w:type="dxa" w:w="90"/>
              <w:bottom w:type="dxa" w:w="60"/>
              <w:right w:type="dxa" w:w="90"/>
            </w:tcMar>
            <w:vAlign w:val="center"/>
          </w:tcPr>
          <w:p>
            <w:pPr>
              <w:spacing w:after="20" w:line="250"/>
            </w:pPr>
            <w:r>
              <w:rPr>
                <w:sz w:val="18"/>
                <w:szCs w:val="18"/>
              </w:rPr>
              <w:t xml:space="preserve">MSAVI</w:t>
            </w:r>
          </w:p>
        </w:tc>
        <w:tc>
          <w:tcPr>
            <w:tcW w:type="dxa" w:w="4903"/>
            <w:tcMar>
              <w:top w:type="dxa" w:w="60"/>
              <w:left w:type="dxa" w:w="90"/>
              <w:bottom w:type="dxa" w:w="60"/>
              <w:right w:type="dxa" w:w="90"/>
            </w:tcMar>
            <w:vAlign w:val="center"/>
          </w:tcPr>
          <w:p>
            <w:pPr>
              <w:spacing w:after="20" w:line="250"/>
            </w:pPr>
            <w:r>
              <w:rPr>
                <w:sz w:val="18"/>
                <w:szCs w:val="18"/>
              </w:rPr>
              <w:t xml:space="preserve">(2NIR + 1 − √((2NIR + 1)² − 8(NIR − R))) / 2</w:t>
            </w:r>
          </w:p>
        </w:tc>
        <w:tc>
          <w:tcPr>
            <w:tcW w:type="dxa" w:w="3383"/>
            <w:tcMar>
              <w:top w:type="dxa" w:w="60"/>
              <w:left w:type="dxa" w:w="90"/>
              <w:bottom w:type="dxa" w:w="60"/>
              <w:right w:type="dxa" w:w="90"/>
            </w:tcMar>
            <w:vAlign w:val="center"/>
          </w:tcPr>
          <w:p>
            <w:pPr>
              <w:spacing w:after="20" w:line="250"/>
            </w:pPr>
            <w:r>
              <w:rPr>
                <w:sz w:val="18"/>
                <w:szCs w:val="18"/>
              </w:rPr>
              <w:t xml:space="preserve">Vegetation, iteration-free modified SAVI</w:t>
            </w:r>
          </w:p>
        </w:tc>
      </w:tr>
    </w:tbl>
    <w:p>
      <w:pPr>
        <w:spacing w:after="120"/>
      </w:pPr>
    </w:p>
    <w:p>
      <w:r>
        <w:t xml:space="preserve">Reflectance is de-scaled by 10,000 (EnMAP's integer scaling) so that the indices with additive constants (SAVI, EVI, MSAVI) are correct; for the pure ratios the scale cancels. A degenerate denominator or a negative square-root argument gives 0.0, never NaN or Inf.</w:t>
      </w:r>
    </w:p>
    <w:p>
      <w:pPr>
        <w:keepNext/>
        <w:spacing w:after="60" w:before="120"/>
        <w:jc w:val="center"/>
      </w:pPr>
      <w:r>
        <w:drawing>
          <wp:inline distT="0" distB="0" distL="0" distR="0">
            <wp:extent cx="5019675" cy="4486275"/>
            <wp:effectExtent t="0" r="0" b="0" l="0"/>
            <wp:docPr id="6" name="map_ndvi.png" descr="NDVI of the test scene from the engine. Grey: edge tiles without indices (limitation L2, §9)." title="NDVI of the test scene from the engine. Grey: edge tiles without indices (limitation L2,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19675" cy="4486275"/>
                    </a:xfrm>
                    <a:prstGeom prst="rect">
                      <a:avLst/>
                    </a:prstGeom>
                  </pic:spPr>
                </pic:pic>
              </a:graphicData>
            </a:graphic>
          </wp:inline>
        </w:drawing>
      </w:r>
    </w:p>
    <w:p>
      <w:pPr>
        <w:spacing w:after="200"/>
      </w:pPr>
      <w:r>
        <w:rPr>
          <w:b/>
          <w:bCs/>
          <w:color w:val="52514E"/>
          <w:sz w:val="18"/>
          <w:szCs w:val="18"/>
        </w:rPr>
        <w:t xml:space="preserve">Figure 6.</w:t>
      </w:r>
      <w:r>
        <w:rPr>
          <w:color w:val="52514E"/>
          <w:sz w:val="18"/>
          <w:szCs w:val="18"/>
        </w:rPr>
        <w:t xml:space="preserve"> NDVI of the test scene from the engine. Grey: edge tiles without indices (limitation L2, §9).</w:t>
      </w:r>
    </w:p>
    <w:p>
      <w:pPr>
        <w:pStyle w:val="Heading2"/>
      </w:pPr>
      <w:bookmarkStart w:name="_Toc23" w:id="23"/>
      <w:r>
        <w:t xml:space="preserve">6.3 Principal component analysis</w:t>
      </w:r>
      <w:bookmarkEnd w:id="23"/>
    </w:p>
    <w:p>
      <w:r>
        <w:t xml:space="preserve">PCA compresses the 224 correlated bands into a few uncorrelated components. The engine never holds the cube in memory: </w:t>
      </w:r>
      <w:r>
        <w:rPr>
          <w:b/>
          <w:bCs/>
        </w:rPr>
        <w:t xml:space="preserve">pass 1a</w:t>
      </w:r>
      <w:r>
        <w:t xml:space="preserve"> accumulates per-band means over valid pixels in double precision; </w:t>
      </w:r>
      <w:r>
        <w:rPr>
          <w:b/>
          <w:bCs/>
        </w:rPr>
        <w:t xml:space="preserve">pass 1b</w:t>
      </w:r>
      <w:r>
        <w:t xml:space="preserve"> accumulates the covariance Σ(x − μ)(x − μ)ᵀ using the exact means (avoiding the catastrophic cancellation of the E[xxᵀ] − μμᵀ shortcut on large reflectance values); a cyclic </w:t>
      </w:r>
      <w:r>
        <w:rPr>
          <w:b/>
          <w:bCs/>
        </w:rPr>
        <w:t xml:space="preserve">Jacobi eigen-solver</w:t>
      </w:r>
      <w:r>
        <w:t xml:space="preserve"> returns eigenpairs in descending order with a deterministic sign convention (as in scikit-learn's </w:t>
      </w:r>
      <w:r>
        <w:rPr>
          <w:rFonts w:ascii="Courier New" w:cs="Courier New" w:eastAsia="Courier New" w:hAnsi="Courier New"/>
          <w:sz w:val="19"/>
          <w:szCs w:val="19"/>
        </w:rPr>
        <w:t xml:space="preserve">svd_flip</w:t>
      </w:r>
      <w:r>
        <w:t xml:space="preserve">); </w:t>
      </w:r>
      <w:r>
        <w:rPr>
          <w:b/>
          <w:bCs/>
        </w:rPr>
        <w:t xml:space="preserve">pass 2</w:t>
      </w:r>
      <w:r>
        <w:t xml:space="preserve"> projects each pixel onto the first k eigenvectors. The correlation option standardises each band first; bands can be excluded (for example water-absorption regions).</w:t>
      </w:r>
    </w:p>
    <w:p>
      <w:pPr>
        <w:keepNext/>
        <w:spacing w:after="60" w:before="120"/>
        <w:jc w:val="center"/>
      </w:pPr>
      <w:r>
        <w:drawing>
          <wp:inline distT="0" distB="0" distL="0" distR="0">
            <wp:extent cx="5019675" cy="4124325"/>
            <wp:effectExtent t="0" r="0" b="0" l="0"/>
            <wp:docPr id="7" name="map_pca.png" descr="PCA false-colour composite (PC1/PC2/PC3) of the test scene." title="PCA false-colour composite (PC1/PC2/PC3) of the test sc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19675" cy="4124325"/>
                    </a:xfrm>
                    <a:prstGeom prst="rect">
                      <a:avLst/>
                    </a:prstGeom>
                  </pic:spPr>
                </pic:pic>
              </a:graphicData>
            </a:graphic>
          </wp:inline>
        </w:drawing>
      </w:r>
    </w:p>
    <w:p>
      <w:pPr>
        <w:spacing w:after="200"/>
      </w:pPr>
      <w:r>
        <w:rPr>
          <w:b/>
          <w:bCs/>
          <w:color w:val="52514E"/>
          <w:sz w:val="18"/>
          <w:szCs w:val="18"/>
        </w:rPr>
        <w:t xml:space="preserve">Figure 7.</w:t>
      </w:r>
      <w:r>
        <w:rPr>
          <w:color w:val="52514E"/>
          <w:sz w:val="18"/>
          <w:szCs w:val="18"/>
        </w:rPr>
        <w:t xml:space="preserve"> PCA false-colour composite (PC1/PC2/PC3) of the test scene.</w:t>
      </w:r>
    </w:p>
    <w:p>
      <w:pPr>
        <w:keepNext/>
        <w:spacing w:after="60" w:before="120"/>
        <w:jc w:val="center"/>
      </w:pPr>
      <w:r>
        <w:drawing>
          <wp:inline distT="0" distB="0" distL="0" distR="0">
            <wp:extent cx="5391150" cy="2543175"/>
            <wp:effectExtent t="0" r="0" b="0" l="0"/>
            <wp:docPr id="8" name="chart_pca_variance.png" descr="Variance explained: the first three components keep 99.2 % of the scene's variance." title="Variance explained: the first three components keep 99.2 % of the scene's var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91150" cy="2543175"/>
                    </a:xfrm>
                    <a:prstGeom prst="rect">
                      <a:avLst/>
                    </a:prstGeom>
                  </pic:spPr>
                </pic:pic>
              </a:graphicData>
            </a:graphic>
          </wp:inline>
        </w:drawing>
      </w:r>
    </w:p>
    <w:p>
      <w:pPr>
        <w:spacing w:after="200"/>
      </w:pPr>
      <w:r>
        <w:rPr>
          <w:b/>
          <w:bCs/>
          <w:color w:val="52514E"/>
          <w:sz w:val="18"/>
          <w:szCs w:val="18"/>
        </w:rPr>
        <w:t xml:space="preserve">Figure 8.</w:t>
      </w:r>
      <w:r>
        <w:rPr>
          <w:color w:val="52514E"/>
          <w:sz w:val="18"/>
          <w:szCs w:val="18"/>
        </w:rPr>
        <w:t xml:space="preserve"> Variance explained: the first three components keep 99.2 % of the scene's variance.</w:t>
      </w:r>
    </w:p>
    <w:p>
      <w:pPr>
        <w:pStyle w:val="Heading2"/>
      </w:pPr>
      <w:bookmarkStart w:name="_Toc24" w:id="24"/>
      <w:r>
        <w:t xml:space="preserve">6.4 Spectral Angle Mapper</w:t>
      </w:r>
      <w:bookmarkEnd w:id="24"/>
    </w:p>
    <w:p>
      <w:r>
        <w:t xml:space="preserve">SAM measures how similar each pixel's spectrum t is to a reference spectrum r as the angle between them in 224-dimensional space: θ = arccos( t·r / (‖t‖‖r‖) ). Because only the angle matters, SAM is insensitive to brightness (illumination, slope) and to the reflectance scale. The plugin captures r by a click on the map: it transforms the click into the layer's coordinate system, reads every band at that pixel, sends no-data bands as 0 (the engine's no-data marker), and rejects all-no-data border pixels. The engine writes </w:t>
      </w:r>
      <w:r>
        <w:rPr>
          <w:rFonts w:ascii="Courier New" w:cs="Courier New" w:eastAsia="Courier New" w:hAnsi="Courier New"/>
          <w:sz w:val="19"/>
          <w:szCs w:val="19"/>
        </w:rPr>
        <w:t xml:space="preserve">sam_angle.tif</w:t>
      </w:r>
      <w:r>
        <w:t xml:space="preserve"> (radians), optionally </w:t>
      </w:r>
      <w:r>
        <w:rPr>
          <w:rFonts w:ascii="Courier New" w:cs="Courier New" w:eastAsia="Courier New" w:hAnsi="Courier New"/>
          <w:sz w:val="19"/>
          <w:szCs w:val="19"/>
        </w:rPr>
        <w:t xml:space="preserve">sam_mask.tif</w:t>
      </w:r>
      <w:r>
        <w:t xml:space="preserve"> (angle ≤ max angle) and </w:t>
      </w:r>
      <w:r>
        <w:rPr>
          <w:rFonts w:ascii="Courier New" w:cs="Courier New" w:eastAsia="Courier New" w:hAnsi="Courier New"/>
          <w:sz w:val="19"/>
          <w:szCs w:val="19"/>
        </w:rPr>
        <w:t xml:space="preserve">sam_similarity.tif</w:t>
      </w:r>
      <w:r>
        <w:t xml:space="preserve"> (1 − θ/π).</w:t>
      </w:r>
    </w:p>
    <w:p>
      <w:pPr>
        <w:keepNext/>
        <w:spacing w:after="60" w:before="120"/>
        <w:jc w:val="center"/>
      </w:pPr>
      <w:r>
        <w:drawing>
          <wp:inline distT="0" distB="0" distL="0" distR="0">
            <wp:extent cx="5819775" cy="4410075"/>
            <wp:effectExtent t="0" r="0" b="0" l="0"/>
            <wp:docPr id="9" name="map_sam.png" descr="SAM with one lake pixel as reference. Orange: pixels within 0.20 rad; the zoom shows the detected shoreline around the reference." title="SAM with one lake pixel as reference. Orange: pixels within 0.20 rad; the zoom shows the detected shoreline around the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19775" cy="4410075"/>
                    </a:xfrm>
                    <a:prstGeom prst="rect">
                      <a:avLst/>
                    </a:prstGeom>
                  </pic:spPr>
                </pic:pic>
              </a:graphicData>
            </a:graphic>
          </wp:inline>
        </w:drawing>
      </w:r>
    </w:p>
    <w:p>
      <w:pPr>
        <w:spacing w:after="200"/>
      </w:pPr>
      <w:r>
        <w:rPr>
          <w:b/>
          <w:bCs/>
          <w:color w:val="52514E"/>
          <w:sz w:val="18"/>
          <w:szCs w:val="18"/>
        </w:rPr>
        <w:t xml:space="preserve">Figure 9.</w:t>
      </w:r>
      <w:r>
        <w:rPr>
          <w:color w:val="52514E"/>
          <w:sz w:val="18"/>
          <w:szCs w:val="18"/>
        </w:rPr>
        <w:t xml:space="preserve"> SAM with one lake pixel as reference. Orange: pixels within 0.20 rad; the zoom shows the detected shoreline around the reference.</w:t>
      </w:r>
    </w:p>
    <w:p>
      <w:pPr>
        <w:keepNext/>
        <w:spacing w:after="60" w:before="120"/>
        <w:jc w:val="center"/>
      </w:pPr>
      <w:r>
        <w:drawing>
          <wp:inline distT="0" distB="0" distL="0" distR="0">
            <wp:extent cx="5391150" cy="2914650"/>
            <wp:effectExtent t="0" r="0" b="0" l="0"/>
            <wp:docPr id="10" name="chart_sam_threshold.png" descr="SAM scored against EnMAP's water mask for thresholds 0.02–0.40 rad." title="SAM scored against EnMAP's water mask for thresholds 0.02–0.40 r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91150" cy="2914650"/>
                    </a:xfrm>
                    <a:prstGeom prst="rect">
                      <a:avLst/>
                    </a:prstGeom>
                  </pic:spPr>
                </pic:pic>
              </a:graphicData>
            </a:graphic>
          </wp:inline>
        </w:drawing>
      </w:r>
    </w:p>
    <w:p>
      <w:pPr>
        <w:spacing w:after="200"/>
      </w:pPr>
      <w:r>
        <w:rPr>
          <w:b/>
          <w:bCs/>
          <w:color w:val="52514E"/>
          <w:sz w:val="18"/>
          <w:szCs w:val="18"/>
        </w:rPr>
        <w:t xml:space="preserve">Figure 10.</w:t>
      </w:r>
      <w:r>
        <w:rPr>
          <w:color w:val="52514E"/>
          <w:sz w:val="18"/>
          <w:szCs w:val="18"/>
        </w:rPr>
        <w:t xml:space="preserve"> SAM scored against EnMAP's water mask for thresholds 0.02–0.40 rad.</w:t>
      </w:r>
    </w:p>
    <w:p>
      <w:r>
        <w:rPr>
          <w:b/>
          <w:bCs/>
        </w:rPr>
        <w:t xml:space="preserve">Interpretation.</w:t>
      </w:r>
      <w:r>
        <w:t xml:space="preserve"> SAM is a </w:t>
      </w:r>
      <w:r>
        <w:rPr>
          <w:i/>
          <w:iCs/>
        </w:rPr>
        <w:t xml:space="preserve">target detector</w:t>
      </w:r>
      <w:r>
        <w:t xml:space="preserve">: with one reference it finds material that looks like that reference. Precision is very high at tight thresholds (0.98 at 0.10 rad, 0.90 at 0.14 rad) but recall against </w:t>
      </w:r>
      <w:r>
        <w:rPr>
          <w:i/>
          <w:iCs/>
        </w:rPr>
        <w:t xml:space="preserve">all</w:t>
      </w:r>
      <w:r>
        <w:t xml:space="preserve"> water stays low, because the scene's lakes and rivers differ spectrally (glacial turbidity, depth, shadow). For general water mapping, use NDWI or the analytics plugin's K-Means; for “find more of this material”, use SAM.</w:t>
      </w:r>
    </w:p>
    <w:p>
      <w:pPr>
        <w:pStyle w:val="Heading1"/>
      </w:pPr>
      <w:bookmarkStart w:name="_Toc25" w:id="25"/>
      <w:r>
        <w:t xml:space="preserve">7. Performance</w:t>
      </w:r>
      <w:bookmarkEnd w:id="25"/>
    </w:p>
    <w:p>
      <w:r>
        <w:t xml:space="preserve">All measurements: EnMAP L2A test scene (686 MB, 1259 × 1216 × 224, 9 tiles of 512 px), Apple M4 Pro (12 cores: 8 performance + 4 efficiency, 24 GB), engine time from the </w:t>
      </w:r>
      <w:r>
        <w:rPr>
          <w:rFonts w:ascii="Courier New" w:cs="Courier New" w:eastAsia="Courier New" w:hAnsi="Courier New"/>
          <w:sz w:val="19"/>
          <w:szCs w:val="19"/>
        </w:rPr>
        <w:t xml:space="preserve">RESULT</w:t>
      </w:r>
      <w:r>
        <w:t xml:space="preserve"> line, median of 3 runs. Raw data: </w:t>
      </w:r>
      <w:r>
        <w:rPr>
          <w:rFonts w:ascii="Courier New" w:cs="Courier New" w:eastAsia="Courier New" w:hAnsi="Courier New"/>
          <w:sz w:val="19"/>
          <w:szCs w:val="19"/>
        </w:rPr>
        <w:t xml:space="preserve">benchmarks/results/engine_benchmark.csv</w:t>
      </w:r>
      <w:r>
        <w:t xml:space="preserve">.</w:t>
      </w:r>
    </w:p>
    <w:p>
      <w:pPr>
        <w:keepNext/>
        <w:spacing w:after="60" w:before="120"/>
        <w:jc w:val="center"/>
      </w:pPr>
      <w:r>
        <w:drawing>
          <wp:inline distT="0" distB="0" distL="0" distR="0">
            <wp:extent cx="6124575" cy="3543300"/>
            <wp:effectExtent t="0" r="0" b="0" l="0"/>
            <wp:docPr id="11" name="chart_engine_scaling.png" descr="Indices on the whole scene: runtime by thread count and backend (left) and peak memory (right)." title="Indices on the whole scene: runtime by thread count and backend (left) and peak memory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24575" cy="3543300"/>
                    </a:xfrm>
                    <a:prstGeom prst="rect">
                      <a:avLst/>
                    </a:prstGeom>
                  </pic:spPr>
                </pic:pic>
              </a:graphicData>
            </a:graphic>
          </wp:inline>
        </w:drawing>
      </w:r>
    </w:p>
    <w:p>
      <w:pPr>
        <w:spacing w:after="200"/>
      </w:pPr>
      <w:r>
        <w:rPr>
          <w:b/>
          <w:bCs/>
          <w:color w:val="52514E"/>
          <w:sz w:val="18"/>
          <w:szCs w:val="18"/>
        </w:rPr>
        <w:t xml:space="preserve">Figure 11.</w:t>
      </w:r>
      <w:r>
        <w:rPr>
          <w:color w:val="52514E"/>
          <w:sz w:val="18"/>
          <w:szCs w:val="18"/>
        </w:rPr>
        <w:t xml:space="preserve"> Indices on the whole scene: runtime by thread count and backend (left) and peak memory (right).</w:t>
      </w:r>
    </w:p>
    <w:p>
      <w:pPr>
        <w:keepNext/>
        <w:spacing w:after="80" w:before="160"/>
      </w:pPr>
      <w:r>
        <w:rPr>
          <w:b/>
          <w:bCs/>
          <w:color w:val="52514E"/>
          <w:sz w:val="18"/>
          <w:szCs w:val="18"/>
        </w:rPr>
        <w:t xml:space="preserve">Table 8.</w:t>
      </w:r>
      <w:r>
        <w:rPr>
          <w:color w:val="52514E"/>
          <w:sz w:val="18"/>
          <w:szCs w:val="18"/>
        </w:rPr>
        <w:t xml:space="preserve"> Engine benchmark.</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2560"/>
        <w:gridCol w:w="1505"/>
        <w:gridCol w:w="1656"/>
        <w:gridCol w:w="1355"/>
        <w:gridCol w:w="2562"/>
      </w:tblGrid>
      <w:tr>
        <w:trPr>
          <w:cantSplit/>
          <w:tblHeader/>
        </w:trPr>
        <w:tc>
          <w:tcPr>
            <w:tcW w:type="dxa" w:w="2560"/>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Configuration</w:t>
            </w:r>
          </w:p>
        </w:tc>
        <w:tc>
          <w:tcPr>
            <w:tcW w:type="dxa" w:w="1505"/>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Indices</w:t>
            </w:r>
          </w:p>
        </w:tc>
        <w:tc>
          <w:tcPr>
            <w:tcW w:type="dxa" w:w="1656"/>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PCA (3 PCs)</w:t>
            </w:r>
          </w:p>
        </w:tc>
        <w:tc>
          <w:tcPr>
            <w:tcW w:type="dxa" w:w="1355"/>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SAM</w:t>
            </w:r>
          </w:p>
        </w:tc>
        <w:tc>
          <w:tcPr>
            <w:tcW w:type="dxa" w:w="2562"/>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Peak memory (indices)</w:t>
            </w:r>
          </w:p>
        </w:tc>
      </w:tr>
      <w:tr>
        <w:trPr>
          <w:cantSplit/>
        </w:trPr>
        <w:tc>
          <w:tcPr>
            <w:tcW w:type="dxa" w:w="2560"/>
            <w:tcMar>
              <w:top w:type="dxa" w:w="60"/>
              <w:left w:type="dxa" w:w="90"/>
              <w:bottom w:type="dxa" w:w="60"/>
              <w:right w:type="dxa" w:w="90"/>
            </w:tcMar>
            <w:vAlign w:val="center"/>
          </w:tcPr>
          <w:p>
            <w:pPr>
              <w:spacing w:after="20" w:line="250"/>
            </w:pPr>
            <w:r>
              <w:rPr>
                <w:sz w:val="18"/>
                <w:szCs w:val="18"/>
              </w:rPr>
              <w:t xml:space="preserve">Serial</w:t>
            </w:r>
          </w:p>
        </w:tc>
        <w:tc>
          <w:tcPr>
            <w:tcW w:type="dxa" w:w="1505"/>
            <w:tcMar>
              <w:top w:type="dxa" w:w="60"/>
              <w:left w:type="dxa" w:w="90"/>
              <w:bottom w:type="dxa" w:w="60"/>
              <w:right w:type="dxa" w:w="90"/>
            </w:tcMar>
            <w:vAlign w:val="center"/>
          </w:tcPr>
          <w:p>
            <w:pPr>
              <w:spacing w:after="20" w:line="250"/>
            </w:pPr>
            <w:r>
              <w:rPr>
                <w:sz w:val="18"/>
                <w:szCs w:val="18"/>
              </w:rPr>
              <w:t xml:space="preserve">8.53 s</w:t>
            </w:r>
          </w:p>
        </w:tc>
        <w:tc>
          <w:tcPr>
            <w:tcW w:type="dxa" w:w="1656"/>
            <w:tcMar>
              <w:top w:type="dxa" w:w="60"/>
              <w:left w:type="dxa" w:w="90"/>
              <w:bottom w:type="dxa" w:w="60"/>
              <w:right w:type="dxa" w:w="90"/>
            </w:tcMar>
            <w:vAlign w:val="center"/>
          </w:tcPr>
          <w:p>
            <w:pPr>
              <w:spacing w:after="20" w:line="250"/>
            </w:pPr>
            <w:r>
              <w:rPr>
                <w:sz w:val="18"/>
                <w:szCs w:val="18"/>
              </w:rPr>
              <w:t xml:space="preserve">—</w:t>
            </w:r>
          </w:p>
        </w:tc>
        <w:tc>
          <w:tcPr>
            <w:tcW w:type="dxa" w:w="1355"/>
            <w:tcMar>
              <w:top w:type="dxa" w:w="60"/>
              <w:left w:type="dxa" w:w="90"/>
              <w:bottom w:type="dxa" w:w="60"/>
              <w:right w:type="dxa" w:w="90"/>
            </w:tcMar>
            <w:vAlign w:val="center"/>
          </w:tcPr>
          <w:p>
            <w:pPr>
              <w:spacing w:after="20" w:line="250"/>
            </w:pPr>
            <w:r>
              <w:rPr>
                <w:sz w:val="18"/>
                <w:szCs w:val="18"/>
              </w:rPr>
              <w:t xml:space="preserve">—</w:t>
            </w:r>
          </w:p>
        </w:tc>
        <w:tc>
          <w:tcPr>
            <w:tcW w:type="dxa" w:w="2562"/>
            <w:tcMar>
              <w:top w:type="dxa" w:w="60"/>
              <w:left w:type="dxa" w:w="90"/>
              <w:bottom w:type="dxa" w:w="60"/>
              <w:right w:type="dxa" w:w="90"/>
            </w:tcMar>
            <w:vAlign w:val="center"/>
          </w:tcPr>
          <w:p>
            <w:pPr>
              <w:spacing w:after="20" w:line="250"/>
            </w:pPr>
            <w:r>
              <w:rPr>
                <w:sz w:val="18"/>
                <w:szCs w:val="18"/>
              </w:rPr>
              <w:t xml:space="preserve">1.38 GB</w:t>
            </w:r>
          </w:p>
        </w:tc>
      </w:tr>
      <w:tr>
        <w:trPr>
          <w:cantSplit/>
        </w:trPr>
        <w:tc>
          <w:tcPr>
            <w:tcW w:type="dxa" w:w="2560"/>
            <w:shd w:fill="F3F6FA" w:color="auto" w:val="clear"/>
            <w:tcMar>
              <w:top w:type="dxa" w:w="60"/>
              <w:left w:type="dxa" w:w="90"/>
              <w:bottom w:type="dxa" w:w="60"/>
              <w:right w:type="dxa" w:w="90"/>
            </w:tcMar>
            <w:vAlign w:val="center"/>
          </w:tcPr>
          <w:p>
            <w:pPr>
              <w:spacing w:after="20" w:line="250"/>
            </w:pPr>
            <w:r>
              <w:rPr>
                <w:sz w:val="18"/>
                <w:szCs w:val="18"/>
              </w:rPr>
              <w:t xml:space="preserve">OpenMP, 2 threads</w:t>
            </w:r>
          </w:p>
        </w:tc>
        <w:tc>
          <w:tcPr>
            <w:tcW w:type="dxa" w:w="1505"/>
            <w:shd w:fill="F3F6FA" w:color="auto" w:val="clear"/>
            <w:tcMar>
              <w:top w:type="dxa" w:w="60"/>
              <w:left w:type="dxa" w:w="90"/>
              <w:bottom w:type="dxa" w:w="60"/>
              <w:right w:type="dxa" w:w="90"/>
            </w:tcMar>
            <w:vAlign w:val="center"/>
          </w:tcPr>
          <w:p>
            <w:pPr>
              <w:spacing w:after="20" w:line="250"/>
            </w:pPr>
            <w:r>
              <w:rPr>
                <w:sz w:val="18"/>
                <w:szCs w:val="18"/>
              </w:rPr>
              <w:t xml:space="preserve">5.25 s</w:t>
            </w:r>
          </w:p>
        </w:tc>
        <w:tc>
          <w:tcPr>
            <w:tcW w:type="dxa" w:w="1656"/>
            <w:shd w:fill="F3F6FA" w:color="auto" w:val="clear"/>
            <w:tcMar>
              <w:top w:type="dxa" w:w="60"/>
              <w:left w:type="dxa" w:w="90"/>
              <w:bottom w:type="dxa" w:w="60"/>
              <w:right w:type="dxa" w:w="90"/>
            </w:tcMar>
            <w:vAlign w:val="center"/>
          </w:tcPr>
          <w:p>
            <w:pPr>
              <w:spacing w:after="20" w:line="250"/>
            </w:pPr>
            <w:r>
              <w:rPr>
                <w:sz w:val="18"/>
                <w:szCs w:val="18"/>
              </w:rPr>
              <w:t xml:space="preserve">—</w:t>
            </w:r>
          </w:p>
        </w:tc>
        <w:tc>
          <w:tcPr>
            <w:tcW w:type="dxa" w:w="1355"/>
            <w:shd w:fill="F3F6FA" w:color="auto" w:val="clear"/>
            <w:tcMar>
              <w:top w:type="dxa" w:w="60"/>
              <w:left w:type="dxa" w:w="90"/>
              <w:bottom w:type="dxa" w:w="60"/>
              <w:right w:type="dxa" w:w="90"/>
            </w:tcMar>
            <w:vAlign w:val="center"/>
          </w:tcPr>
          <w:p>
            <w:pPr>
              <w:spacing w:after="20" w:line="250"/>
            </w:pPr>
            <w:r>
              <w:rPr>
                <w:sz w:val="18"/>
                <w:szCs w:val="18"/>
              </w:rPr>
              <w:t xml:space="preserve">—</w:t>
            </w:r>
          </w:p>
        </w:tc>
        <w:tc>
          <w:tcPr>
            <w:tcW w:type="dxa" w:w="2562"/>
            <w:shd w:fill="F3F6FA" w:color="auto" w:val="clear"/>
            <w:tcMar>
              <w:top w:type="dxa" w:w="60"/>
              <w:left w:type="dxa" w:w="90"/>
              <w:bottom w:type="dxa" w:w="60"/>
              <w:right w:type="dxa" w:w="90"/>
            </w:tcMar>
            <w:vAlign w:val="center"/>
          </w:tcPr>
          <w:p>
            <w:pPr>
              <w:spacing w:after="20" w:line="250"/>
            </w:pPr>
            <w:r>
              <w:rPr>
                <w:sz w:val="18"/>
                <w:szCs w:val="18"/>
              </w:rPr>
              <w:t xml:space="preserve">2.46 GB</w:t>
            </w:r>
          </w:p>
        </w:tc>
      </w:tr>
      <w:tr>
        <w:trPr>
          <w:cantSplit/>
        </w:trPr>
        <w:tc>
          <w:tcPr>
            <w:tcW w:type="dxa" w:w="2560"/>
            <w:tcMar>
              <w:top w:type="dxa" w:w="60"/>
              <w:left w:type="dxa" w:w="90"/>
              <w:bottom w:type="dxa" w:w="60"/>
              <w:right w:type="dxa" w:w="90"/>
            </w:tcMar>
            <w:vAlign w:val="center"/>
          </w:tcPr>
          <w:p>
            <w:pPr>
              <w:spacing w:after="20" w:line="250"/>
            </w:pPr>
            <w:r>
              <w:rPr>
                <w:sz w:val="18"/>
                <w:szCs w:val="18"/>
              </w:rPr>
              <w:t xml:space="preserve">OpenMP, 4 threads</w:t>
            </w:r>
          </w:p>
        </w:tc>
        <w:tc>
          <w:tcPr>
            <w:tcW w:type="dxa" w:w="1505"/>
            <w:tcMar>
              <w:top w:type="dxa" w:w="60"/>
              <w:left w:type="dxa" w:w="90"/>
              <w:bottom w:type="dxa" w:w="60"/>
              <w:right w:type="dxa" w:w="90"/>
            </w:tcMar>
            <w:vAlign w:val="center"/>
          </w:tcPr>
          <w:p>
            <w:pPr>
              <w:spacing w:after="20" w:line="250"/>
            </w:pPr>
            <w:r>
              <w:rPr>
                <w:sz w:val="18"/>
                <w:szCs w:val="18"/>
              </w:rPr>
              <w:t xml:space="preserve">3.52 s</w:t>
            </w:r>
          </w:p>
        </w:tc>
        <w:tc>
          <w:tcPr>
            <w:tcW w:type="dxa" w:w="1656"/>
            <w:tcMar>
              <w:top w:type="dxa" w:w="60"/>
              <w:left w:type="dxa" w:w="90"/>
              <w:bottom w:type="dxa" w:w="60"/>
              <w:right w:type="dxa" w:w="90"/>
            </w:tcMar>
            <w:vAlign w:val="center"/>
          </w:tcPr>
          <w:p>
            <w:pPr>
              <w:spacing w:after="20" w:line="250"/>
            </w:pPr>
            <w:r>
              <w:rPr>
                <w:sz w:val="18"/>
                <w:szCs w:val="18"/>
              </w:rPr>
              <w:t xml:space="preserve">—</w:t>
            </w:r>
          </w:p>
        </w:tc>
        <w:tc>
          <w:tcPr>
            <w:tcW w:type="dxa" w:w="1355"/>
            <w:tcMar>
              <w:top w:type="dxa" w:w="60"/>
              <w:left w:type="dxa" w:w="90"/>
              <w:bottom w:type="dxa" w:w="60"/>
              <w:right w:type="dxa" w:w="90"/>
            </w:tcMar>
            <w:vAlign w:val="center"/>
          </w:tcPr>
          <w:p>
            <w:pPr>
              <w:spacing w:after="20" w:line="250"/>
            </w:pPr>
            <w:r>
              <w:rPr>
                <w:sz w:val="18"/>
                <w:szCs w:val="18"/>
              </w:rPr>
              <w:t xml:space="preserve">—</w:t>
            </w:r>
          </w:p>
        </w:tc>
        <w:tc>
          <w:tcPr>
            <w:tcW w:type="dxa" w:w="2562"/>
            <w:tcMar>
              <w:top w:type="dxa" w:w="60"/>
              <w:left w:type="dxa" w:w="90"/>
              <w:bottom w:type="dxa" w:w="60"/>
              <w:right w:type="dxa" w:w="90"/>
            </w:tcMar>
            <w:vAlign w:val="center"/>
          </w:tcPr>
          <w:p>
            <w:pPr>
              <w:spacing w:after="20" w:line="250"/>
            </w:pPr>
            <w:r>
              <w:rPr>
                <w:sz w:val="18"/>
                <w:szCs w:val="18"/>
              </w:rPr>
              <w:t xml:space="preserve">3.42 GB</w:t>
            </w:r>
          </w:p>
        </w:tc>
      </w:tr>
      <w:tr>
        <w:trPr>
          <w:cantSplit/>
        </w:trPr>
        <w:tc>
          <w:tcPr>
            <w:tcW w:type="dxa" w:w="2560"/>
            <w:shd w:fill="F3F6FA" w:color="auto" w:val="clear"/>
            <w:tcMar>
              <w:top w:type="dxa" w:w="60"/>
              <w:left w:type="dxa" w:w="90"/>
              <w:bottom w:type="dxa" w:w="60"/>
              <w:right w:type="dxa" w:w="90"/>
            </w:tcMar>
            <w:vAlign w:val="center"/>
          </w:tcPr>
          <w:p>
            <w:pPr>
              <w:spacing w:after="20" w:line="250"/>
            </w:pPr>
            <w:r>
              <w:rPr>
                <w:sz w:val="18"/>
                <w:szCs w:val="18"/>
              </w:rPr>
              <w:t xml:space="preserve">OpenMP, 8 threads</w:t>
            </w:r>
          </w:p>
        </w:tc>
        <w:tc>
          <w:tcPr>
            <w:tcW w:type="dxa" w:w="1505"/>
            <w:shd w:fill="F3F6FA" w:color="auto" w:val="clear"/>
            <w:tcMar>
              <w:top w:type="dxa" w:w="60"/>
              <w:left w:type="dxa" w:w="90"/>
              <w:bottom w:type="dxa" w:w="60"/>
              <w:right w:type="dxa" w:w="90"/>
            </w:tcMar>
            <w:vAlign w:val="center"/>
          </w:tcPr>
          <w:p>
            <w:pPr>
              <w:spacing w:after="20" w:line="250"/>
            </w:pPr>
            <w:r>
              <w:rPr>
                <w:sz w:val="18"/>
                <w:szCs w:val="18"/>
              </w:rPr>
              <w:t xml:space="preserve">2.52 s</w:t>
            </w:r>
          </w:p>
        </w:tc>
        <w:tc>
          <w:tcPr>
            <w:tcW w:type="dxa" w:w="1656"/>
            <w:shd w:fill="F3F6FA" w:color="auto" w:val="clear"/>
            <w:tcMar>
              <w:top w:type="dxa" w:w="60"/>
              <w:left w:type="dxa" w:w="90"/>
              <w:bottom w:type="dxa" w:w="60"/>
              <w:right w:type="dxa" w:w="90"/>
            </w:tcMar>
            <w:vAlign w:val="center"/>
          </w:tcPr>
          <w:p>
            <w:pPr>
              <w:spacing w:after="20" w:line="250"/>
            </w:pPr>
            <w:r>
              <w:rPr>
                <w:sz w:val="18"/>
                <w:szCs w:val="18"/>
              </w:rPr>
              <w:t xml:space="preserve">—</w:t>
            </w:r>
          </w:p>
        </w:tc>
        <w:tc>
          <w:tcPr>
            <w:tcW w:type="dxa" w:w="1355"/>
            <w:shd w:fill="F3F6FA" w:color="auto" w:val="clear"/>
            <w:tcMar>
              <w:top w:type="dxa" w:w="60"/>
              <w:left w:type="dxa" w:w="90"/>
              <w:bottom w:type="dxa" w:w="60"/>
              <w:right w:type="dxa" w:w="90"/>
            </w:tcMar>
            <w:vAlign w:val="center"/>
          </w:tcPr>
          <w:p>
            <w:pPr>
              <w:spacing w:after="20" w:line="250"/>
            </w:pPr>
            <w:r>
              <w:rPr>
                <w:sz w:val="18"/>
                <w:szCs w:val="18"/>
              </w:rPr>
              <w:t xml:space="preserve">—</w:t>
            </w:r>
          </w:p>
        </w:tc>
        <w:tc>
          <w:tcPr>
            <w:tcW w:type="dxa" w:w="2562"/>
            <w:shd w:fill="F3F6FA" w:color="auto" w:val="clear"/>
            <w:tcMar>
              <w:top w:type="dxa" w:w="60"/>
              <w:left w:type="dxa" w:w="90"/>
              <w:bottom w:type="dxa" w:w="60"/>
              <w:right w:type="dxa" w:w="90"/>
            </w:tcMar>
            <w:vAlign w:val="center"/>
          </w:tcPr>
          <w:p>
            <w:pPr>
              <w:spacing w:after="20" w:line="250"/>
            </w:pPr>
            <w:r>
              <w:rPr>
                <w:sz w:val="18"/>
                <w:szCs w:val="18"/>
              </w:rPr>
              <w:t xml:space="preserve">4.21 GB</w:t>
            </w:r>
          </w:p>
        </w:tc>
      </w:tr>
      <w:tr>
        <w:trPr>
          <w:cantSplit/>
        </w:trPr>
        <w:tc>
          <w:tcPr>
            <w:tcW w:type="dxa" w:w="2560"/>
            <w:tcMar>
              <w:top w:type="dxa" w:w="60"/>
              <w:left w:type="dxa" w:w="90"/>
              <w:bottom w:type="dxa" w:w="60"/>
              <w:right w:type="dxa" w:w="90"/>
            </w:tcMar>
            <w:vAlign w:val="center"/>
          </w:tcPr>
          <w:p>
            <w:pPr>
              <w:spacing w:after="20" w:line="250"/>
            </w:pPr>
            <w:r>
              <w:rPr>
                <w:sz w:val="18"/>
                <w:szCs w:val="18"/>
              </w:rPr>
              <w:t xml:space="preserve">OpenMP, 12 threads</w:t>
            </w:r>
          </w:p>
        </w:tc>
        <w:tc>
          <w:tcPr>
            <w:tcW w:type="dxa" w:w="1505"/>
            <w:tcMar>
              <w:top w:type="dxa" w:w="60"/>
              <w:left w:type="dxa" w:w="90"/>
              <w:bottom w:type="dxa" w:w="60"/>
              <w:right w:type="dxa" w:w="90"/>
            </w:tcMar>
            <w:vAlign w:val="center"/>
          </w:tcPr>
          <w:p>
            <w:pPr>
              <w:spacing w:after="20" w:line="250"/>
            </w:pPr>
            <w:r>
              <w:rPr>
                <w:sz w:val="18"/>
                <w:szCs w:val="18"/>
              </w:rPr>
              <w:t xml:space="preserve">2.67 s</w:t>
            </w:r>
          </w:p>
        </w:tc>
        <w:tc>
          <w:tcPr>
            <w:tcW w:type="dxa" w:w="1656"/>
            <w:tcMar>
              <w:top w:type="dxa" w:w="60"/>
              <w:left w:type="dxa" w:w="90"/>
              <w:bottom w:type="dxa" w:w="60"/>
              <w:right w:type="dxa" w:w="90"/>
            </w:tcMar>
            <w:vAlign w:val="center"/>
          </w:tcPr>
          <w:p>
            <w:pPr>
              <w:spacing w:after="20" w:line="250"/>
            </w:pPr>
            <w:r>
              <w:rPr>
                <w:sz w:val="18"/>
                <w:szCs w:val="18"/>
              </w:rPr>
              <w:t xml:space="preserve">5.96 s</w:t>
            </w:r>
          </w:p>
        </w:tc>
        <w:tc>
          <w:tcPr>
            <w:tcW w:type="dxa" w:w="1355"/>
            <w:tcMar>
              <w:top w:type="dxa" w:w="60"/>
              <w:left w:type="dxa" w:w="90"/>
              <w:bottom w:type="dxa" w:w="60"/>
              <w:right w:type="dxa" w:w="90"/>
            </w:tcMar>
            <w:vAlign w:val="center"/>
          </w:tcPr>
          <w:p>
            <w:pPr>
              <w:spacing w:after="20" w:line="250"/>
            </w:pPr>
            <w:r>
              <w:rPr>
                <w:sz w:val="18"/>
                <w:szCs w:val="18"/>
              </w:rPr>
              <w:t xml:space="preserve">0.99 s</w:t>
            </w:r>
          </w:p>
        </w:tc>
        <w:tc>
          <w:tcPr>
            <w:tcW w:type="dxa" w:w="2562"/>
            <w:tcMar>
              <w:top w:type="dxa" w:w="60"/>
              <w:left w:type="dxa" w:w="90"/>
              <w:bottom w:type="dxa" w:w="60"/>
              <w:right w:type="dxa" w:w="90"/>
            </w:tcMar>
            <w:vAlign w:val="center"/>
          </w:tcPr>
          <w:p>
            <w:pPr>
              <w:spacing w:after="20" w:line="250"/>
            </w:pPr>
            <w:r>
              <w:rPr>
                <w:sz w:val="18"/>
                <w:szCs w:val="18"/>
              </w:rPr>
              <w:t xml:space="preserve">4.37 GB</w:t>
            </w:r>
          </w:p>
        </w:tc>
      </w:tr>
      <w:tr>
        <w:trPr>
          <w:cantSplit/>
        </w:trPr>
        <w:tc>
          <w:tcPr>
            <w:tcW w:type="dxa" w:w="2560"/>
            <w:shd w:fill="F3F6FA" w:color="auto" w:val="clear"/>
            <w:tcMar>
              <w:top w:type="dxa" w:w="60"/>
              <w:left w:type="dxa" w:w="90"/>
              <w:bottom w:type="dxa" w:w="60"/>
              <w:right w:type="dxa" w:w="90"/>
            </w:tcMar>
            <w:vAlign w:val="center"/>
          </w:tcPr>
          <w:p>
            <w:pPr>
              <w:spacing w:after="20" w:line="250"/>
            </w:pPr>
            <w:r>
              <w:rPr>
                <w:sz w:val="18"/>
                <w:szCs w:val="18"/>
              </w:rPr>
              <w:t xml:space="preserve">GPU (OpenCL)</w:t>
            </w:r>
          </w:p>
        </w:tc>
        <w:tc>
          <w:tcPr>
            <w:tcW w:type="dxa" w:w="1505"/>
            <w:shd w:fill="F3F6FA" w:color="auto" w:val="clear"/>
            <w:tcMar>
              <w:top w:type="dxa" w:w="60"/>
              <w:left w:type="dxa" w:w="90"/>
              <w:bottom w:type="dxa" w:w="60"/>
              <w:right w:type="dxa" w:w="90"/>
            </w:tcMar>
            <w:vAlign w:val="center"/>
          </w:tcPr>
          <w:p>
            <w:pPr>
              <w:spacing w:after="20" w:line="250"/>
            </w:pPr>
            <w:r>
              <w:rPr>
                <w:sz w:val="18"/>
                <w:szCs w:val="18"/>
              </w:rPr>
              <w:t xml:space="preserve">9.13 s</w:t>
            </w:r>
          </w:p>
        </w:tc>
        <w:tc>
          <w:tcPr>
            <w:tcW w:type="dxa" w:w="1656"/>
            <w:shd w:fill="F3F6FA" w:color="auto" w:val="clear"/>
            <w:tcMar>
              <w:top w:type="dxa" w:w="60"/>
              <w:left w:type="dxa" w:w="90"/>
              <w:bottom w:type="dxa" w:w="60"/>
              <w:right w:type="dxa" w:w="90"/>
            </w:tcMar>
            <w:vAlign w:val="center"/>
          </w:tcPr>
          <w:p>
            <w:pPr>
              <w:spacing w:after="20" w:line="250"/>
            </w:pPr>
            <w:r>
              <w:rPr>
                <w:sz w:val="18"/>
                <w:szCs w:val="18"/>
              </w:rPr>
              <w:t xml:space="preserve">5.79 s</w:t>
            </w:r>
          </w:p>
        </w:tc>
        <w:tc>
          <w:tcPr>
            <w:tcW w:type="dxa" w:w="1355"/>
            <w:shd w:fill="F3F6FA" w:color="auto" w:val="clear"/>
            <w:tcMar>
              <w:top w:type="dxa" w:w="60"/>
              <w:left w:type="dxa" w:w="90"/>
              <w:bottom w:type="dxa" w:w="60"/>
              <w:right w:type="dxa" w:w="90"/>
            </w:tcMar>
            <w:vAlign w:val="center"/>
          </w:tcPr>
          <w:p>
            <w:pPr>
              <w:spacing w:after="20" w:line="250"/>
            </w:pPr>
            <w:r>
              <w:rPr>
                <w:sz w:val="18"/>
                <w:szCs w:val="18"/>
              </w:rPr>
              <w:t xml:space="preserve">1.15 s</w:t>
            </w:r>
          </w:p>
        </w:tc>
        <w:tc>
          <w:tcPr>
            <w:tcW w:type="dxa" w:w="2562"/>
            <w:shd w:fill="F3F6FA" w:color="auto" w:val="clear"/>
            <w:tcMar>
              <w:top w:type="dxa" w:w="60"/>
              <w:left w:type="dxa" w:w="90"/>
              <w:bottom w:type="dxa" w:w="60"/>
              <w:right w:type="dxa" w:w="90"/>
            </w:tcMar>
            <w:vAlign w:val="center"/>
          </w:tcPr>
          <w:p>
            <w:pPr>
              <w:spacing w:after="20" w:line="250"/>
            </w:pPr>
            <w:r>
              <w:rPr>
                <w:sz w:val="18"/>
                <w:szCs w:val="18"/>
              </w:rPr>
              <w:t xml:space="preserve">1.39 GB (SAM: 0.67 GB)</w:t>
            </w:r>
          </w:p>
        </w:tc>
      </w:tr>
    </w:tbl>
    <w:p>
      <w:pPr>
        <w:spacing w:after="120"/>
      </w:pPr>
    </w:p>
    <w:p>
      <w:pPr>
        <w:keepNext/>
        <w:spacing w:after="60" w:before="120"/>
        <w:jc w:val="center"/>
      </w:pPr>
      <w:r>
        <w:drawing>
          <wp:inline distT="0" distB="0" distL="0" distR="0">
            <wp:extent cx="5391150" cy="2809875"/>
            <wp:effectExtent t="0" r="0" b="0" l="0"/>
            <wp:docPr id="12" name="chart_cpu_gpu.png" descr="CPU (OpenMP, 12 cores) versus GPU per operation." title="CPU (OpenMP, 12 cores) versus GPU per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91150" cy="2809875"/>
                    </a:xfrm>
                    <a:prstGeom prst="rect">
                      <a:avLst/>
                    </a:prstGeom>
                  </pic:spPr>
                </pic:pic>
              </a:graphicData>
            </a:graphic>
          </wp:inline>
        </w:drawing>
      </w:r>
    </w:p>
    <w:p>
      <w:pPr>
        <w:spacing w:after="200"/>
      </w:pPr>
      <w:r>
        <w:rPr>
          <w:b/>
          <w:bCs/>
          <w:color w:val="52514E"/>
          <w:sz w:val="18"/>
          <w:szCs w:val="18"/>
        </w:rPr>
        <w:t xml:space="preserve">Figure 12.</w:t>
      </w:r>
      <w:r>
        <w:rPr>
          <w:color w:val="52514E"/>
          <w:sz w:val="18"/>
          <w:szCs w:val="18"/>
        </w:rPr>
        <w:t xml:space="preserve"> CPU (OpenMP, 12 cores) versus GPU per operation.</w:t>
      </w:r>
    </w:p>
    <w:p>
      <w:r>
        <w:rPr>
          <w:b/>
          <w:bCs/>
        </w:rPr>
        <w:t xml:space="preserve">What the numbers mean.</w:t>
      </w:r>
      <w:r>
        <w:t xml:space="preserve"> OpenMP gives a 3.4× speed-up from 1 to 8 threads; beyond 8 threads the run is limited by reading the 686 MB cube and compressing 1 GB of output, and by the efficiency cores. On this Apple-silicon machine the GPU backend is </w:t>
      </w:r>
      <w:r>
        <w:rPr>
          <w:b/>
          <w:bCs/>
        </w:rPr>
        <w:t xml:space="preserve">not faster</w:t>
      </w:r>
      <w:r>
        <w:t xml:space="preserve">: the index arithmetic is a few operations per value, so the time goes to file I/O and host–device transfer — and because GPU mode runs the tile loop on one host thread, that I/O is not parallelised, so the GPU indices run takes as long as the serial CPU run (9.1 s vs 8.5 s); for PCA and SAM it is on par with the CPU. The GPU backend's present value is </w:t>
      </w:r>
      <w:r>
        <w:rPr>
          <w:b/>
          <w:bCs/>
        </w:rPr>
        <w:t xml:space="preserve">portability and identical results</w:t>
      </w:r>
      <w:r>
        <w:t xml:space="preserve">, with a lower memory footprint for SAM; a discrete GPU or compute-heavier kernels would be needed to show a speed-up. These numbers are reported as measured.</w:t>
      </w:r>
    </w:p>
    <w:p>
      <w:pPr>
        <w:pStyle w:val="Heading1"/>
      </w:pPr>
      <w:bookmarkStart w:name="_Toc26" w:id="26"/>
      <w:r>
        <w:t xml:space="preserve">8. Correctness: CPU versus GPU</w:t>
      </w:r>
      <w:bookmarkEnd w:id="26"/>
    </w:p>
    <w:p>
      <w:r>
        <w:t xml:space="preserve">The OpenMP and GPU paths were run on the same scene and their outputs compared pixel by pixel:</w:t>
      </w:r>
    </w:p>
    <w:p>
      <w:pPr>
        <w:keepNext/>
        <w:spacing w:after="80" w:before="160"/>
      </w:pPr>
      <w:r>
        <w:rPr>
          <w:b/>
          <w:bCs/>
          <w:color w:val="52514E"/>
          <w:sz w:val="18"/>
          <w:szCs w:val="18"/>
        </w:rPr>
        <w:t xml:space="preserve">Table 9.</w:t>
      </w:r>
      <w:r>
        <w:rPr>
          <w:color w:val="52514E"/>
          <w:sz w:val="18"/>
          <w:szCs w:val="18"/>
        </w:rPr>
        <w:t xml:space="preserve"> CPU–GPU agreement on the test scene.</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3313"/>
        <w:gridCol w:w="3313"/>
        <w:gridCol w:w="3012"/>
      </w:tblGrid>
      <w:tr>
        <w:trPr>
          <w:cantSplit/>
          <w:tblHeader/>
        </w:trPr>
        <w:tc>
          <w:tcPr>
            <w:tcW w:type="dxa" w:w="3313"/>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Output</w:t>
            </w:r>
          </w:p>
        </w:tc>
        <w:tc>
          <w:tcPr>
            <w:tcW w:type="dxa" w:w="3313"/>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Largest |CPU − GPU|</w:t>
            </w:r>
          </w:p>
        </w:tc>
        <w:tc>
          <w:tcPr>
            <w:tcW w:type="dxa" w:w="3012"/>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Pixels that differ</w:t>
            </w:r>
          </w:p>
        </w:tc>
      </w:tr>
      <w:tr>
        <w:trPr>
          <w:cantSplit/>
        </w:trPr>
        <w:tc>
          <w:tcPr>
            <w:tcW w:type="dxa" w:w="3313"/>
            <w:tcMar>
              <w:top w:type="dxa" w:w="60"/>
              <w:left w:type="dxa" w:w="90"/>
              <w:bottom w:type="dxa" w:w="60"/>
              <w:right w:type="dxa" w:w="90"/>
            </w:tcMar>
            <w:vAlign w:val="center"/>
          </w:tcPr>
          <w:p>
            <w:pPr>
              <w:spacing w:after="20" w:line="250"/>
            </w:pPr>
            <w:r>
              <w:rPr>
                <w:sz w:val="18"/>
                <w:szCs w:val="18"/>
              </w:rPr>
              <w:t xml:space="preserve">Raw bands 1–224 (in the tiles)</w:t>
            </w:r>
          </w:p>
        </w:tc>
        <w:tc>
          <w:tcPr>
            <w:tcW w:type="dxa" w:w="3313"/>
            <w:tcMar>
              <w:top w:type="dxa" w:w="60"/>
              <w:left w:type="dxa" w:w="90"/>
              <w:bottom w:type="dxa" w:w="60"/>
              <w:right w:type="dxa" w:w="90"/>
            </w:tcMar>
            <w:vAlign w:val="center"/>
          </w:tcPr>
          <w:p>
            <w:pPr>
              <w:spacing w:after="20" w:line="250"/>
            </w:pPr>
            <w:r>
              <w:rPr>
                <w:sz w:val="18"/>
                <w:szCs w:val="18"/>
              </w:rPr>
              <w:t xml:space="preserve">0</w:t>
            </w:r>
          </w:p>
        </w:tc>
        <w:tc>
          <w:tcPr>
            <w:tcW w:type="dxa" w:w="3012"/>
            <w:tcMar>
              <w:top w:type="dxa" w:w="60"/>
              <w:left w:type="dxa" w:w="90"/>
              <w:bottom w:type="dxa" w:w="60"/>
              <w:right w:type="dxa" w:w="90"/>
            </w:tcMar>
            <w:vAlign w:val="center"/>
          </w:tcPr>
          <w:p>
            <w:pPr>
              <w:spacing w:after="20" w:line="250"/>
            </w:pPr>
            <w:r>
              <w:rPr>
                <w:sz w:val="18"/>
                <w:szCs w:val="18"/>
              </w:rPr>
              <w:t xml:space="preserve">none</w:t>
            </w:r>
          </w:p>
        </w:tc>
      </w:tr>
      <w:tr>
        <w:trPr>
          <w:cantSplit/>
        </w:trPr>
        <w:tc>
          <w:tcPr>
            <w:tcW w:type="dxa" w:w="3313"/>
            <w:shd w:fill="F3F6FA" w:color="auto" w:val="clear"/>
            <w:tcMar>
              <w:top w:type="dxa" w:w="60"/>
              <w:left w:type="dxa" w:w="90"/>
              <w:bottom w:type="dxa" w:w="60"/>
              <w:right w:type="dxa" w:w="90"/>
            </w:tcMar>
            <w:vAlign w:val="center"/>
          </w:tcPr>
          <w:p>
            <w:pPr>
              <w:spacing w:after="20" w:line="250"/>
            </w:pPr>
            <w:r>
              <w:rPr>
                <w:sz w:val="18"/>
                <w:szCs w:val="18"/>
              </w:rPr>
              <w:t xml:space="preserve">NDBI, SAVI, NDMI, MSAVI</w:t>
            </w:r>
          </w:p>
        </w:tc>
        <w:tc>
          <w:tcPr>
            <w:tcW w:type="dxa" w:w="3313"/>
            <w:shd w:fill="F3F6FA" w:color="auto" w:val="clear"/>
            <w:tcMar>
              <w:top w:type="dxa" w:w="60"/>
              <w:left w:type="dxa" w:w="90"/>
              <w:bottom w:type="dxa" w:w="60"/>
              <w:right w:type="dxa" w:w="90"/>
            </w:tcMar>
            <w:vAlign w:val="center"/>
          </w:tcPr>
          <w:p>
            <w:pPr>
              <w:spacing w:after="20" w:line="250"/>
            </w:pPr>
            <w:r>
              <w:rPr>
                <w:sz w:val="18"/>
                <w:szCs w:val="18"/>
              </w:rPr>
              <w:t xml:space="preserve">≤ 6 × 10⁻⁷</w:t>
            </w:r>
          </w:p>
        </w:tc>
        <w:tc>
          <w:tcPr>
            <w:tcW w:type="dxa" w:w="3012"/>
            <w:shd w:fill="F3F6FA" w:color="auto" w:val="clear"/>
            <w:tcMar>
              <w:top w:type="dxa" w:w="60"/>
              <w:left w:type="dxa" w:w="90"/>
              <w:bottom w:type="dxa" w:w="60"/>
              <w:right w:type="dxa" w:w="90"/>
            </w:tcMar>
            <w:vAlign w:val="center"/>
          </w:tcPr>
          <w:p>
            <w:pPr>
              <w:spacing w:after="20" w:line="250"/>
            </w:pPr>
            <w:r>
              <w:rPr>
                <w:sz w:val="18"/>
                <w:szCs w:val="18"/>
              </w:rPr>
              <w:t xml:space="preserve">float rounding only</w:t>
            </w:r>
          </w:p>
        </w:tc>
      </w:tr>
      <w:tr>
        <w:trPr>
          <w:cantSplit/>
        </w:trPr>
        <w:tc>
          <w:tcPr>
            <w:tcW w:type="dxa" w:w="3313"/>
            <w:tcMar>
              <w:top w:type="dxa" w:w="60"/>
              <w:left w:type="dxa" w:w="90"/>
              <w:bottom w:type="dxa" w:w="60"/>
              <w:right w:type="dxa" w:w="90"/>
            </w:tcMar>
            <w:vAlign w:val="center"/>
          </w:tcPr>
          <w:p>
            <w:pPr>
              <w:spacing w:after="20" w:line="250"/>
            </w:pPr>
            <w:r>
              <w:rPr>
                <w:sz w:val="18"/>
                <w:szCs w:val="18"/>
              </w:rPr>
              <w:t xml:space="preserve">EVI</w:t>
            </w:r>
          </w:p>
        </w:tc>
        <w:tc>
          <w:tcPr>
            <w:tcW w:type="dxa" w:w="3313"/>
            <w:tcMar>
              <w:top w:type="dxa" w:w="60"/>
              <w:left w:type="dxa" w:w="90"/>
              <w:bottom w:type="dxa" w:w="60"/>
              <w:right w:type="dxa" w:w="90"/>
            </w:tcMar>
            <w:vAlign w:val="center"/>
          </w:tcPr>
          <w:p>
            <w:pPr>
              <w:spacing w:after="20" w:line="250"/>
            </w:pPr>
            <w:r>
              <w:rPr>
                <w:sz w:val="18"/>
                <w:szCs w:val="18"/>
              </w:rPr>
              <w:t xml:space="preserve">1.5 × 10⁻⁵</w:t>
            </w:r>
          </w:p>
        </w:tc>
        <w:tc>
          <w:tcPr>
            <w:tcW w:type="dxa" w:w="3012"/>
            <w:tcMar>
              <w:top w:type="dxa" w:w="60"/>
              <w:left w:type="dxa" w:w="90"/>
              <w:bottom w:type="dxa" w:w="60"/>
              <w:right w:type="dxa" w:w="90"/>
            </w:tcMar>
            <w:vAlign w:val="center"/>
          </w:tcPr>
          <w:p>
            <w:pPr>
              <w:spacing w:after="20" w:line="250"/>
            </w:pPr>
            <w:r>
              <w:rPr>
                <w:sz w:val="18"/>
                <w:szCs w:val="18"/>
              </w:rPr>
              <w:t xml:space="preserve">float rounding only</w:t>
            </w:r>
          </w:p>
        </w:tc>
      </w:tr>
      <w:tr>
        <w:trPr>
          <w:cantSplit/>
        </w:trPr>
        <w:tc>
          <w:tcPr>
            <w:tcW w:type="dxa" w:w="3313"/>
            <w:shd w:fill="F3F6FA" w:color="auto" w:val="clear"/>
            <w:tcMar>
              <w:top w:type="dxa" w:w="60"/>
              <w:left w:type="dxa" w:w="90"/>
              <w:bottom w:type="dxa" w:w="60"/>
              <w:right w:type="dxa" w:w="90"/>
            </w:tcMar>
            <w:vAlign w:val="center"/>
          </w:tcPr>
          <w:p>
            <w:pPr>
              <w:spacing w:after="20" w:line="250"/>
            </w:pPr>
            <w:r>
              <w:rPr>
                <w:sz w:val="18"/>
                <w:szCs w:val="18"/>
              </w:rPr>
              <w:t xml:space="preserve">NDVI, NDWI</w:t>
            </w:r>
          </w:p>
        </w:tc>
        <w:tc>
          <w:tcPr>
            <w:tcW w:type="dxa" w:w="3313"/>
            <w:shd w:fill="F3F6FA" w:color="auto" w:val="clear"/>
            <w:tcMar>
              <w:top w:type="dxa" w:w="60"/>
              <w:left w:type="dxa" w:w="90"/>
              <w:bottom w:type="dxa" w:w="60"/>
              <w:right w:type="dxa" w:w="90"/>
            </w:tcMar>
            <w:vAlign w:val="center"/>
          </w:tcPr>
          <w:p>
            <w:pPr>
              <w:spacing w:after="20" w:line="250"/>
            </w:pPr>
            <w:r>
              <w:rPr>
                <w:sz w:val="18"/>
                <w:szCs w:val="18"/>
              </w:rPr>
              <w:t xml:space="preserve">1.0</w:t>
            </w:r>
          </w:p>
        </w:tc>
        <w:tc>
          <w:tcPr>
            <w:tcW w:type="dxa" w:w="3012"/>
            <w:shd w:fill="F3F6FA" w:color="auto" w:val="clear"/>
            <w:tcMar>
              <w:top w:type="dxa" w:w="60"/>
              <w:left w:type="dxa" w:w="90"/>
              <w:bottom w:type="dxa" w:w="60"/>
              <w:right w:type="dxa" w:w="90"/>
            </w:tcMar>
            <w:vAlign w:val="center"/>
          </w:tcPr>
          <w:p>
            <w:pPr>
              <w:spacing w:after="20" w:line="250"/>
            </w:pPr>
            <w:r>
              <w:rPr>
                <w:sz w:val="18"/>
                <w:szCs w:val="18"/>
              </w:rPr>
              <w:t xml:space="preserve">1 pixel each</w:t>
            </w:r>
            <w:r>
              <w:rPr>
                <w:sz w:val="18"/>
                <w:szCs w:val="18"/>
              </w:rPr>
              <w:t xml:space="preserve"> out of 1.53 million (CPU 0.0, GPU 1.0)</w:t>
            </w:r>
          </w:p>
        </w:tc>
      </w:tr>
      <w:tr>
        <w:trPr>
          <w:cantSplit/>
        </w:trPr>
        <w:tc>
          <w:tcPr>
            <w:tcW w:type="dxa" w:w="3313"/>
            <w:tcMar>
              <w:top w:type="dxa" w:w="60"/>
              <w:left w:type="dxa" w:w="90"/>
              <w:bottom w:type="dxa" w:w="60"/>
              <w:right w:type="dxa" w:w="90"/>
            </w:tcMar>
            <w:vAlign w:val="center"/>
          </w:tcPr>
          <w:p>
            <w:pPr>
              <w:spacing w:after="20" w:line="250"/>
            </w:pPr>
            <w:r>
              <w:rPr>
                <w:sz w:val="18"/>
                <w:szCs w:val="18"/>
              </w:rPr>
              <w:t xml:space="preserve">PCA components (</w:t>
            </w:r>
            <w:r>
              <w:rPr>
                <w:rFonts w:ascii="Courier New" w:cs="Courier New" w:eastAsia="Courier New" w:hAnsi="Courier New"/>
                <w:sz w:val="16"/>
                <w:szCs w:val="16"/>
              </w:rPr>
              <w:t xml:space="preserve">pca.tif</w:t>
            </w:r>
            <w:r>
              <w:rPr>
                <w:sz w:val="18"/>
                <w:szCs w:val="18"/>
              </w:rPr>
              <w:t xml:space="preserve">)</w:t>
            </w:r>
          </w:p>
        </w:tc>
        <w:tc>
          <w:tcPr>
            <w:tcW w:type="dxa" w:w="3313"/>
            <w:tcMar>
              <w:top w:type="dxa" w:w="60"/>
              <w:left w:type="dxa" w:w="90"/>
              <w:bottom w:type="dxa" w:w="60"/>
              <w:right w:type="dxa" w:w="90"/>
            </w:tcMar>
            <w:vAlign w:val="center"/>
          </w:tcPr>
          <w:p>
            <w:pPr>
              <w:spacing w:after="20" w:line="250"/>
            </w:pPr>
            <w:r>
              <w:rPr>
                <w:sz w:val="18"/>
                <w:szCs w:val="18"/>
              </w:rPr>
              <w:t xml:space="preserve">≤ 1.6 × 10⁻⁵ of each component's range</w:t>
            </w:r>
          </w:p>
        </w:tc>
        <w:tc>
          <w:tcPr>
            <w:tcW w:type="dxa" w:w="3012"/>
            <w:tcMar>
              <w:top w:type="dxa" w:w="60"/>
              <w:left w:type="dxa" w:w="90"/>
              <w:bottom w:type="dxa" w:w="60"/>
              <w:right w:type="dxa" w:w="90"/>
            </w:tcMar>
            <w:vAlign w:val="center"/>
          </w:tcPr>
          <w:p>
            <w:pPr>
              <w:spacing w:after="20" w:line="250"/>
            </w:pPr>
            <w:r>
              <w:rPr>
                <w:sz w:val="18"/>
                <w:szCs w:val="18"/>
              </w:rPr>
              <w:t xml:space="preserve">correlation 1.000000</w:t>
            </w:r>
          </w:p>
        </w:tc>
      </w:tr>
      <w:tr>
        <w:trPr>
          <w:cantSplit/>
        </w:trPr>
        <w:tc>
          <w:tcPr>
            <w:tcW w:type="dxa" w:w="3313"/>
            <w:shd w:fill="F3F6FA" w:color="auto" w:val="clear"/>
            <w:tcMar>
              <w:top w:type="dxa" w:w="60"/>
              <w:left w:type="dxa" w:w="90"/>
              <w:bottom w:type="dxa" w:w="60"/>
              <w:right w:type="dxa" w:w="90"/>
            </w:tcMar>
            <w:vAlign w:val="center"/>
          </w:tcPr>
          <w:p>
            <w:pPr>
              <w:spacing w:after="20" w:line="250"/>
            </w:pPr>
            <w:r>
              <w:rPr>
                <w:sz w:val="18"/>
                <w:szCs w:val="18"/>
              </w:rPr>
              <w:t xml:space="preserve">SAM angle / similarity</w:t>
            </w:r>
          </w:p>
        </w:tc>
        <w:tc>
          <w:tcPr>
            <w:tcW w:type="dxa" w:w="3313"/>
            <w:shd w:fill="F3F6FA" w:color="auto" w:val="clear"/>
            <w:tcMar>
              <w:top w:type="dxa" w:w="60"/>
              <w:left w:type="dxa" w:w="90"/>
              <w:bottom w:type="dxa" w:w="60"/>
              <w:right w:type="dxa" w:w="90"/>
            </w:tcMar>
            <w:vAlign w:val="center"/>
          </w:tcPr>
          <w:p>
            <w:pPr>
              <w:spacing w:after="20" w:line="250"/>
            </w:pPr>
            <w:r>
              <w:rPr>
                <w:sz w:val="18"/>
                <w:szCs w:val="18"/>
              </w:rPr>
              <w:t xml:space="preserve">1.1 × 10⁻⁶ rad / 1.2 × 10⁻⁷</w:t>
            </w:r>
          </w:p>
        </w:tc>
        <w:tc>
          <w:tcPr>
            <w:tcW w:type="dxa" w:w="3012"/>
            <w:shd w:fill="F3F6FA" w:color="auto" w:val="clear"/>
            <w:tcMar>
              <w:top w:type="dxa" w:w="60"/>
              <w:left w:type="dxa" w:w="90"/>
              <w:bottom w:type="dxa" w:w="60"/>
              <w:right w:type="dxa" w:w="90"/>
            </w:tcMar>
            <w:vAlign w:val="center"/>
          </w:tcPr>
          <w:p>
            <w:pPr>
              <w:spacing w:after="20" w:line="250"/>
            </w:pPr>
            <w:r>
              <w:rPr>
                <w:sz w:val="18"/>
                <w:szCs w:val="18"/>
              </w:rPr>
              <w:t xml:space="preserve">2 / 0 pixels above 10⁻⁶</w:t>
            </w:r>
          </w:p>
        </w:tc>
      </w:tr>
      <w:tr>
        <w:trPr>
          <w:cantSplit/>
        </w:trPr>
        <w:tc>
          <w:tcPr>
            <w:tcW w:type="dxa" w:w="3313"/>
            <w:tcMar>
              <w:top w:type="dxa" w:w="60"/>
              <w:left w:type="dxa" w:w="90"/>
              <w:bottom w:type="dxa" w:w="60"/>
              <w:right w:type="dxa" w:w="90"/>
            </w:tcMar>
            <w:vAlign w:val="center"/>
          </w:tcPr>
          <w:p>
            <w:pPr>
              <w:spacing w:after="20" w:line="250"/>
            </w:pPr>
            <w:r>
              <w:rPr>
                <w:sz w:val="18"/>
                <w:szCs w:val="18"/>
              </w:rPr>
              <w:t xml:space="preserve">SAM detection mask</w:t>
            </w:r>
          </w:p>
        </w:tc>
        <w:tc>
          <w:tcPr>
            <w:tcW w:type="dxa" w:w="3313"/>
            <w:tcMar>
              <w:top w:type="dxa" w:w="60"/>
              <w:left w:type="dxa" w:w="90"/>
              <w:bottom w:type="dxa" w:w="60"/>
              <w:right w:type="dxa" w:w="90"/>
            </w:tcMar>
            <w:vAlign w:val="center"/>
          </w:tcPr>
          <w:p>
            <w:pPr>
              <w:spacing w:after="20" w:line="250"/>
            </w:pPr>
            <w:r>
              <w:rPr>
                <w:sz w:val="18"/>
                <w:szCs w:val="18"/>
              </w:rPr>
              <w:t xml:space="preserve">0</w:t>
            </w:r>
          </w:p>
        </w:tc>
        <w:tc>
          <w:tcPr>
            <w:tcW w:type="dxa" w:w="3012"/>
            <w:tcMar>
              <w:top w:type="dxa" w:w="60"/>
              <w:left w:type="dxa" w:w="90"/>
              <w:bottom w:type="dxa" w:w="60"/>
              <w:right w:type="dxa" w:w="90"/>
            </w:tcMar>
            <w:vAlign w:val="center"/>
          </w:tcPr>
          <w:p>
            <w:pPr>
              <w:spacing w:after="20" w:line="250"/>
            </w:pPr>
            <w:r>
              <w:rPr>
                <w:sz w:val="18"/>
                <w:szCs w:val="18"/>
              </w:rPr>
              <w:t xml:space="preserve">identical</w:t>
            </w:r>
          </w:p>
        </w:tc>
      </w:tr>
    </w:tbl>
    <w:p>
      <w:pPr>
        <w:spacing w:after="120"/>
      </w:pPr>
    </w:p>
    <w:p>
      <w:r>
        <w:t xml:space="preserve">The single differing NDVI pixel and NDWI pixel sit where one input band is at the tile's minimum (most likely exactly zero), an edge case of the zero-operand rule between the two paths; it is recorded as a known issue (§9).</w:t>
      </w:r>
    </w:p>
    <w:p>
      <w:pPr>
        <w:pStyle w:val="Heading1"/>
      </w:pPr>
      <w:bookmarkStart w:name="_Toc27" w:id="27"/>
      <w:r>
        <w:t xml:space="preserve">9. Limitations</w:t>
      </w:r>
      <w:bookmarkEnd w:id="27"/>
    </w:p>
    <w:p>
      <w:pPr>
        <w:keepNext/>
        <w:spacing w:after="80" w:before="160"/>
      </w:pPr>
      <w:r>
        <w:rPr>
          <w:b/>
          <w:bCs/>
          <w:color w:val="52514E"/>
          <w:sz w:val="18"/>
          <w:szCs w:val="18"/>
        </w:rPr>
        <w:t xml:space="preserve">Table 10.</w:t>
      </w:r>
      <w:r>
        <w:rPr>
          <w:color w:val="52514E"/>
          <w:sz w:val="18"/>
          <w:szCs w:val="18"/>
        </w:rPr>
        <w:t xml:space="preserve"> Known limitations, with measured impact where available.</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584"/>
        <w:gridCol w:w="2920"/>
        <w:gridCol w:w="3358"/>
        <w:gridCol w:w="2776"/>
      </w:tblGrid>
      <w:tr>
        <w:trPr>
          <w:cantSplit/>
          <w:tblHeader/>
        </w:trPr>
        <w:tc>
          <w:tcPr>
            <w:tcW w:type="dxa" w:w="584"/>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w:t>
            </w:r>
          </w:p>
        </w:tc>
        <w:tc>
          <w:tcPr>
            <w:tcW w:type="dxa" w:w="2920"/>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Limitation</w:t>
            </w:r>
          </w:p>
        </w:tc>
        <w:tc>
          <w:tcPr>
            <w:tcW w:type="dxa" w:w="3358"/>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Impact</w:t>
            </w:r>
          </w:p>
        </w:tc>
        <w:tc>
          <w:tcPr>
            <w:tcW w:type="dxa" w:w="2776"/>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Mitigation</w:t>
            </w:r>
          </w:p>
        </w:tc>
      </w:tr>
      <w:tr>
        <w:trPr>
          <w:cantSplit/>
        </w:trPr>
        <w:tc>
          <w:tcPr>
            <w:tcW w:type="dxa" w:w="584"/>
            <w:tcMar>
              <w:top w:type="dxa" w:w="60"/>
              <w:left w:type="dxa" w:w="90"/>
              <w:bottom w:type="dxa" w:w="60"/>
              <w:right w:type="dxa" w:w="90"/>
            </w:tcMar>
            <w:vAlign w:val="center"/>
          </w:tcPr>
          <w:p>
            <w:pPr>
              <w:spacing w:after="20" w:line="250"/>
            </w:pPr>
            <w:r>
              <w:rPr>
                <w:sz w:val="18"/>
                <w:szCs w:val="18"/>
              </w:rPr>
              <w:t xml:space="preserve">L1</w:t>
            </w:r>
          </w:p>
        </w:tc>
        <w:tc>
          <w:tcPr>
            <w:tcW w:type="dxa" w:w="2920"/>
            <w:tcMar>
              <w:top w:type="dxa" w:w="60"/>
              <w:left w:type="dxa" w:w="90"/>
              <w:bottom w:type="dxa" w:w="60"/>
              <w:right w:type="dxa" w:w="90"/>
            </w:tcMar>
            <w:vAlign w:val="center"/>
          </w:tcPr>
          <w:p>
            <w:pPr>
              <w:spacing w:after="20" w:line="250"/>
            </w:pPr>
            <w:r>
              <w:rPr>
                <w:sz w:val="18"/>
                <w:szCs w:val="18"/>
              </w:rPr>
              <w:t xml:space="preserve">Raw bands are stretched per tile (Normalizer).</w:t>
            </w:r>
          </w:p>
        </w:tc>
        <w:tc>
          <w:tcPr>
            <w:tcW w:type="dxa" w:w="3358"/>
            <w:tcMar>
              <w:top w:type="dxa" w:w="60"/>
              <w:left w:type="dxa" w:w="90"/>
              <w:bottom w:type="dxa" w:w="60"/>
              <w:right w:type="dxa" w:w="90"/>
            </w:tcMar>
            <w:vAlign w:val="center"/>
          </w:tcPr>
          <w:p>
            <w:pPr>
              <w:spacing w:after="20" w:line="250"/>
            </w:pPr>
            <w:r>
              <w:rPr>
                <w:sz w:val="18"/>
                <w:szCs w:val="18"/>
              </w:rPr>
              <w:t xml:space="preserve">The same reflectance can look different in neighbouring tiles; indices are unaffected (computed before the stretch).</w:t>
            </w:r>
          </w:p>
        </w:tc>
        <w:tc>
          <w:tcPr>
            <w:tcW w:type="dxa" w:w="2776"/>
            <w:tcMar>
              <w:top w:type="dxa" w:w="60"/>
              <w:left w:type="dxa" w:w="90"/>
              <w:bottom w:type="dxa" w:w="60"/>
              <w:right w:type="dxa" w:w="90"/>
            </w:tcMar>
            <w:vAlign w:val="center"/>
          </w:tcPr>
          <w:p>
            <w:pPr>
              <w:spacing w:after="20" w:line="250"/>
            </w:pPr>
            <w:r>
              <w:rPr>
                <w:sz w:val="18"/>
                <w:szCs w:val="18"/>
              </w:rPr>
              <w:t xml:space="preserve">Use indices or the source cube for science; add a global two-pass stretch.</w:t>
            </w:r>
          </w:p>
        </w:tc>
      </w:tr>
      <w:tr>
        <w:trPr>
          <w:cantSplit/>
        </w:trPr>
        <w:tc>
          <w:tcPr>
            <w:tcW w:type="dxa" w:w="584"/>
            <w:shd w:fill="F3F6FA" w:color="auto" w:val="clear"/>
            <w:tcMar>
              <w:top w:type="dxa" w:w="60"/>
              <w:left w:type="dxa" w:w="90"/>
              <w:bottom w:type="dxa" w:w="60"/>
              <w:right w:type="dxa" w:w="90"/>
            </w:tcMar>
            <w:vAlign w:val="center"/>
          </w:tcPr>
          <w:p>
            <w:pPr>
              <w:spacing w:after="20" w:line="250"/>
            </w:pPr>
            <w:r>
              <w:rPr>
                <w:sz w:val="18"/>
                <w:szCs w:val="18"/>
              </w:rPr>
              <w:t xml:space="preserve">L2</w:t>
            </w:r>
          </w:p>
        </w:tc>
        <w:tc>
          <w:tcPr>
            <w:tcW w:type="dxa" w:w="2920"/>
            <w:shd w:fill="F3F6FA" w:color="auto" w:val="clear"/>
            <w:tcMar>
              <w:top w:type="dxa" w:w="60"/>
              <w:left w:type="dxa" w:w="90"/>
              <w:bottom w:type="dxa" w:w="60"/>
              <w:right w:type="dxa" w:w="90"/>
            </w:tcMar>
            <w:vAlign w:val="center"/>
          </w:tcPr>
          <w:p>
            <w:pPr>
              <w:spacing w:after="20" w:line="250"/>
            </w:pPr>
            <w:r>
              <w:rPr>
                <w:sz w:val="18"/>
                <w:szCs w:val="18"/>
              </w:rPr>
              <w:t xml:space="preserve">BadBandRemover masks a band that is &gt; 50 % no-data </w:t>
            </w:r>
            <w:r>
              <w:rPr>
                <w:sz w:val="18"/>
                <w:szCs w:val="18"/>
              </w:rPr>
              <w:t xml:space="preserve">in the tile</w:t>
            </w:r>
            <w:r>
              <w:rPr>
                <w:sz w:val="18"/>
                <w:szCs w:val="18"/>
              </w:rPr>
              <w:t xml:space="preserve">, and the scene's background counts as no-data.</w:t>
            </w:r>
          </w:p>
        </w:tc>
        <w:tc>
          <w:tcPr>
            <w:tcW w:type="dxa" w:w="3358"/>
            <w:shd w:fill="F3F6FA" w:color="auto" w:val="clear"/>
            <w:tcMar>
              <w:top w:type="dxa" w:w="60"/>
              <w:left w:type="dxa" w:w="90"/>
              <w:bottom w:type="dxa" w:w="60"/>
              <w:right w:type="dxa" w:w="90"/>
            </w:tcMar>
            <w:vAlign w:val="center"/>
          </w:tcPr>
          <w:p>
            <w:pPr>
              <w:spacing w:after="20" w:line="250"/>
            </w:pPr>
            <w:r>
              <w:rPr>
                <w:sz w:val="18"/>
                <w:szCs w:val="18"/>
              </w:rPr>
              <w:t xml:space="preserve">Edge tiles that are mostly background lose every index: 3 of 9 tiles on the test scene (60 %, 77 %, 97 % background) → </w:t>
            </w:r>
            <w:r>
              <w:rPr>
                <w:sz w:val="18"/>
                <w:szCs w:val="18"/>
              </w:rPr>
              <w:t xml:space="preserve">71,649 valid pixels, 6.7 % of the scene</w:t>
            </w:r>
            <w:r>
              <w:rPr>
                <w:sz w:val="18"/>
                <w:szCs w:val="18"/>
              </w:rPr>
              <w:t xml:space="preserve">.</w:t>
            </w:r>
          </w:p>
        </w:tc>
        <w:tc>
          <w:tcPr>
            <w:tcW w:type="dxa" w:w="2776"/>
            <w:shd w:fill="F3F6FA" w:color="auto" w:val="clear"/>
            <w:tcMar>
              <w:top w:type="dxa" w:w="60"/>
              <w:left w:type="dxa" w:w="90"/>
              <w:bottom w:type="dxa" w:w="60"/>
              <w:right w:type="dxa" w:w="90"/>
            </w:tcMar>
            <w:vAlign w:val="center"/>
          </w:tcPr>
          <w:p>
            <w:pPr>
              <w:spacing w:after="20" w:line="250"/>
            </w:pPr>
            <w:r>
              <w:rPr>
                <w:sz w:val="18"/>
                <w:szCs w:val="18"/>
              </w:rPr>
              <w:t xml:space="preserve">Compute the no-data fraction over the tile's valid footprint, or run the indices before the bad-band step.</w:t>
            </w:r>
          </w:p>
        </w:tc>
      </w:tr>
      <w:tr>
        <w:trPr>
          <w:cantSplit/>
        </w:trPr>
        <w:tc>
          <w:tcPr>
            <w:tcW w:type="dxa" w:w="584"/>
            <w:tcMar>
              <w:top w:type="dxa" w:w="60"/>
              <w:left w:type="dxa" w:w="90"/>
              <w:bottom w:type="dxa" w:w="60"/>
              <w:right w:type="dxa" w:w="90"/>
            </w:tcMar>
            <w:vAlign w:val="center"/>
          </w:tcPr>
          <w:p>
            <w:pPr>
              <w:spacing w:after="20" w:line="250"/>
            </w:pPr>
            <w:r>
              <w:rPr>
                <w:sz w:val="18"/>
                <w:szCs w:val="18"/>
              </w:rPr>
              <w:t xml:space="preserve">—</w:t>
            </w:r>
          </w:p>
        </w:tc>
        <w:tc>
          <w:tcPr>
            <w:tcW w:type="dxa" w:w="2920"/>
            <w:tcMar>
              <w:top w:type="dxa" w:w="60"/>
              <w:left w:type="dxa" w:w="90"/>
              <w:bottom w:type="dxa" w:w="60"/>
              <w:right w:type="dxa" w:w="90"/>
            </w:tcMar>
            <w:vAlign w:val="center"/>
          </w:tcPr>
          <w:p>
            <w:pPr>
              <w:spacing w:after="20" w:line="250"/>
            </w:pPr>
            <w:r>
              <w:rPr>
                <w:sz w:val="18"/>
                <w:szCs w:val="18"/>
              </w:rPr>
              <w:t xml:space="preserve">GPU backend shows no speed-up on Apple M4 Pro.</w:t>
            </w:r>
          </w:p>
        </w:tc>
        <w:tc>
          <w:tcPr>
            <w:tcW w:type="dxa" w:w="3358"/>
            <w:tcMar>
              <w:top w:type="dxa" w:w="60"/>
              <w:left w:type="dxa" w:w="90"/>
              <w:bottom w:type="dxa" w:w="60"/>
              <w:right w:type="dxa" w:w="90"/>
            </w:tcMar>
            <w:vAlign w:val="center"/>
          </w:tcPr>
          <w:p>
            <w:pPr>
              <w:spacing w:after="20" w:line="250"/>
            </w:pPr>
            <w:r>
              <w:rPr>
                <w:sz w:val="18"/>
                <w:szCs w:val="18"/>
              </w:rPr>
              <w:t xml:space="preserve">Indices are I/O-bound; GPU indices 9.1 s vs 2.5 s on CPU.</w:t>
            </w:r>
          </w:p>
        </w:tc>
        <w:tc>
          <w:tcPr>
            <w:tcW w:type="dxa" w:w="2776"/>
            <w:tcMar>
              <w:top w:type="dxa" w:w="60"/>
              <w:left w:type="dxa" w:w="90"/>
              <w:bottom w:type="dxa" w:w="60"/>
              <w:right w:type="dxa" w:w="90"/>
            </w:tcMar>
            <w:vAlign w:val="center"/>
          </w:tcPr>
          <w:p>
            <w:pPr>
              <w:spacing w:after="20" w:line="250"/>
            </w:pPr>
            <w:r>
              <w:rPr>
                <w:sz w:val="18"/>
                <w:szCs w:val="18"/>
              </w:rPr>
              <w:t xml:space="preserve">Use CPU (OpenMP) by default; evaluate on a discrete GPU.</w:t>
            </w:r>
          </w:p>
        </w:tc>
      </w:tr>
      <w:tr>
        <w:trPr>
          <w:cantSplit/>
        </w:trPr>
        <w:tc>
          <w:tcPr>
            <w:tcW w:type="dxa" w:w="584"/>
            <w:shd w:fill="F3F6FA" w:color="auto" w:val="clear"/>
            <w:tcMar>
              <w:top w:type="dxa" w:w="60"/>
              <w:left w:type="dxa" w:w="90"/>
              <w:bottom w:type="dxa" w:w="60"/>
              <w:right w:type="dxa" w:w="90"/>
            </w:tcMar>
            <w:vAlign w:val="center"/>
          </w:tcPr>
          <w:p>
            <w:pPr>
              <w:spacing w:after="20" w:line="250"/>
            </w:pPr>
            <w:r>
              <w:rPr>
                <w:sz w:val="18"/>
                <w:szCs w:val="18"/>
              </w:rPr>
              <w:t xml:space="preserve">—</w:t>
            </w:r>
          </w:p>
        </w:tc>
        <w:tc>
          <w:tcPr>
            <w:tcW w:type="dxa" w:w="2920"/>
            <w:shd w:fill="F3F6FA" w:color="auto" w:val="clear"/>
            <w:tcMar>
              <w:top w:type="dxa" w:w="60"/>
              <w:left w:type="dxa" w:w="90"/>
              <w:bottom w:type="dxa" w:w="60"/>
              <w:right w:type="dxa" w:w="90"/>
            </w:tcMar>
            <w:vAlign w:val="center"/>
          </w:tcPr>
          <w:p>
            <w:pPr>
              <w:spacing w:after="20" w:line="250"/>
            </w:pPr>
            <w:r>
              <w:rPr>
                <w:sz w:val="18"/>
                <w:szCs w:val="18"/>
              </w:rPr>
              <w:t xml:space="preserve">CPU/GPU zero-operand edge case.</w:t>
            </w:r>
          </w:p>
        </w:tc>
        <w:tc>
          <w:tcPr>
            <w:tcW w:type="dxa" w:w="3358"/>
            <w:shd w:fill="F3F6FA" w:color="auto" w:val="clear"/>
            <w:tcMar>
              <w:top w:type="dxa" w:w="60"/>
              <w:left w:type="dxa" w:w="90"/>
              <w:bottom w:type="dxa" w:w="60"/>
              <w:right w:type="dxa" w:w="90"/>
            </w:tcMar>
            <w:vAlign w:val="center"/>
          </w:tcPr>
          <w:p>
            <w:pPr>
              <w:spacing w:after="20" w:line="250"/>
            </w:pPr>
            <w:r>
              <w:rPr>
                <w:sz w:val="18"/>
                <w:szCs w:val="18"/>
              </w:rPr>
              <w:t xml:space="preserve">1 pixel in 1.53 million for NDVI and NDWI.</w:t>
            </w:r>
          </w:p>
        </w:tc>
        <w:tc>
          <w:tcPr>
            <w:tcW w:type="dxa" w:w="2776"/>
            <w:shd w:fill="F3F6FA" w:color="auto" w:val="clear"/>
            <w:tcMar>
              <w:top w:type="dxa" w:w="60"/>
              <w:left w:type="dxa" w:w="90"/>
              <w:bottom w:type="dxa" w:w="60"/>
              <w:right w:type="dxa" w:w="90"/>
            </w:tcMar>
            <w:vAlign w:val="center"/>
          </w:tcPr>
          <w:p>
            <w:pPr>
              <w:spacing w:after="20" w:line="250"/>
            </w:pPr>
            <w:r>
              <w:rPr>
                <w:sz w:val="18"/>
                <w:szCs w:val="18"/>
              </w:rPr>
              <w:t xml:space="preserve">Align the kernel's operand test with the CPU path.</w:t>
            </w:r>
          </w:p>
        </w:tc>
      </w:tr>
      <w:tr>
        <w:trPr>
          <w:cantSplit/>
        </w:trPr>
        <w:tc>
          <w:tcPr>
            <w:tcW w:type="dxa" w:w="584"/>
            <w:tcMar>
              <w:top w:type="dxa" w:w="60"/>
              <w:left w:type="dxa" w:w="90"/>
              <w:bottom w:type="dxa" w:w="60"/>
              <w:right w:type="dxa" w:w="90"/>
            </w:tcMar>
            <w:vAlign w:val="center"/>
          </w:tcPr>
          <w:p>
            <w:pPr>
              <w:spacing w:after="20" w:line="250"/>
            </w:pPr>
            <w:r>
              <w:rPr>
                <w:sz w:val="18"/>
                <w:szCs w:val="18"/>
              </w:rPr>
              <w:t xml:space="preserve">—</w:t>
            </w:r>
          </w:p>
        </w:tc>
        <w:tc>
          <w:tcPr>
            <w:tcW w:type="dxa" w:w="2920"/>
            <w:tcMar>
              <w:top w:type="dxa" w:w="60"/>
              <w:left w:type="dxa" w:w="90"/>
              <w:bottom w:type="dxa" w:w="60"/>
              <w:right w:type="dxa" w:w="90"/>
            </w:tcMar>
            <w:vAlign w:val="center"/>
          </w:tcPr>
          <w:p>
            <w:pPr>
              <w:spacing w:after="20" w:line="250"/>
            </w:pPr>
            <w:r>
              <w:rPr>
                <w:sz w:val="18"/>
                <w:szCs w:val="18"/>
              </w:rPr>
              <w:t xml:space="preserve">Apple has deprecated OpenCL (macOS 10.14+).</w:t>
            </w:r>
          </w:p>
        </w:tc>
        <w:tc>
          <w:tcPr>
            <w:tcW w:type="dxa" w:w="3358"/>
            <w:tcMar>
              <w:top w:type="dxa" w:w="60"/>
              <w:left w:type="dxa" w:w="90"/>
              <w:bottom w:type="dxa" w:w="60"/>
              <w:right w:type="dxa" w:w="90"/>
            </w:tcMar>
            <w:vAlign w:val="center"/>
          </w:tcPr>
          <w:p>
            <w:pPr>
              <w:spacing w:after="20" w:line="250"/>
            </w:pPr>
            <w:r>
              <w:rPr>
                <w:sz w:val="18"/>
                <w:szCs w:val="18"/>
              </w:rPr>
              <w:t xml:space="preserve">Still works, but may disappear in a future macOS.</w:t>
            </w:r>
          </w:p>
        </w:tc>
        <w:tc>
          <w:tcPr>
            <w:tcW w:type="dxa" w:w="2776"/>
            <w:tcMar>
              <w:top w:type="dxa" w:w="60"/>
              <w:left w:type="dxa" w:w="90"/>
              <w:bottom w:type="dxa" w:w="60"/>
              <w:right w:type="dxa" w:w="90"/>
            </w:tcMar>
            <w:vAlign w:val="center"/>
          </w:tcPr>
          <w:p>
            <w:pPr>
              <w:spacing w:after="20" w:line="250"/>
            </w:pPr>
            <w:r>
              <w:rPr>
                <w:sz w:val="18"/>
                <w:szCs w:val="18"/>
              </w:rPr>
              <w:t xml:space="preserve">A Metal or Vulkan backend would be the long-term path.</w:t>
            </w:r>
          </w:p>
        </w:tc>
      </w:tr>
      <w:tr>
        <w:trPr>
          <w:cantSplit/>
        </w:trPr>
        <w:tc>
          <w:tcPr>
            <w:tcW w:type="dxa" w:w="584"/>
            <w:shd w:fill="F3F6FA" w:color="auto" w:val="clear"/>
            <w:tcMar>
              <w:top w:type="dxa" w:w="60"/>
              <w:left w:type="dxa" w:w="90"/>
              <w:bottom w:type="dxa" w:w="60"/>
              <w:right w:type="dxa" w:w="90"/>
            </w:tcMar>
            <w:vAlign w:val="center"/>
          </w:tcPr>
          <w:p>
            <w:pPr>
              <w:spacing w:after="20" w:line="250"/>
            </w:pPr>
            <w:r>
              <w:rPr>
                <w:sz w:val="18"/>
                <w:szCs w:val="18"/>
              </w:rPr>
              <w:t xml:space="preserve">—</w:t>
            </w:r>
          </w:p>
        </w:tc>
        <w:tc>
          <w:tcPr>
            <w:tcW w:type="dxa" w:w="2920"/>
            <w:shd w:fill="F3F6FA" w:color="auto" w:val="clear"/>
            <w:tcMar>
              <w:top w:type="dxa" w:w="60"/>
              <w:left w:type="dxa" w:w="90"/>
              <w:bottom w:type="dxa" w:w="60"/>
              <w:right w:type="dxa" w:w="90"/>
            </w:tcMar>
            <w:vAlign w:val="center"/>
          </w:tcPr>
          <w:p>
            <w:pPr>
              <w:spacing w:after="20" w:line="250"/>
            </w:pPr>
            <w:r>
              <w:rPr>
                <w:sz w:val="18"/>
                <w:szCs w:val="18"/>
              </w:rPr>
              <w:t xml:space="preserve">Merged-GeoTIFF output deletes the tiles.</w:t>
            </w:r>
          </w:p>
        </w:tc>
        <w:tc>
          <w:tcPr>
            <w:tcW w:type="dxa" w:w="3358"/>
            <w:shd w:fill="F3F6FA" w:color="auto" w:val="clear"/>
            <w:tcMar>
              <w:top w:type="dxa" w:w="60"/>
              <w:left w:type="dxa" w:w="90"/>
              <w:bottom w:type="dxa" w:w="60"/>
              <w:right w:type="dxa" w:w="90"/>
            </w:tcMar>
            <w:vAlign w:val="center"/>
          </w:tcPr>
          <w:p>
            <w:pPr>
              <w:spacing w:after="20" w:line="250"/>
            </w:pPr>
            <w:r>
              <w:rPr>
                <w:sz w:val="18"/>
                <w:szCs w:val="18"/>
              </w:rPr>
              <w:t xml:space="preserve">The analytics plugin then has nothing to read.</w:t>
            </w:r>
          </w:p>
        </w:tc>
        <w:tc>
          <w:tcPr>
            <w:tcW w:type="dxa" w:w="2776"/>
            <w:shd w:fill="F3F6FA" w:color="auto" w:val="clear"/>
            <w:tcMar>
              <w:top w:type="dxa" w:w="60"/>
              <w:left w:type="dxa" w:w="90"/>
              <w:bottom w:type="dxa" w:w="60"/>
              <w:right w:type="dxa" w:w="90"/>
            </w:tcMar>
            <w:vAlign w:val="center"/>
          </w:tcPr>
          <w:p>
            <w:pPr>
              <w:spacing w:after="20" w:line="250"/>
            </w:pPr>
            <w:r>
              <w:rPr>
                <w:sz w:val="18"/>
                <w:szCs w:val="18"/>
              </w:rPr>
              <w:t xml:space="preserve">Choose VRT output when analytics will follow.</w:t>
            </w:r>
          </w:p>
        </w:tc>
      </w:tr>
    </w:tbl>
    <w:p>
      <w:pPr>
        <w:spacing w:after="120"/>
      </w:pPr>
    </w:p>
    <w:p>
      <w:pPr>
        <w:pStyle w:val="Heading1"/>
      </w:pPr>
      <w:bookmarkStart w:name="_Toc28" w:id="28"/>
      <w:r>
        <w:t xml:space="preserve">10. Troubleshooting</w:t>
      </w:r>
      <w:bookmarkEnd w:id="28"/>
    </w:p>
    <w:p>
      <w:pPr>
        <w:keepNext/>
        <w:spacing w:after="80" w:before="160"/>
      </w:pPr>
      <w:r>
        <w:rPr>
          <w:b/>
          <w:bCs/>
          <w:color w:val="52514E"/>
          <w:sz w:val="18"/>
          <w:szCs w:val="18"/>
        </w:rPr>
        <w:t xml:space="preserve">Table 11.</w:t>
      </w:r>
      <w:r>
        <w:rPr>
          <w:color w:val="52514E"/>
          <w:sz w:val="18"/>
          <w:szCs w:val="18"/>
        </w:rPr>
        <w:t xml:space="preserve"> Troubleshooting.</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3011"/>
        <w:gridCol w:w="3011"/>
        <w:gridCol w:w="3616"/>
      </w:tblGrid>
      <w:tr>
        <w:trPr>
          <w:cantSplit/>
          <w:tblHeader/>
        </w:trPr>
        <w:tc>
          <w:tcPr>
            <w:tcW w:type="dxa" w:w="3011"/>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Symptom</w:t>
            </w:r>
          </w:p>
        </w:tc>
        <w:tc>
          <w:tcPr>
            <w:tcW w:type="dxa" w:w="3011"/>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Cause</w:t>
            </w:r>
          </w:p>
        </w:tc>
        <w:tc>
          <w:tcPr>
            <w:tcW w:type="dxa" w:w="3616"/>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What to do</w:t>
            </w:r>
          </w:p>
        </w:tc>
      </w:tr>
      <w:tr>
        <w:trPr>
          <w:cantSplit/>
        </w:trPr>
        <w:tc>
          <w:tcPr>
            <w:tcW w:type="dxa" w:w="3011"/>
            <w:tcMar>
              <w:top w:type="dxa" w:w="60"/>
              <w:left w:type="dxa" w:w="90"/>
              <w:bottom w:type="dxa" w:w="60"/>
              <w:right w:type="dxa" w:w="90"/>
            </w:tcMar>
            <w:vAlign w:val="center"/>
          </w:tcPr>
          <w:p>
            <w:pPr>
              <w:spacing w:after="20" w:line="250"/>
            </w:pPr>
            <w:r>
              <w:rPr>
                <w:sz w:val="18"/>
                <w:szCs w:val="18"/>
              </w:rPr>
              <w:t xml:space="preserve">Engine row red: “hyperspatial_cli not found”</w:t>
            </w:r>
          </w:p>
        </w:tc>
        <w:tc>
          <w:tcPr>
            <w:tcW w:type="dxa" w:w="3011"/>
            <w:tcMar>
              <w:top w:type="dxa" w:w="60"/>
              <w:left w:type="dxa" w:w="90"/>
              <w:bottom w:type="dxa" w:w="60"/>
              <w:right w:type="dxa" w:w="90"/>
            </w:tcMar>
            <w:vAlign w:val="center"/>
          </w:tcPr>
          <w:p>
            <w:pPr>
              <w:spacing w:after="20" w:line="250"/>
            </w:pPr>
            <w:r>
              <w:rPr>
                <w:sz w:val="18"/>
                <w:szCs w:val="18"/>
              </w:rPr>
              <w:t xml:space="preserve">No saved path, not on PATH, no bundled copy</w:t>
            </w:r>
          </w:p>
        </w:tc>
        <w:tc>
          <w:tcPr>
            <w:tcW w:type="dxa" w:w="3616"/>
            <w:tcMar>
              <w:top w:type="dxa" w:w="60"/>
              <w:left w:type="dxa" w:w="90"/>
              <w:bottom w:type="dxa" w:w="60"/>
              <w:right w:type="dxa" w:w="90"/>
            </w:tcMar>
            <w:vAlign w:val="center"/>
          </w:tcPr>
          <w:p>
            <w:pPr>
              <w:spacing w:after="20" w:line="250"/>
            </w:pPr>
            <w:r>
              <w:rPr>
                <w:sz w:val="18"/>
                <w:szCs w:val="18"/>
              </w:rPr>
              <w:t xml:space="preserve">Click </w:t>
            </w:r>
            <w:r>
              <w:rPr>
                <w:sz w:val="18"/>
                <w:szCs w:val="18"/>
              </w:rPr>
              <w:t xml:space="preserve">Download engine</w:t>
            </w:r>
            <w:r>
              <w:rPr>
                <w:sz w:val="18"/>
                <w:szCs w:val="18"/>
              </w:rPr>
              <w:t xml:space="preserve">, or Browse to a built engine.</w:t>
            </w:r>
          </w:p>
        </w:tc>
      </w:tr>
      <w:tr>
        <w:trPr>
          <w:cantSplit/>
        </w:trPr>
        <w:tc>
          <w:tcPr>
            <w:tcW w:type="dxa" w:w="3011"/>
            <w:shd w:fill="F3F6FA" w:color="auto" w:val="clear"/>
            <w:tcMar>
              <w:top w:type="dxa" w:w="60"/>
              <w:left w:type="dxa" w:w="90"/>
              <w:bottom w:type="dxa" w:w="60"/>
              <w:right w:type="dxa" w:w="90"/>
            </w:tcMar>
            <w:vAlign w:val="center"/>
          </w:tcPr>
          <w:p>
            <w:pPr>
              <w:spacing w:after="20" w:line="250"/>
            </w:pPr>
            <w:r>
              <w:rPr>
                <w:sz w:val="18"/>
                <w:szCs w:val="18"/>
              </w:rPr>
              <w:t xml:space="preserve">Engine starts but cannot open the input</w:t>
            </w:r>
          </w:p>
        </w:tc>
        <w:tc>
          <w:tcPr>
            <w:tcW w:type="dxa" w:w="3011"/>
            <w:shd w:fill="F3F6FA" w:color="auto" w:val="clear"/>
            <w:tcMar>
              <w:top w:type="dxa" w:w="60"/>
              <w:left w:type="dxa" w:w="90"/>
              <w:bottom w:type="dxa" w:w="60"/>
              <w:right w:type="dxa" w:w="90"/>
            </w:tcMar>
            <w:vAlign w:val="center"/>
          </w:tcPr>
          <w:p>
            <w:pPr>
              <w:spacing w:after="20" w:line="250"/>
            </w:pPr>
            <w:r>
              <w:rPr>
                <w:sz w:val="18"/>
                <w:szCs w:val="18"/>
              </w:rPr>
              <w:t xml:space="preserve">GDAL mismatch or unsupported format</w:t>
            </w:r>
          </w:p>
        </w:tc>
        <w:tc>
          <w:tcPr>
            <w:tcW w:type="dxa" w:w="3616"/>
            <w:shd w:fill="F3F6FA" w:color="auto" w:val="clear"/>
            <w:tcMar>
              <w:top w:type="dxa" w:w="60"/>
              <w:left w:type="dxa" w:w="90"/>
              <w:bottom w:type="dxa" w:w="60"/>
              <w:right w:type="dxa" w:w="90"/>
            </w:tcMar>
            <w:vAlign w:val="center"/>
          </w:tcPr>
          <w:p>
            <w:pPr>
              <w:spacing w:after="20" w:line="250"/>
            </w:pPr>
            <w:r>
              <w:rPr>
                <w:sz w:val="18"/>
                <w:szCs w:val="18"/>
              </w:rPr>
              <w:t xml:space="preserve">Keep </w:t>
            </w:r>
            <w:r>
              <w:rPr>
                <w:rFonts w:ascii="Courier New" w:cs="Courier New" w:eastAsia="Courier New" w:hAnsi="Courier New"/>
                <w:sz w:val="16"/>
                <w:szCs w:val="16"/>
              </w:rPr>
              <w:t xml:space="preserve">engine_env()</w:t>
            </w:r>
            <w:r>
              <w:rPr>
                <w:sz w:val="18"/>
                <w:szCs w:val="18"/>
              </w:rPr>
              <w:t xml:space="preserve"> (QGIS's GDAL first); check the file opens in QGIS.</w:t>
            </w:r>
          </w:p>
        </w:tc>
      </w:tr>
      <w:tr>
        <w:trPr>
          <w:cantSplit/>
        </w:trPr>
        <w:tc>
          <w:tcPr>
            <w:tcW w:type="dxa" w:w="3011"/>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RESULT mode=openmp</w:t>
            </w:r>
            <w:r>
              <w:rPr>
                <w:sz w:val="18"/>
                <w:szCs w:val="18"/>
              </w:rPr>
              <w:t xml:space="preserve"> although GPU was chosen</w:t>
            </w:r>
          </w:p>
        </w:tc>
        <w:tc>
          <w:tcPr>
            <w:tcW w:type="dxa" w:w="3011"/>
            <w:tcMar>
              <w:top w:type="dxa" w:w="60"/>
              <w:left w:type="dxa" w:w="90"/>
              <w:bottom w:type="dxa" w:w="60"/>
              <w:right w:type="dxa" w:w="90"/>
            </w:tcMar>
            <w:vAlign w:val="center"/>
          </w:tcPr>
          <w:p>
            <w:pPr>
              <w:spacing w:after="20" w:line="250"/>
            </w:pPr>
            <w:r>
              <w:rPr>
                <w:sz w:val="18"/>
                <w:szCs w:val="18"/>
              </w:rPr>
              <w:t xml:space="preserve">OpenCL not available or failed</w:t>
            </w:r>
          </w:p>
        </w:tc>
        <w:tc>
          <w:tcPr>
            <w:tcW w:type="dxa" w:w="3616"/>
            <w:tcMar>
              <w:top w:type="dxa" w:w="60"/>
              <w:left w:type="dxa" w:w="90"/>
              <w:bottom w:type="dxa" w:w="60"/>
              <w:right w:type="dxa" w:w="90"/>
            </w:tcMar>
            <w:vAlign w:val="center"/>
          </w:tcPr>
          <w:p>
            <w:pPr>
              <w:spacing w:after="20" w:line="250"/>
            </w:pPr>
            <w:r>
              <w:rPr>
                <w:sz w:val="18"/>
                <w:szCs w:val="18"/>
              </w:rPr>
              <w:t xml:space="preserve">Expected fallback; results are identical. Check GPU drivers / ICD loader on Linux.</w:t>
            </w:r>
          </w:p>
        </w:tc>
      </w:tr>
      <w:tr>
        <w:trPr>
          <w:cantSplit/>
        </w:trPr>
        <w:tc>
          <w:tcPr>
            <w:tcW w:type="dxa" w:w="3011"/>
            <w:shd w:fill="F3F6FA" w:color="auto" w:val="clear"/>
            <w:tcMar>
              <w:top w:type="dxa" w:w="60"/>
              <w:left w:type="dxa" w:w="90"/>
              <w:bottom w:type="dxa" w:w="60"/>
              <w:right w:type="dxa" w:w="90"/>
            </w:tcMar>
            <w:vAlign w:val="center"/>
          </w:tcPr>
          <w:p>
            <w:pPr>
              <w:spacing w:after="20" w:line="250"/>
            </w:pPr>
            <w:r>
              <w:rPr>
                <w:sz w:val="18"/>
                <w:szCs w:val="18"/>
              </w:rPr>
              <w:t xml:space="preserve">Run reports exit code 2</w:t>
            </w:r>
          </w:p>
        </w:tc>
        <w:tc>
          <w:tcPr>
            <w:tcW w:type="dxa" w:w="3011"/>
            <w:shd w:fill="F3F6FA" w:color="auto" w:val="clear"/>
            <w:tcMar>
              <w:top w:type="dxa" w:w="60"/>
              <w:left w:type="dxa" w:w="90"/>
              <w:bottom w:type="dxa" w:w="60"/>
              <w:right w:type="dxa" w:w="90"/>
            </w:tcMar>
            <w:vAlign w:val="center"/>
          </w:tcPr>
          <w:p>
            <w:pPr>
              <w:spacing w:after="20" w:line="250"/>
            </w:pPr>
            <w:r>
              <w:rPr>
                <w:sz w:val="18"/>
                <w:szCs w:val="18"/>
              </w:rPr>
              <w:t xml:space="preserve">At least one tile failed</w:t>
            </w:r>
          </w:p>
        </w:tc>
        <w:tc>
          <w:tcPr>
            <w:tcW w:type="dxa" w:w="3616"/>
            <w:shd w:fill="F3F6FA" w:color="auto" w:val="clear"/>
            <w:tcMar>
              <w:top w:type="dxa" w:w="60"/>
              <w:left w:type="dxa" w:w="90"/>
              <w:bottom w:type="dxa" w:w="60"/>
              <w:right w:type="dxa" w:w="90"/>
            </w:tcMar>
            <w:vAlign w:val="center"/>
          </w:tcPr>
          <w:p>
            <w:pPr>
              <w:spacing w:after="20" w:line="250"/>
            </w:pPr>
            <w:r>
              <w:rPr>
                <w:sz w:val="18"/>
                <w:szCs w:val="18"/>
              </w:rPr>
              <w:t xml:space="preserve">Read the first error in the log; other tiles were still written.</w:t>
            </w:r>
          </w:p>
        </w:tc>
      </w:tr>
      <w:tr>
        <w:trPr>
          <w:cantSplit/>
        </w:trPr>
        <w:tc>
          <w:tcPr>
            <w:tcW w:type="dxa" w:w="3011"/>
            <w:tcMar>
              <w:top w:type="dxa" w:w="60"/>
              <w:left w:type="dxa" w:w="90"/>
              <w:bottom w:type="dxa" w:w="60"/>
              <w:right w:type="dxa" w:w="90"/>
            </w:tcMar>
            <w:vAlign w:val="center"/>
          </w:tcPr>
          <w:p>
            <w:pPr>
              <w:spacing w:after="20" w:line="250"/>
            </w:pPr>
            <w:r>
              <w:rPr>
                <w:sz w:val="18"/>
                <w:szCs w:val="18"/>
              </w:rPr>
              <w:t xml:space="preserve">Machine runs out of memory</w:t>
            </w:r>
          </w:p>
        </w:tc>
        <w:tc>
          <w:tcPr>
            <w:tcW w:type="dxa" w:w="3011"/>
            <w:tcMar>
              <w:top w:type="dxa" w:w="60"/>
              <w:left w:type="dxa" w:w="90"/>
              <w:bottom w:type="dxa" w:w="60"/>
              <w:right w:type="dxa" w:w="90"/>
            </w:tcMar>
            <w:vAlign w:val="center"/>
          </w:tcPr>
          <w:p>
            <w:pPr>
              <w:spacing w:after="20" w:line="250"/>
            </w:pPr>
            <w:r>
              <w:rPr>
                <w:sz w:val="18"/>
                <w:szCs w:val="18"/>
              </w:rPr>
              <w:t xml:space="preserve">Too many tiles in flight</w:t>
            </w:r>
          </w:p>
        </w:tc>
        <w:tc>
          <w:tcPr>
            <w:tcW w:type="dxa" w:w="3616"/>
            <w:tcMar>
              <w:top w:type="dxa" w:w="60"/>
              <w:left w:type="dxa" w:w="90"/>
              <w:bottom w:type="dxa" w:w="60"/>
              <w:right w:type="dxa" w:w="90"/>
            </w:tcMar>
            <w:vAlign w:val="center"/>
          </w:tcPr>
          <w:p>
            <w:pPr>
              <w:spacing w:after="20" w:line="250"/>
            </w:pPr>
            <w:r>
              <w:rPr>
                <w:sz w:val="18"/>
                <w:szCs w:val="18"/>
              </w:rPr>
              <w:t xml:space="preserve">Lower CPU Cores or </w:t>
            </w:r>
            <w:r>
              <w:rPr>
                <w:rFonts w:ascii="Courier New" w:cs="Courier New" w:eastAsia="Courier New" w:hAnsi="Courier New"/>
                <w:sz w:val="16"/>
                <w:szCs w:val="16"/>
              </w:rPr>
              <w:t xml:space="preserve">--tile-size</w:t>
            </w:r>
            <w:r>
              <w:rPr>
                <w:sz w:val="18"/>
                <w:szCs w:val="18"/>
              </w:rPr>
              <w:t xml:space="preserve">.</w:t>
            </w:r>
          </w:p>
        </w:tc>
      </w:tr>
      <w:tr>
        <w:trPr>
          <w:cantSplit/>
        </w:trPr>
        <w:tc>
          <w:tcPr>
            <w:tcW w:type="dxa" w:w="3011"/>
            <w:shd w:fill="F3F6FA" w:color="auto" w:val="clear"/>
            <w:tcMar>
              <w:top w:type="dxa" w:w="60"/>
              <w:left w:type="dxa" w:w="90"/>
              <w:bottom w:type="dxa" w:w="60"/>
              <w:right w:type="dxa" w:w="90"/>
            </w:tcMar>
            <w:vAlign w:val="center"/>
          </w:tcPr>
          <w:p>
            <w:pPr>
              <w:spacing w:after="20" w:line="250"/>
            </w:pPr>
            <w:r>
              <w:rPr>
                <w:sz w:val="18"/>
                <w:szCs w:val="18"/>
              </w:rPr>
              <w:t xml:space="preserve">Analytics plugin finds no tiles</w:t>
            </w:r>
          </w:p>
        </w:tc>
        <w:tc>
          <w:tcPr>
            <w:tcW w:type="dxa" w:w="3011"/>
            <w:shd w:fill="F3F6FA" w:color="auto" w:val="clear"/>
            <w:tcMar>
              <w:top w:type="dxa" w:w="60"/>
              <w:left w:type="dxa" w:w="90"/>
              <w:bottom w:type="dxa" w:w="60"/>
              <w:right w:type="dxa" w:w="90"/>
            </w:tcMar>
            <w:vAlign w:val="center"/>
          </w:tcPr>
          <w:p>
            <w:pPr>
              <w:spacing w:after="20" w:line="250"/>
            </w:pPr>
            <w:r>
              <w:rPr>
                <w:sz w:val="18"/>
                <w:szCs w:val="18"/>
              </w:rPr>
              <w:t xml:space="preserve">Merged-GeoTIFF mode removed them</w:t>
            </w:r>
          </w:p>
        </w:tc>
        <w:tc>
          <w:tcPr>
            <w:tcW w:type="dxa" w:w="3616"/>
            <w:shd w:fill="F3F6FA" w:color="auto" w:val="clear"/>
            <w:tcMar>
              <w:top w:type="dxa" w:w="60"/>
              <w:left w:type="dxa" w:w="90"/>
              <w:bottom w:type="dxa" w:w="60"/>
              <w:right w:type="dxa" w:w="90"/>
            </w:tcMar>
            <w:vAlign w:val="center"/>
          </w:tcPr>
          <w:p>
            <w:pPr>
              <w:spacing w:after="20" w:line="250"/>
            </w:pPr>
            <w:r>
              <w:rPr>
                <w:sz w:val="18"/>
                <w:szCs w:val="18"/>
              </w:rPr>
              <w:t xml:space="preserve">Re-run with Virtual Raster (.vrt) output.</w:t>
            </w:r>
          </w:p>
        </w:tc>
      </w:tr>
      <w:tr>
        <w:trPr>
          <w:cantSplit/>
        </w:trPr>
        <w:tc>
          <w:tcPr>
            <w:tcW w:type="dxa" w:w="3011"/>
            <w:tcMar>
              <w:top w:type="dxa" w:w="60"/>
              <w:left w:type="dxa" w:w="90"/>
              <w:bottom w:type="dxa" w:w="60"/>
              <w:right w:type="dxa" w:w="90"/>
            </w:tcMar>
            <w:vAlign w:val="center"/>
          </w:tcPr>
          <w:p>
            <w:pPr>
              <w:spacing w:after="20" w:line="250"/>
            </w:pPr>
            <w:r>
              <w:rPr>
                <w:sz w:val="18"/>
                <w:szCs w:val="18"/>
              </w:rPr>
              <w:t xml:space="preserve">SAM: “That pixel is all-nodata”</w:t>
            </w:r>
          </w:p>
        </w:tc>
        <w:tc>
          <w:tcPr>
            <w:tcW w:type="dxa" w:w="3011"/>
            <w:tcMar>
              <w:top w:type="dxa" w:w="60"/>
              <w:left w:type="dxa" w:w="90"/>
              <w:bottom w:type="dxa" w:w="60"/>
              <w:right w:type="dxa" w:w="90"/>
            </w:tcMar>
            <w:vAlign w:val="center"/>
          </w:tcPr>
          <w:p>
            <w:pPr>
              <w:spacing w:after="20" w:line="250"/>
            </w:pPr>
            <w:r>
              <w:rPr>
                <w:sz w:val="18"/>
                <w:szCs w:val="18"/>
              </w:rPr>
              <w:t xml:space="preserve">Click on the scene's black border</w:t>
            </w:r>
          </w:p>
        </w:tc>
        <w:tc>
          <w:tcPr>
            <w:tcW w:type="dxa" w:w="3616"/>
            <w:tcMar>
              <w:top w:type="dxa" w:w="60"/>
              <w:left w:type="dxa" w:w="90"/>
              <w:bottom w:type="dxa" w:w="60"/>
              <w:right w:type="dxa" w:w="90"/>
            </w:tcMar>
            <w:vAlign w:val="center"/>
          </w:tcPr>
          <w:p>
            <w:pPr>
              <w:spacing w:after="20" w:line="250"/>
            </w:pPr>
            <w:r>
              <w:rPr>
                <w:sz w:val="18"/>
                <w:szCs w:val="18"/>
              </w:rPr>
              <w:t xml:space="preserve">Click inside the image footprint.</w:t>
            </w:r>
          </w:p>
        </w:tc>
      </w:tr>
    </w:tbl>
    <w:p>
      <w:pPr>
        <w:spacing w:after="120"/>
      </w:pPr>
    </w:p>
    <w:p>
      <w:pPr>
        <w:pStyle w:val="Heading1"/>
      </w:pPr>
      <w:bookmarkStart w:name="_Toc29" w:id="29"/>
      <w:r>
        <w:t xml:space="preserve">Appendix A. Command-line reference</w:t>
      </w:r>
      <w:bookmarkEnd w:id="29"/>
    </w:p>
    <w:p>
      <w:pPr>
        <w:keepNext/>
        <w:spacing w:after="80" w:before="160"/>
      </w:pPr>
      <w:r>
        <w:rPr>
          <w:b/>
          <w:bCs/>
          <w:color w:val="52514E"/>
          <w:sz w:val="18"/>
          <w:szCs w:val="18"/>
        </w:rPr>
        <w:t xml:space="preserve">Table 12.</w:t>
      </w:r>
      <w:r>
        <w:rPr>
          <w:color w:val="52514E"/>
          <w:sz w:val="18"/>
          <w:szCs w:val="18"/>
        </w:rPr>
        <w:t xml:space="preserve"> Engine options.</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3614"/>
        <w:gridCol w:w="2108"/>
        <w:gridCol w:w="3916"/>
      </w:tblGrid>
      <w:tr>
        <w:trPr>
          <w:cantSplit/>
          <w:tblHeader/>
        </w:trPr>
        <w:tc>
          <w:tcPr>
            <w:tcW w:type="dxa" w:w="3614"/>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Flag</w:t>
            </w:r>
          </w:p>
        </w:tc>
        <w:tc>
          <w:tcPr>
            <w:tcW w:type="dxa" w:w="2108"/>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Default</w:t>
            </w:r>
          </w:p>
        </w:tc>
        <w:tc>
          <w:tcPr>
            <w:tcW w:type="dxa" w:w="3916"/>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Meaning</w:t>
            </w:r>
          </w:p>
        </w:tc>
      </w:tr>
      <w:tr>
        <w:trPr>
          <w:cantSplit/>
        </w:trPr>
        <w:tc>
          <w:tcPr>
            <w:tcW w:type="dxa" w:w="3614"/>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--input</w:t>
            </w:r>
          </w:p>
        </w:tc>
        <w:tc>
          <w:tcPr>
            <w:tcW w:type="dxa" w:w="2108"/>
            <w:tcMar>
              <w:top w:type="dxa" w:w="60"/>
              <w:left w:type="dxa" w:w="90"/>
              <w:bottom w:type="dxa" w:w="60"/>
              <w:right w:type="dxa" w:w="90"/>
            </w:tcMar>
            <w:vAlign w:val="center"/>
          </w:tcPr>
          <w:p>
            <w:pPr>
              <w:spacing w:after="20" w:line="250"/>
            </w:pPr>
            <w:r>
              <w:rPr>
                <w:sz w:val="18"/>
                <w:szCs w:val="18"/>
              </w:rPr>
              <w:t xml:space="preserve">required</w:t>
            </w:r>
          </w:p>
        </w:tc>
        <w:tc>
          <w:tcPr>
            <w:tcW w:type="dxa" w:w="3916"/>
            <w:tcMar>
              <w:top w:type="dxa" w:w="60"/>
              <w:left w:type="dxa" w:w="90"/>
              <w:bottom w:type="dxa" w:w="60"/>
              <w:right w:type="dxa" w:w="90"/>
            </w:tcMar>
            <w:vAlign w:val="center"/>
          </w:tcPr>
          <w:p>
            <w:pPr>
              <w:spacing w:after="20" w:line="250"/>
            </w:pPr>
            <w:r>
              <w:rPr>
                <w:sz w:val="18"/>
                <w:szCs w:val="18"/>
              </w:rPr>
              <w:t xml:space="preserve">Any GDAL-readable raster (EnMAP ENVI </w:t>
            </w:r>
            <w:r>
              <w:rPr>
                <w:rFonts w:ascii="Courier New" w:cs="Courier New" w:eastAsia="Courier New" w:hAnsi="Courier New"/>
                <w:sz w:val="16"/>
                <w:szCs w:val="16"/>
              </w:rPr>
              <w:t xml:space="preserve">.bsq</w:t>
            </w:r>
            <w:r>
              <w:rPr>
                <w:sz w:val="18"/>
                <w:szCs w:val="18"/>
              </w:rPr>
              <w:t xml:space="preserve">/</w:t>
            </w:r>
            <w:r>
              <w:rPr>
                <w:rFonts w:ascii="Courier New" w:cs="Courier New" w:eastAsia="Courier New" w:hAnsi="Courier New"/>
                <w:sz w:val="16"/>
                <w:szCs w:val="16"/>
              </w:rPr>
              <w:t xml:space="preserve">.hdr</w:t>
            </w:r>
            <w:r>
              <w:rPr>
                <w:sz w:val="18"/>
                <w:szCs w:val="18"/>
              </w:rPr>
              <w:t xml:space="preserve">, GeoTIFF …)</w:t>
            </w:r>
          </w:p>
        </w:tc>
      </w:tr>
      <w:tr>
        <w:trPr>
          <w:cantSplit/>
        </w:trPr>
        <w:tc>
          <w:tcPr>
            <w:tcW w:type="dxa" w:w="3614"/>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--output</w:t>
            </w:r>
          </w:p>
        </w:tc>
        <w:tc>
          <w:tcPr>
            <w:tcW w:type="dxa" w:w="2108"/>
            <w:shd w:fill="F3F6FA" w:color="auto" w:val="clear"/>
            <w:tcMar>
              <w:top w:type="dxa" w:w="60"/>
              <w:left w:type="dxa" w:w="90"/>
              <w:bottom w:type="dxa" w:w="60"/>
              <w:right w:type="dxa" w:w="90"/>
            </w:tcMar>
            <w:vAlign w:val="center"/>
          </w:tcPr>
          <w:p>
            <w:pPr>
              <w:spacing w:after="20" w:line="250"/>
            </w:pPr>
            <w:r>
              <w:rPr>
                <w:sz w:val="18"/>
                <w:szCs w:val="18"/>
              </w:rPr>
              <w:t xml:space="preserve">required</w:t>
            </w:r>
          </w:p>
        </w:tc>
        <w:tc>
          <w:tcPr>
            <w:tcW w:type="dxa" w:w="3916"/>
            <w:shd w:fill="F3F6FA" w:color="auto" w:val="clear"/>
            <w:tcMar>
              <w:top w:type="dxa" w:w="60"/>
              <w:left w:type="dxa" w:w="90"/>
              <w:bottom w:type="dxa" w:w="60"/>
              <w:right w:type="dxa" w:w="90"/>
            </w:tcMar>
            <w:vAlign w:val="center"/>
          </w:tcPr>
          <w:p>
            <w:pPr>
              <w:spacing w:after="20" w:line="250"/>
            </w:pPr>
            <w:r>
              <w:rPr>
                <w:sz w:val="18"/>
                <w:szCs w:val="18"/>
              </w:rPr>
              <w:t xml:space="preserve">Output folder (created; earlier engine outputs removed)</w:t>
            </w:r>
          </w:p>
        </w:tc>
      </w:tr>
      <w:tr>
        <w:trPr>
          <w:cantSplit/>
        </w:trPr>
        <w:tc>
          <w:tcPr>
            <w:tcW w:type="dxa" w:w="3614"/>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--operation</w:t>
            </w:r>
          </w:p>
        </w:tc>
        <w:tc>
          <w:tcPr>
            <w:tcW w:type="dxa" w:w="2108"/>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indices</w:t>
            </w:r>
          </w:p>
        </w:tc>
        <w:tc>
          <w:tcPr>
            <w:tcW w:type="dxa" w:w="3916"/>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indices</w:t>
            </w:r>
            <w:r>
              <w:rPr>
                <w:sz w:val="18"/>
                <w:szCs w:val="18"/>
              </w:rPr>
              <w:t xml:space="preserve"> · </w:t>
            </w:r>
            <w:r>
              <w:rPr>
                <w:rFonts w:ascii="Courier New" w:cs="Courier New" w:eastAsia="Courier New" w:hAnsi="Courier New"/>
                <w:sz w:val="16"/>
                <w:szCs w:val="16"/>
              </w:rPr>
              <w:t xml:space="preserve">pca</w:t>
            </w:r>
            <w:r>
              <w:rPr>
                <w:sz w:val="18"/>
                <w:szCs w:val="18"/>
              </w:rPr>
              <w:t xml:space="preserve"> · </w:t>
            </w:r>
            <w:r>
              <w:rPr>
                <w:rFonts w:ascii="Courier New" w:cs="Courier New" w:eastAsia="Courier New" w:hAnsi="Courier New"/>
                <w:sz w:val="16"/>
                <w:szCs w:val="16"/>
              </w:rPr>
              <w:t xml:space="preserve">sam</w:t>
            </w:r>
          </w:p>
        </w:tc>
      </w:tr>
      <w:tr>
        <w:trPr>
          <w:cantSplit/>
        </w:trPr>
        <w:tc>
          <w:tcPr>
            <w:tcW w:type="dxa" w:w="3614"/>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--mode</w:t>
            </w:r>
          </w:p>
        </w:tc>
        <w:tc>
          <w:tcPr>
            <w:tcW w:type="dxa" w:w="2108"/>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openmp</w:t>
            </w:r>
            <w:r>
              <w:rPr>
                <w:sz w:val="18"/>
                <w:szCs w:val="18"/>
              </w:rPr>
              <w:t xml:space="preserve"> (if built with OpenMP)</w:t>
            </w:r>
          </w:p>
        </w:tc>
        <w:tc>
          <w:tcPr>
            <w:tcW w:type="dxa" w:w="3916"/>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serial</w:t>
            </w:r>
            <w:r>
              <w:rPr>
                <w:sz w:val="18"/>
                <w:szCs w:val="18"/>
              </w:rPr>
              <w:t xml:space="preserve"> · </w:t>
            </w:r>
            <w:r>
              <w:rPr>
                <w:rFonts w:ascii="Courier New" w:cs="Courier New" w:eastAsia="Courier New" w:hAnsi="Courier New"/>
                <w:sz w:val="16"/>
                <w:szCs w:val="16"/>
              </w:rPr>
              <w:t xml:space="preserve">openmp</w:t>
            </w:r>
            <w:r>
              <w:rPr>
                <w:sz w:val="18"/>
                <w:szCs w:val="18"/>
              </w:rPr>
              <w:t xml:space="preserve"> · </w:t>
            </w:r>
            <w:r>
              <w:rPr>
                <w:rFonts w:ascii="Courier New" w:cs="Courier New" w:eastAsia="Courier New" w:hAnsi="Courier New"/>
                <w:sz w:val="16"/>
                <w:szCs w:val="16"/>
              </w:rPr>
              <w:t xml:space="preserve">gpu</w:t>
            </w:r>
          </w:p>
        </w:tc>
      </w:tr>
      <w:tr>
        <w:trPr>
          <w:cantSplit/>
        </w:trPr>
        <w:tc>
          <w:tcPr>
            <w:tcW w:type="dxa" w:w="3614"/>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--tile-size</w:t>
            </w:r>
          </w:p>
        </w:tc>
        <w:tc>
          <w:tcPr>
            <w:tcW w:type="dxa" w:w="2108"/>
            <w:tcMar>
              <w:top w:type="dxa" w:w="60"/>
              <w:left w:type="dxa" w:w="90"/>
              <w:bottom w:type="dxa" w:w="60"/>
              <w:right w:type="dxa" w:w="90"/>
            </w:tcMar>
            <w:vAlign w:val="center"/>
          </w:tcPr>
          <w:p>
            <w:pPr>
              <w:spacing w:after="20" w:line="250"/>
            </w:pPr>
            <w:r>
              <w:rPr>
                <w:sz w:val="18"/>
                <w:szCs w:val="18"/>
              </w:rPr>
              <w:t xml:space="preserve">512</w:t>
            </w:r>
          </w:p>
        </w:tc>
        <w:tc>
          <w:tcPr>
            <w:tcW w:type="dxa" w:w="3916"/>
            <w:tcMar>
              <w:top w:type="dxa" w:w="60"/>
              <w:left w:type="dxa" w:w="90"/>
              <w:bottom w:type="dxa" w:w="60"/>
              <w:right w:type="dxa" w:w="90"/>
            </w:tcMar>
            <w:vAlign w:val="center"/>
          </w:tcPr>
          <w:p>
            <w:pPr>
              <w:spacing w:after="20" w:line="250"/>
            </w:pPr>
            <w:r>
              <w:rPr>
                <w:sz w:val="18"/>
                <w:szCs w:val="18"/>
              </w:rPr>
              <w:t xml:space="preserve">Square tile edge in pixels</w:t>
            </w:r>
          </w:p>
        </w:tc>
      </w:tr>
      <w:tr>
        <w:trPr>
          <w:cantSplit/>
        </w:trPr>
        <w:tc>
          <w:tcPr>
            <w:tcW w:type="dxa" w:w="3614"/>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--threads</w:t>
            </w:r>
          </w:p>
        </w:tc>
        <w:tc>
          <w:tcPr>
            <w:tcW w:type="dxa" w:w="2108"/>
            <w:shd w:fill="F3F6FA" w:color="auto" w:val="clear"/>
            <w:tcMar>
              <w:top w:type="dxa" w:w="60"/>
              <w:left w:type="dxa" w:w="90"/>
              <w:bottom w:type="dxa" w:w="60"/>
              <w:right w:type="dxa" w:w="90"/>
            </w:tcMar>
            <w:vAlign w:val="center"/>
          </w:tcPr>
          <w:p>
            <w:pPr>
              <w:spacing w:after="20" w:line="250"/>
            </w:pPr>
            <w:r>
              <w:rPr>
                <w:sz w:val="18"/>
                <w:szCs w:val="18"/>
              </w:rPr>
              <w:t xml:space="preserve">0 (all cores)</w:t>
            </w:r>
          </w:p>
        </w:tc>
        <w:tc>
          <w:tcPr>
            <w:tcW w:type="dxa" w:w="3916"/>
            <w:shd w:fill="F3F6FA" w:color="auto" w:val="clear"/>
            <w:tcMar>
              <w:top w:type="dxa" w:w="60"/>
              <w:left w:type="dxa" w:w="90"/>
              <w:bottom w:type="dxa" w:w="60"/>
              <w:right w:type="dxa" w:w="90"/>
            </w:tcMar>
            <w:vAlign w:val="center"/>
          </w:tcPr>
          <w:p>
            <w:pPr>
              <w:spacing w:after="20" w:line="250"/>
            </w:pPr>
            <w:r>
              <w:rPr>
                <w:sz w:val="18"/>
                <w:szCs w:val="18"/>
              </w:rPr>
              <w:t xml:space="preserve">OpenMP threads, clamped to the hardware</w:t>
            </w:r>
          </w:p>
        </w:tc>
      </w:tr>
      <w:tr>
        <w:trPr>
          <w:cantSplit/>
        </w:trPr>
        <w:tc>
          <w:tcPr>
            <w:tcW w:type="dxa" w:w="3614"/>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--nodata-val</w:t>
            </w:r>
          </w:p>
        </w:tc>
        <w:tc>
          <w:tcPr>
            <w:tcW w:type="dxa" w:w="2108"/>
            <w:tcMar>
              <w:top w:type="dxa" w:w="60"/>
              <w:left w:type="dxa" w:w="90"/>
              <w:bottom w:type="dxa" w:w="60"/>
              <w:right w:type="dxa" w:w="90"/>
            </w:tcMar>
            <w:vAlign w:val="center"/>
          </w:tcPr>
          <w:p>
            <w:pPr>
              <w:spacing w:after="20" w:line="250"/>
            </w:pPr>
            <w:r>
              <w:rPr>
                <w:sz w:val="18"/>
                <w:szCs w:val="18"/>
              </w:rPr>
              <w:t xml:space="preserve">−9999</w:t>
            </w:r>
          </w:p>
        </w:tc>
        <w:tc>
          <w:tcPr>
            <w:tcW w:type="dxa" w:w="3916"/>
            <w:tcMar>
              <w:top w:type="dxa" w:w="60"/>
              <w:left w:type="dxa" w:w="90"/>
              <w:bottom w:type="dxa" w:w="60"/>
              <w:right w:type="dxa" w:w="90"/>
            </w:tcMar>
            <w:vAlign w:val="center"/>
          </w:tcPr>
          <w:p>
            <w:pPr>
              <w:spacing w:after="20" w:line="250"/>
            </w:pPr>
            <w:r>
              <w:rPr>
                <w:sz w:val="18"/>
                <w:szCs w:val="18"/>
              </w:rPr>
              <w:t xml:space="preserve">Fallback no-data value when the file declares none</w:t>
            </w:r>
          </w:p>
        </w:tc>
      </w:tr>
      <w:tr>
        <w:trPr>
          <w:cantSplit/>
        </w:trPr>
        <w:tc>
          <w:tcPr>
            <w:tcW w:type="dxa" w:w="3614"/>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--nir-band</w:t>
            </w:r>
            <w:r>
              <w:rPr>
                <w:sz w:val="18"/>
                <w:szCs w:val="18"/>
              </w:rPr>
              <w:t xml:space="preserve"> </w:t>
            </w:r>
            <w:r>
              <w:rPr>
                <w:rFonts w:ascii="Courier New" w:cs="Courier New" w:eastAsia="Courier New" w:hAnsi="Courier New"/>
                <w:sz w:val="16"/>
                <w:szCs w:val="16"/>
              </w:rPr>
              <w:t xml:space="preserve">--red-band</w:t>
            </w:r>
            <w:r>
              <w:rPr>
                <w:sz w:val="18"/>
                <w:szCs w:val="18"/>
              </w:rPr>
              <w:t xml:space="preserve"> </w:t>
            </w:r>
            <w:r>
              <w:rPr>
                <w:rFonts w:ascii="Courier New" w:cs="Courier New" w:eastAsia="Courier New" w:hAnsi="Courier New"/>
                <w:sz w:val="16"/>
                <w:szCs w:val="16"/>
              </w:rPr>
              <w:t xml:space="preserve">--green-band</w:t>
            </w:r>
            <w:r>
              <w:rPr>
                <w:sz w:val="18"/>
                <w:szCs w:val="18"/>
              </w:rPr>
              <w:t xml:space="preserve"> </w:t>
            </w:r>
            <w:r>
              <w:rPr>
                <w:rFonts w:ascii="Courier New" w:cs="Courier New" w:eastAsia="Courier New" w:hAnsi="Courier New"/>
                <w:sz w:val="16"/>
                <w:szCs w:val="16"/>
              </w:rPr>
              <w:t xml:space="preserve">--swir-band</w:t>
            </w:r>
            <w:r>
              <w:rPr>
                <w:sz w:val="18"/>
                <w:szCs w:val="18"/>
              </w:rPr>
              <w:t xml:space="preserve"> </w:t>
            </w:r>
            <w:r>
              <w:rPr>
                <w:rFonts w:ascii="Courier New" w:cs="Courier New" w:eastAsia="Courier New" w:hAnsi="Courier New"/>
                <w:sz w:val="16"/>
                <w:szCs w:val="16"/>
              </w:rPr>
              <w:t xml:space="preserve">--blue-band</w:t>
            </w:r>
          </w:p>
        </w:tc>
        <w:tc>
          <w:tcPr>
            <w:tcW w:type="dxa" w:w="2108"/>
            <w:shd w:fill="F3F6FA" w:color="auto" w:val="clear"/>
            <w:tcMar>
              <w:top w:type="dxa" w:w="60"/>
              <w:left w:type="dxa" w:w="90"/>
              <w:bottom w:type="dxa" w:w="60"/>
              <w:right w:type="dxa" w:w="90"/>
            </w:tcMar>
            <w:vAlign w:val="center"/>
          </w:tcPr>
          <w:p>
            <w:pPr>
              <w:spacing w:after="20" w:line="250"/>
            </w:pPr>
            <w:r>
              <w:rPr>
                <w:sz w:val="18"/>
                <w:szCs w:val="18"/>
              </w:rPr>
              <w:t xml:space="preserve">auto</w:t>
            </w:r>
          </w:p>
        </w:tc>
        <w:tc>
          <w:tcPr>
            <w:tcW w:type="dxa" w:w="3916"/>
            <w:shd w:fill="F3F6FA" w:color="auto" w:val="clear"/>
            <w:tcMar>
              <w:top w:type="dxa" w:w="60"/>
              <w:left w:type="dxa" w:w="90"/>
              <w:bottom w:type="dxa" w:w="60"/>
              <w:right w:type="dxa" w:w="90"/>
            </w:tcMar>
            <w:vAlign w:val="center"/>
          </w:tcPr>
          <w:p>
            <w:pPr>
              <w:spacing w:after="20" w:line="250"/>
            </w:pPr>
            <w:r>
              <w:rPr>
                <w:sz w:val="18"/>
                <w:szCs w:val="18"/>
              </w:rPr>
              <w:t xml:space="preserve">1-based band override for a role</w:t>
            </w:r>
          </w:p>
        </w:tc>
      </w:tr>
      <w:tr>
        <w:trPr>
          <w:cantSplit/>
        </w:trPr>
        <w:tc>
          <w:tcPr>
            <w:tcW w:type="dxa" w:w="3614"/>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--pca-components</w:t>
            </w:r>
          </w:p>
        </w:tc>
        <w:tc>
          <w:tcPr>
            <w:tcW w:type="dxa" w:w="2108"/>
            <w:tcMar>
              <w:top w:type="dxa" w:w="60"/>
              <w:left w:type="dxa" w:w="90"/>
              <w:bottom w:type="dxa" w:w="60"/>
              <w:right w:type="dxa" w:w="90"/>
            </w:tcMar>
            <w:vAlign w:val="center"/>
          </w:tcPr>
          <w:p>
            <w:pPr>
              <w:spacing w:after="20" w:line="250"/>
            </w:pPr>
            <w:r>
              <w:rPr>
                <w:sz w:val="18"/>
                <w:szCs w:val="18"/>
              </w:rPr>
              <w:t xml:space="preserve">3</w:t>
            </w:r>
          </w:p>
        </w:tc>
        <w:tc>
          <w:tcPr>
            <w:tcW w:type="dxa" w:w="3916"/>
            <w:tcMar>
              <w:top w:type="dxa" w:w="60"/>
              <w:left w:type="dxa" w:w="90"/>
              <w:bottom w:type="dxa" w:w="60"/>
              <w:right w:type="dxa" w:w="90"/>
            </w:tcMar>
            <w:vAlign w:val="center"/>
          </w:tcPr>
          <w:p>
            <w:pPr>
              <w:spacing w:after="20" w:line="250"/>
            </w:pPr>
            <w:r>
              <w:rPr>
                <w:sz w:val="18"/>
                <w:szCs w:val="18"/>
              </w:rPr>
              <w:t xml:space="preserve">Components written to </w:t>
            </w:r>
            <w:r>
              <w:rPr>
                <w:rFonts w:ascii="Courier New" w:cs="Courier New" w:eastAsia="Courier New" w:hAnsi="Courier New"/>
                <w:sz w:val="16"/>
                <w:szCs w:val="16"/>
              </w:rPr>
              <w:t xml:space="preserve">pca.tif</w:t>
            </w:r>
          </w:p>
        </w:tc>
      </w:tr>
      <w:tr>
        <w:trPr>
          <w:cantSplit/>
        </w:trPr>
        <w:tc>
          <w:tcPr>
            <w:tcW w:type="dxa" w:w="3614"/>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--pca-matrix</w:t>
            </w:r>
          </w:p>
        </w:tc>
        <w:tc>
          <w:tcPr>
            <w:tcW w:type="dxa" w:w="2108"/>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covariance</w:t>
            </w:r>
          </w:p>
        </w:tc>
        <w:tc>
          <w:tcPr>
            <w:tcW w:type="dxa" w:w="3916"/>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covariance</w:t>
            </w:r>
            <w:r>
              <w:rPr>
                <w:sz w:val="18"/>
                <w:szCs w:val="18"/>
              </w:rPr>
              <w:t xml:space="preserve"> or </w:t>
            </w:r>
            <w:r>
              <w:rPr>
                <w:rFonts w:ascii="Courier New" w:cs="Courier New" w:eastAsia="Courier New" w:hAnsi="Courier New"/>
                <w:sz w:val="16"/>
                <w:szCs w:val="16"/>
              </w:rPr>
              <w:t xml:space="preserve">correlation</w:t>
            </w:r>
          </w:p>
        </w:tc>
      </w:tr>
      <w:tr>
        <w:trPr>
          <w:cantSplit/>
        </w:trPr>
        <w:tc>
          <w:tcPr>
            <w:tcW w:type="dxa" w:w="3614"/>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--sam-spectrum</w:t>
            </w:r>
          </w:p>
        </w:tc>
        <w:tc>
          <w:tcPr>
            <w:tcW w:type="dxa" w:w="2108"/>
            <w:tcMar>
              <w:top w:type="dxa" w:w="60"/>
              <w:left w:type="dxa" w:w="90"/>
              <w:bottom w:type="dxa" w:w="60"/>
              <w:right w:type="dxa" w:w="90"/>
            </w:tcMar>
            <w:vAlign w:val="center"/>
          </w:tcPr>
          <w:p>
            <w:pPr>
              <w:spacing w:after="20" w:line="250"/>
            </w:pPr>
            <w:r>
              <w:rPr>
                <w:sz w:val="18"/>
                <w:szCs w:val="18"/>
              </w:rPr>
              <w:t xml:space="preserve">required for SAM</w:t>
            </w:r>
          </w:p>
        </w:tc>
        <w:tc>
          <w:tcPr>
            <w:tcW w:type="dxa" w:w="3916"/>
            <w:tcMar>
              <w:top w:type="dxa" w:w="60"/>
              <w:left w:type="dxa" w:w="90"/>
              <w:bottom w:type="dxa" w:w="60"/>
              <w:right w:type="dxa" w:w="90"/>
            </w:tcMar>
            <w:vAlign w:val="center"/>
          </w:tcPr>
          <w:p>
            <w:pPr>
              <w:spacing w:after="20" w:line="250"/>
            </w:pPr>
            <w:r>
              <w:rPr>
                <w:sz w:val="18"/>
                <w:szCs w:val="18"/>
              </w:rPr>
              <w:t xml:space="preserve">Comma-separated reference spectrum, one value per band</w:t>
            </w:r>
          </w:p>
        </w:tc>
      </w:tr>
      <w:tr>
        <w:trPr>
          <w:cantSplit/>
        </w:trPr>
        <w:tc>
          <w:tcPr>
            <w:tcW w:type="dxa" w:w="3614"/>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--sam-threshold</w:t>
            </w:r>
          </w:p>
        </w:tc>
        <w:tc>
          <w:tcPr>
            <w:tcW w:type="dxa" w:w="2108"/>
            <w:shd w:fill="F3F6FA" w:color="auto" w:val="clear"/>
            <w:tcMar>
              <w:top w:type="dxa" w:w="60"/>
              <w:left w:type="dxa" w:w="90"/>
              <w:bottom w:type="dxa" w:w="60"/>
              <w:right w:type="dxa" w:w="90"/>
            </w:tcMar>
            <w:vAlign w:val="center"/>
          </w:tcPr>
          <w:p>
            <w:pPr>
              <w:spacing w:after="20" w:line="250"/>
            </w:pPr>
            <w:r>
              <w:rPr>
                <w:sz w:val="18"/>
                <w:szCs w:val="18"/>
              </w:rPr>
              <w:t xml:space="preserve">off</w:t>
            </w:r>
          </w:p>
        </w:tc>
        <w:tc>
          <w:tcPr>
            <w:tcW w:type="dxa" w:w="3916"/>
            <w:shd w:fill="F3F6FA" w:color="auto" w:val="clear"/>
            <w:tcMar>
              <w:top w:type="dxa" w:w="60"/>
              <w:left w:type="dxa" w:w="90"/>
              <w:bottom w:type="dxa" w:w="60"/>
              <w:right w:type="dxa" w:w="90"/>
            </w:tcMar>
            <w:vAlign w:val="center"/>
          </w:tcPr>
          <w:p>
            <w:pPr>
              <w:spacing w:after="20" w:line="250"/>
            </w:pPr>
            <w:r>
              <w:rPr>
                <w:sz w:val="18"/>
                <w:szCs w:val="18"/>
              </w:rPr>
              <w:t xml:space="preserve">Max angle (radians); also writes </w:t>
            </w:r>
            <w:r>
              <w:rPr>
                <w:rFonts w:ascii="Courier New" w:cs="Courier New" w:eastAsia="Courier New" w:hAnsi="Courier New"/>
                <w:sz w:val="16"/>
                <w:szCs w:val="16"/>
              </w:rPr>
              <w:t xml:space="preserve">sam_mask.tif</w:t>
            </w:r>
          </w:p>
        </w:tc>
      </w:tr>
      <w:tr>
        <w:trPr>
          <w:cantSplit/>
        </w:trPr>
        <w:tc>
          <w:tcPr>
            <w:tcW w:type="dxa" w:w="3614"/>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--sam-emit-similarity</w:t>
            </w:r>
          </w:p>
        </w:tc>
        <w:tc>
          <w:tcPr>
            <w:tcW w:type="dxa" w:w="2108"/>
            <w:tcMar>
              <w:top w:type="dxa" w:w="60"/>
              <w:left w:type="dxa" w:w="90"/>
              <w:bottom w:type="dxa" w:w="60"/>
              <w:right w:type="dxa" w:w="90"/>
            </w:tcMar>
            <w:vAlign w:val="center"/>
          </w:tcPr>
          <w:p>
            <w:pPr>
              <w:spacing w:after="20" w:line="250"/>
            </w:pPr>
            <w:r>
              <w:rPr>
                <w:sz w:val="18"/>
                <w:szCs w:val="18"/>
              </w:rPr>
              <w:t xml:space="preserve">off</w:t>
            </w:r>
          </w:p>
        </w:tc>
        <w:tc>
          <w:tcPr>
            <w:tcW w:type="dxa" w:w="3916"/>
            <w:tcMar>
              <w:top w:type="dxa" w:w="60"/>
              <w:left w:type="dxa" w:w="90"/>
              <w:bottom w:type="dxa" w:w="60"/>
              <w:right w:type="dxa" w:w="90"/>
            </w:tcMar>
            <w:vAlign w:val="center"/>
          </w:tcPr>
          <w:p>
            <w:pPr>
              <w:spacing w:after="20" w:line="250"/>
            </w:pPr>
            <w:r>
              <w:rPr>
                <w:sz w:val="18"/>
                <w:szCs w:val="18"/>
              </w:rPr>
              <w:t xml:space="preserve">Also writes </w:t>
            </w:r>
            <w:r>
              <w:rPr>
                <w:rFonts w:ascii="Courier New" w:cs="Courier New" w:eastAsia="Courier New" w:hAnsi="Courier New"/>
                <w:sz w:val="16"/>
                <w:szCs w:val="16"/>
              </w:rPr>
              <w:t xml:space="preserve">sam_similarity.tif</w:t>
            </w:r>
            <w:r>
              <w:rPr>
                <w:sz w:val="18"/>
                <w:szCs w:val="18"/>
              </w:rPr>
              <w:t xml:space="preserve"> (1 − θ/π)</w:t>
            </w:r>
          </w:p>
        </w:tc>
      </w:tr>
    </w:tbl>
    <w:p>
      <w:pPr>
        <w:spacing w:after="120"/>
      </w:pPr>
    </w:p>
    <w:p>
      <w:pPr>
        <w:pStyle w:val="Heading1"/>
      </w:pPr>
      <w:bookmarkStart w:name="_Toc30" w:id="30"/>
      <w:r>
        <w:t xml:space="preserve">Appendix B. Output band layout</w:t>
      </w:r>
      <w:bookmarkEnd w:id="30"/>
    </w:p>
    <w:p>
      <w:pPr>
        <w:keepNext/>
        <w:spacing w:after="80" w:before="160"/>
      </w:pPr>
      <w:r>
        <w:rPr>
          <w:b/>
          <w:bCs/>
          <w:color w:val="52514E"/>
          <w:sz w:val="18"/>
          <w:szCs w:val="18"/>
        </w:rPr>
        <w:t xml:space="preserve">Table 13.</w:t>
      </w:r>
      <w:r>
        <w:rPr>
          <w:color w:val="52514E"/>
          <w:sz w:val="18"/>
          <w:szCs w:val="18"/>
        </w:rPr>
        <w:t xml:space="preserve"> Tile band layout. Readers locate the indices by offset from the band count, never by a hard-coded number.</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3614"/>
        <w:gridCol w:w="6024"/>
      </w:tblGrid>
      <w:tr>
        <w:trPr>
          <w:cantSplit/>
          <w:tblHeader/>
        </w:trPr>
        <w:tc>
          <w:tcPr>
            <w:tcW w:type="dxa" w:w="3614"/>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Bands of every </w:t>
            </w:r>
            <w:r>
              <w:rPr>
                <w:rFonts w:ascii="Courier New" w:cs="Courier New" w:eastAsia="Courier New" w:hAnsi="Courier New"/>
                <w:b/>
                <w:bCs/>
                <w:color w:val="FFFFFF"/>
                <w:sz w:val="16"/>
                <w:szCs w:val="16"/>
              </w:rPr>
              <w:t xml:space="preserve">tile_r####_c####.tif</w:t>
            </w:r>
          </w:p>
        </w:tc>
        <w:tc>
          <w:tcPr>
            <w:tcW w:type="dxa" w:w="6024"/>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Content</w:t>
            </w:r>
          </w:p>
        </w:tc>
      </w:tr>
      <w:tr>
        <w:trPr>
          <w:cantSplit/>
        </w:trPr>
        <w:tc>
          <w:tcPr>
            <w:tcW w:type="dxa" w:w="3614"/>
            <w:tcMar>
              <w:top w:type="dxa" w:w="60"/>
              <w:left w:type="dxa" w:w="90"/>
              <w:bottom w:type="dxa" w:w="60"/>
              <w:right w:type="dxa" w:w="90"/>
            </w:tcMar>
            <w:vAlign w:val="center"/>
          </w:tcPr>
          <w:p>
            <w:pPr>
              <w:spacing w:after="20" w:line="250"/>
            </w:pPr>
            <w:r>
              <w:rPr>
                <w:sz w:val="18"/>
                <w:szCs w:val="18"/>
              </w:rPr>
              <w:t xml:space="preserve">1 … N (N = 224 for EnMAP)</w:t>
            </w:r>
          </w:p>
        </w:tc>
        <w:tc>
          <w:tcPr>
            <w:tcW w:type="dxa" w:w="6024"/>
            <w:tcMar>
              <w:top w:type="dxa" w:w="60"/>
              <w:left w:type="dxa" w:w="90"/>
              <w:bottom w:type="dxa" w:w="60"/>
              <w:right w:type="dxa" w:w="90"/>
            </w:tcMar>
            <w:vAlign w:val="center"/>
          </w:tcPr>
          <w:p>
            <w:pPr>
              <w:spacing w:after="20" w:line="250"/>
            </w:pPr>
            <w:r>
              <w:rPr>
                <w:sz w:val="18"/>
                <w:szCs w:val="18"/>
              </w:rPr>
              <w:t xml:space="preserve">Raw bands after no-data handling, bad-band masking and per-tile stretch</w:t>
            </w:r>
          </w:p>
        </w:tc>
      </w:tr>
      <w:tr>
        <w:trPr>
          <w:cantSplit/>
        </w:trPr>
        <w:tc>
          <w:tcPr>
            <w:tcW w:type="dxa" w:w="3614"/>
            <w:shd w:fill="F3F6FA" w:color="auto" w:val="clear"/>
            <w:tcMar>
              <w:top w:type="dxa" w:w="60"/>
              <w:left w:type="dxa" w:w="90"/>
              <w:bottom w:type="dxa" w:w="60"/>
              <w:right w:type="dxa" w:w="90"/>
            </w:tcMar>
            <w:vAlign w:val="center"/>
          </w:tcPr>
          <w:p>
            <w:pPr>
              <w:spacing w:after="20" w:line="250"/>
            </w:pPr>
            <w:r>
              <w:rPr>
                <w:sz w:val="18"/>
                <w:szCs w:val="18"/>
              </w:rPr>
              <w:t xml:space="preserve">N + 1 … N + 7</w:t>
            </w:r>
          </w:p>
        </w:tc>
        <w:tc>
          <w:tcPr>
            <w:tcW w:type="dxa" w:w="6024"/>
            <w:shd w:fill="F3F6FA" w:color="auto" w:val="clear"/>
            <w:tcMar>
              <w:top w:type="dxa" w:w="60"/>
              <w:left w:type="dxa" w:w="90"/>
              <w:bottom w:type="dxa" w:w="60"/>
              <w:right w:type="dxa" w:w="90"/>
            </w:tcMar>
            <w:vAlign w:val="center"/>
          </w:tcPr>
          <w:p>
            <w:pPr>
              <w:spacing w:after="20" w:line="250"/>
            </w:pPr>
            <w:r>
              <w:rPr>
                <w:sz w:val="18"/>
                <w:szCs w:val="18"/>
              </w:rPr>
              <w:t xml:space="preserve">NDVI, NDWI, NDBI, SAVI, EVI, NDMI, MSAVI (fixed order, −1 … 1, no-data 0)</w:t>
            </w:r>
          </w:p>
        </w:tc>
      </w:tr>
    </w:tbl>
    <w:p>
      <w:pPr>
        <w:spacing w:after="120"/>
      </w:pPr>
    </w:p>
    <w:p>
      <w:pPr>
        <w:pStyle w:val="Heading1"/>
      </w:pPr>
      <w:bookmarkStart w:name="_Toc31" w:id="31"/>
      <w:r>
        <w:t xml:space="preserve">Appendix C. References</w:t>
      </w:r>
      <w:bookmarkEnd w:id="31"/>
    </w:p>
    <w:p>
      <w:pPr>
        <w:pStyle w:val="ListParagraph"/>
        <w:numPr>
          <w:ilvl w:val="0"/>
          <w:numId w:val="3"/>
        </w:numPr>
        <w:spacing w:after="60"/>
      </w:pPr>
      <w:r>
        <w:t xml:space="preserve">Rouse, J. W. et al. (1974). Monitoring vegetation systems in the Great Plains with ERTS. </w:t>
      </w:r>
      <w:r>
        <w:rPr>
          <w:i/>
          <w:iCs/>
        </w:rPr>
        <w:t xml:space="preserve">NASA SP-351</w:t>
      </w:r>
      <w:r>
        <w:t xml:space="preserve">, 309–317. (NDVI)</w:t>
      </w:r>
    </w:p>
    <w:p>
      <w:pPr>
        <w:pStyle w:val="ListParagraph"/>
        <w:numPr>
          <w:ilvl w:val="0"/>
          <w:numId w:val="3"/>
        </w:numPr>
        <w:spacing w:after="60"/>
      </w:pPr>
      <w:r>
        <w:t xml:space="preserve">McFeeters, S. K. (1996). The use of the Normalized Difference Water Index (NDWI) in the delineation of open water features. </w:t>
      </w:r>
      <w:r>
        <w:rPr>
          <w:i/>
          <w:iCs/>
        </w:rPr>
        <w:t xml:space="preserve">International Journal of Remote Sensing</w:t>
      </w:r>
      <w:r>
        <w:t xml:space="preserve"> 17(7), 1425–1432.</w:t>
      </w:r>
    </w:p>
    <w:p>
      <w:pPr>
        <w:pStyle w:val="ListParagraph"/>
        <w:numPr>
          <w:ilvl w:val="0"/>
          <w:numId w:val="3"/>
        </w:numPr>
        <w:spacing w:after="60"/>
      </w:pPr>
      <w:r>
        <w:t xml:space="preserve">Zha, Y., Gao, J., Ni, S. (2003). Use of normalized difference built-up index in automatically mapping urban areas from TM imagery. </w:t>
      </w:r>
      <w:r>
        <w:rPr>
          <w:i/>
          <w:iCs/>
        </w:rPr>
        <w:t xml:space="preserve">International Journal of Remote Sensing</w:t>
      </w:r>
      <w:r>
        <w:t xml:space="preserve"> 24(3), 583–594.</w:t>
      </w:r>
    </w:p>
    <w:p>
      <w:pPr>
        <w:pStyle w:val="ListParagraph"/>
        <w:numPr>
          <w:ilvl w:val="0"/>
          <w:numId w:val="3"/>
        </w:numPr>
        <w:spacing w:after="60"/>
      </w:pPr>
      <w:r>
        <w:t xml:space="preserve">Huete, A. R. (1988). A soil-adjusted vegetation index (SAVI). </w:t>
      </w:r>
      <w:r>
        <w:rPr>
          <w:i/>
          <w:iCs/>
        </w:rPr>
        <w:t xml:space="preserve">Remote Sensing of Environment</w:t>
      </w:r>
      <w:r>
        <w:t xml:space="preserve"> 25(3), 295–309.</w:t>
      </w:r>
    </w:p>
    <w:p>
      <w:pPr>
        <w:pStyle w:val="ListParagraph"/>
        <w:numPr>
          <w:ilvl w:val="0"/>
          <w:numId w:val="3"/>
        </w:numPr>
        <w:spacing w:after="60"/>
      </w:pPr>
      <w:r>
        <w:t xml:space="preserve">Huete, A. et al. (2002). Overview of the radiometric and biophysical performance of the MODIS vegetation indices. </w:t>
      </w:r>
      <w:r>
        <w:rPr>
          <w:i/>
          <w:iCs/>
        </w:rPr>
        <w:t xml:space="preserve">Remote Sensing of Environment</w:t>
      </w:r>
      <w:r>
        <w:t xml:space="preserve"> 83, 195–213. (EVI)</w:t>
      </w:r>
    </w:p>
    <w:p>
      <w:pPr>
        <w:pStyle w:val="ListParagraph"/>
        <w:numPr>
          <w:ilvl w:val="0"/>
          <w:numId w:val="3"/>
        </w:numPr>
        <w:spacing w:after="60"/>
      </w:pPr>
      <w:r>
        <w:t xml:space="preserve">Qi, J. et al. (1994). A modified soil adjusted vegetation index. </w:t>
      </w:r>
      <w:r>
        <w:rPr>
          <w:i/>
          <w:iCs/>
        </w:rPr>
        <w:t xml:space="preserve">Remote Sensing of Environment</w:t>
      </w:r>
      <w:r>
        <w:t xml:space="preserve"> 48(2), 119–126. (MSAVI)</w:t>
      </w:r>
    </w:p>
    <w:p>
      <w:pPr>
        <w:pStyle w:val="ListParagraph"/>
        <w:numPr>
          <w:ilvl w:val="0"/>
          <w:numId w:val="3"/>
        </w:numPr>
        <w:spacing w:after="60"/>
      </w:pPr>
      <w:r>
        <w:t xml:space="preserve">Kruse, F. A. et al. (1993). The spectral image processing system (SIPS) — interactive visualization and analysis of imaging spectrometer data. </w:t>
      </w:r>
      <w:r>
        <w:rPr>
          <w:i/>
          <w:iCs/>
        </w:rPr>
        <w:t xml:space="preserve">Remote Sensing of Environment</w:t>
      </w:r>
      <w:r>
        <w:t xml:space="preserve"> 44, 145–163. (SAM)</w:t>
      </w:r>
    </w:p>
    <w:p>
      <w:pPr>
        <w:pStyle w:val="ListParagraph"/>
        <w:numPr>
          <w:ilvl w:val="0"/>
          <w:numId w:val="3"/>
        </w:numPr>
        <w:spacing w:after="60"/>
      </w:pPr>
      <w:r>
        <w:t xml:space="preserve">Guanter, L. et al. (2015). The EnMAP spaceborne imaging spectroscopy mission for Earth observation. </w:t>
      </w:r>
      <w:r>
        <w:rPr>
          <w:i/>
          <w:iCs/>
        </w:rPr>
        <w:t xml:space="preserve">Remote Sensing</w:t>
      </w:r>
      <w:r>
        <w:t xml:space="preserve"> 7(7), 8830–8857.</w:t>
      </w:r>
    </w:p>
    <w:p>
      <w:pPr>
        <w:pStyle w:val="ListParagraph"/>
        <w:numPr>
          <w:ilvl w:val="0"/>
          <w:numId w:val="3"/>
        </w:numPr>
        <w:spacing w:after="60"/>
      </w:pPr>
      <w:r>
        <w:t xml:space="preserve">Qu, H., Zhang, J., Lin, Z., Chen, H. (2013). Parallel acceleration of SAM algorithm and performance analysis. </w:t>
      </w:r>
      <w:r>
        <w:rPr>
          <w:i/>
          <w:iCs/>
        </w:rPr>
        <w:t xml:space="preserve">IEEE JSTARS</w:t>
      </w:r>
      <w:r>
        <w:t xml:space="preserve"> 6(3), 1172–1178.</w:t>
      </w:r>
    </w:p>
    <w:p>
      <w:pPr>
        <w:pStyle w:val="ListParagraph"/>
        <w:numPr>
          <w:ilvl w:val="0"/>
          <w:numId w:val="3"/>
        </w:numPr>
        <w:spacing w:after="60"/>
      </w:pPr>
      <w:r>
        <w:t xml:space="preserve">OpenMP Architecture Review Board. </w:t>
      </w:r>
      <w:r>
        <w:rPr>
          <w:i/>
          <w:iCs/>
        </w:rPr>
        <w:t xml:space="preserve">OpenMP Application Programming Interface</w:t>
      </w:r>
      <w:r>
        <w:t xml:space="preserve">. · Khronos Group. </w:t>
      </w:r>
      <w:r>
        <w:rPr>
          <w:i/>
          <w:iCs/>
        </w:rPr>
        <w:t xml:space="preserve">The OpenCL Specification, version 1.2</w:t>
      </w:r>
      <w:r>
        <w:t xml:space="preserve">. · GDAL/OGR contributors. </w:t>
      </w:r>
      <w:r>
        <w:rPr>
          <w:i/>
          <w:iCs/>
        </w:rPr>
        <w:t xml:space="preserve">GDAL Geospatial Data Abstraction Library</w:t>
      </w:r>
      <w:r>
        <w:t xml:space="preserve">, Open Source Geospatial Foundation.</w:t>
      </w:r>
    </w:p>
    <w:sectPr>
      <w:headerReference w:type="default" r:id="rId6"/>
      <w:footerReference w:type="default" r:id="rId7"/>
      <w:pgSz w:w="11906" w:h="16838" w:orient="portrait"/>
      <w:pgMar w:top="1134" w:right="1134" w:bottom="1134" w:left="1134" w:header="560" w:footer="5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8D3" w:sz="4" w:space="4"/>
      </w:pBdr>
      <w:tabs>
        <w:tab w:val="right" w:pos="9638"/>
      </w:tabs>
    </w:pPr>
    <w:r>
      <w:rPr>
        <w:b/>
        <w:bCs/>
        <w:color w:val="12355B"/>
        <w:sz w:val="17"/>
        <w:szCs w:val="17"/>
      </w:rPr>
      <w:t xml:space="preserve">HyperSpatial</w:t>
    </w:r>
    <w:r>
      <w:rPr>
        <w:color w:val="52514E"/>
        <w:sz w:val="17"/>
        <w:szCs w:val="17"/>
      </w:rPr>
      <w:t xml:space="preserve">	HyperSpectral Processer plugin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lvl w:ilvl="1" w:tentative="1">
      <w:start w:val="1"/>
      <w:numFmt w:val="bullet"/>
      <w:lvlText w:val="–"/>
      <w:lvlJc w:val="left"/>
      <w:pPr>
        <w:ind w:left="800" w:hanging="240"/>
      </w:pPr>
    </w:lvl>
  </w:abstractNum>
  <w:abstractNum w:abstractNumId="3" w15:restartNumberingAfterBreak="0">
    <w:multiLevelType w:val="hybridMultilevel"/>
    <w:lvl w:ilvl="0" w:tentative="1">
      <w:start w:val="1"/>
      <w:numFmt w:val="decimal"/>
      <w:lvlText w:val="%1."/>
      <w:lvlJc w:val="left"/>
      <w:pPr>
        <w:ind w:left="4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1"/>
        <w:szCs w:val="21"/>
      </w:rPr>
    </w:rPrDefault>
    <w:pPrDefault>
      <w:pPr>
        <w:spacing w:after="12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mbria" w:cs="Cambria" w:eastAsia="Cambria" w:hAnsi="Cambria"/>
      <w:b/>
      <w:bCs/>
      <w:color w:val="12355B"/>
      <w:sz w:val="32"/>
      <w:szCs w:val="32"/>
    </w:rPr>
  </w:style>
  <w:style w:type="paragraph" w:styleId="Heading2">
    <w:name w:val="Heading 2"/>
    <w:basedOn w:val="Normal"/>
    <w:next w:val="Normal"/>
    <w:qFormat/>
    <w:pPr>
      <w:keepNext/>
      <w:spacing w:after="120" w:before="280"/>
      <w:outlineLvl w:val="1"/>
    </w:pPr>
    <w:rPr>
      <w:rFonts w:ascii="Cambria" w:cs="Cambria" w:eastAsia="Cambria" w:hAnsi="Cambria"/>
      <w:b/>
      <w:bCs/>
      <w:color w:val="12355B"/>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2A78D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7b9e810d96d82cfa312248431daa8a10f66321a.png"/><Relationship Id="rId10" Type="http://schemas.openxmlformats.org/officeDocument/2006/relationships/image" Target="media/d183db07eca5166e03fcec7e9a524d3fb6ab7a0f.png"/><Relationship Id="rId11" Type="http://schemas.openxmlformats.org/officeDocument/2006/relationships/image" Target="media/06841805d64b1f751a26b75513a8c080869642cc.png"/><Relationship Id="rId12" Type="http://schemas.openxmlformats.org/officeDocument/2006/relationships/image" Target="media/3eb933b2a150a04b74552607fbbe52f927443525.png"/><Relationship Id="rId13" Type="http://schemas.openxmlformats.org/officeDocument/2006/relationships/image" Target="media/279c4eafa3f158ecd9c1ed9c7c6e502328fb8a42.png"/><Relationship Id="rId14" Type="http://schemas.openxmlformats.org/officeDocument/2006/relationships/image" Target="media/1ae7b2673959aee0bf60e733c51c857e884facf0.png"/><Relationship Id="rId15" Type="http://schemas.openxmlformats.org/officeDocument/2006/relationships/image" Target="media/fafe70e1ef812f4cc2c4a4f7a748e7a0515b8a74.png"/><Relationship Id="rId16" Type="http://schemas.openxmlformats.org/officeDocument/2006/relationships/image" Target="media/2480fdd2afed08dcc8fb35cb07bf33e67921d477.png"/><Relationship Id="rId17" Type="http://schemas.openxmlformats.org/officeDocument/2006/relationships/image" Target="media/58ad72dd5ce470d5eea2ec52ff21d49cc01a2be1.png"/><Relationship Id="rId18" Type="http://schemas.openxmlformats.org/officeDocument/2006/relationships/image" Target="media/d8acd18542a142364e25bd24e4883208448646fd.png"/><Relationship Id="rId19" Type="http://schemas.openxmlformats.org/officeDocument/2006/relationships/image" Target="media/4fb986ac925899c51774d616d0b864424f10af30.png"/><Relationship Id="rId20" Type="http://schemas.openxmlformats.org/officeDocument/2006/relationships/image" Target="media/9864777f31829a56204164b718a3f0e8fac7bbd2.png"/><Relationship Id="rId21" Type="http://schemas.openxmlformats.org/officeDocument/2006/relationships/image" Target="media/68241ba85417691643bd4e72a2584d68b54b7489.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HyperSpectral Processer</dc:title>
  <dc:creator>Aaron R</dc:creator>
  <dc:description>Parallel, GPU-capable hyperspectral processing in QGIS — spectral indices, PCA and Spectral Angle Mapper on a native C++17 / OpenMP / OpenCL engine</dc:description>
  <cp:lastModifiedBy>Un-named</cp:lastModifiedBy>
  <cp:revision>1</cp:revision>
  <dcterms:created xsi:type="dcterms:W3CDTF">2026-10-16T13:14:01.124Z</dcterms:created>
  <dcterms:modified xsi:type="dcterms:W3CDTF">2026-10-16T13:14:01.125Z</dcterms:modified>
</cp:coreProperties>
</file>

<file path=docProps/custom.xml><?xml version="1.0" encoding="utf-8"?>
<Properties xmlns="http://schemas.openxmlformats.org/officeDocument/2006/custom-properties" xmlns:vt="http://schemas.openxmlformats.org/officeDocument/2006/docPropsVTypes"/>
</file>