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b/>
          <w:bCs/>
          <w:color w:val="1F4E8C"/>
          <w:sz w:val="64"/>
          <w:szCs w:val="64"/>
        </w:rPr>
        <w:t xml:space="preserve">HydraNet Maps</w:t>
      </w:r>
    </w:p>
    <w:p>
      <w:pPr>
        <w:spacing w:after="400"/>
      </w:pPr>
      <w:r>
        <w:rPr>
          <w:color w:val="333333"/>
          <w:sz w:val="32"/>
          <w:szCs w:val="32"/>
        </w:rPr>
        <w:t xml:space="preserve">End-to-end project document: hyperspectral and thermal mapping with one neural network</w:t>
      </w:r>
    </w:p>
    <w:p>
      <w:pPr>
        <w:spacing w:after="120" w:line="276"/>
      </w:pPr>
      <w:r>
        <w:t xml:space="preserve">Agriculture, mineral and thermal maps from NASA EMIT and Landsat 8/9, produced by a single three-headed neural network (ONNX) that is trained and continuously verified to reproduce the classical remote-sensing methods, served by a production data platform (Kafka, Redis, PostgreSQL/PostGIS, MinIO / Amazon S3).</w:t>
      </w:r>
    </w:p>
    <w:p>
      <w:pPr>
        <w:spacing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Item</w:t>
            </w:r>
          </w:p>
        </w:tc>
        <w:tc>
          <w:tcPr>
            <w:tcW w:type="dxa" w:w="6447"/>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Value</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Repository</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github.com/aaron43210/remote_sensing_pipeline</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Branch documented</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pre-production (folder pre_production/)</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Model</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HydraNet v1, MLP architecture, 469,390 parameters, ONNX opset 17, 1.93 MB</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Feature spec hash</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f15dd48ca7cd4dd6</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Document date</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20 October 2026</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Prepared by</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Aaron R (platform, model, integration), with the preprocessing module by Ananthanarayanan B</w:t>
            </w:r>
          </w:p>
        </w:tc>
      </w:tr>
    </w:tbl>
    <w:p>
      <w:pPr>
        <w:spacing w:after="120"/>
      </w:pP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color w:val="52514E"/>
          <w:sz w:val="18"/>
          <w:szCs w:val="18"/>
        </w:rPr>
        <w:t xml:space="preserve">(If the table of contents is empty, right-click it in Word and choose Update Field.)</w:t>
      </w:r>
    </w:p>
    <w:p>
      <w:pPr>
        <w:pStyle w:val="Heading1"/>
        <w:pageBreakBefore/>
      </w:pPr>
      <w:r>
        <w:t xml:space="preserve">1. Executive summary</w:t>
      </w:r>
    </w:p>
    <w:p>
      <w:pPr>
        <w:spacing w:after="120" w:line="276"/>
      </w:pPr>
      <w:r>
        <w:t xml:space="preserve">A user draws a box on a map and receives three families of maps for it: </w:t>
      </w:r>
      <w:r>
        <w:rPr>
          <w:b/>
          <w:bCs/>
        </w:rPr>
        <w:t xml:space="preserve">agriculture</w:t>
      </w:r>
      <w:r>
        <w:t xml:space="preserve"> (leaf chlorophyll Cab, carotenoids Car, water Cw, dry matter Cm, leaf area index LAI, leaf angle ALA, each with an uncertainty), </w:t>
      </w:r>
      <w:r>
        <w:rPr>
          <w:b/>
          <w:bCs/>
        </w:rPr>
        <w:t xml:space="preserve">minerals</w:t>
      </w:r>
      <w:r>
        <w:t xml:space="preserve"> (the dominant of 12 USGS minerals or unknown, per-mineral abundance, fit quality) and </w:t>
      </w:r>
      <w:r>
        <w:rPr>
          <w:b/>
          <w:bCs/>
        </w:rPr>
        <w:t xml:space="preserve">thermal</w:t>
      </w:r>
      <w:r>
        <w:t xml:space="preserve"> (cold/normal/hot classes, urban heat island zones, local anomalies, hotspots). Imagery comes from NASA EMIT (285-band imaging spectrometer, 60 m) and Landsat 8/9 (land surface temperature, 30 m).</w:t>
      </w:r>
    </w:p>
    <w:p>
      <w:pPr>
        <w:spacing w:after="120" w:line="276"/>
      </w:pPr>
      <w:r>
        <w:t xml:space="preserve">Instead of running three separate classical algorithms per pixel, one neural network, </w:t>
      </w:r>
      <w:r>
        <w:rPr>
          <w:b/>
          <w:bCs/>
        </w:rPr>
        <w:t xml:space="preserve">HydraNet</w:t>
      </w:r>
      <w:r>
        <w:t xml:space="preserve">, produces all maps. It was trained with the classical methods as teachers (knowledge distillation), so it draws the same maps they draw, and every production job re-checks a sample of pixels against the classical method (shadow verification).</w:t>
      </w:r>
    </w:p>
    <w:p>
      <w:pPr>
        <w:keepNext/>
        <w:spacing w:before="120" w:after="60"/>
      </w:pPr>
      <w:r>
        <w:rPr>
          <w:b/>
          <w:bCs/>
          <w:color w:val="52514E"/>
          <w:sz w:val="18"/>
          <w:szCs w:val="18"/>
        </w:rPr>
        <w:t xml:space="preserve">Table 1. </w:t>
      </w:r>
      <w:r>
        <w:rPr>
          <w:color w:val="52514E"/>
          <w:sz w:val="18"/>
          <w:szCs w:val="18"/>
        </w:rPr>
        <w:t xml:space="preserve">Headline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1"/>
        <w:gridCol w:w="3841"/>
        <w:gridCol w:w="2304"/>
      </w:tblGrid>
      <w:tr>
        <w:trPr>
          <w:tblHeader/>
        </w:trPr>
        <w:tc>
          <w:tcPr>
            <w:tcW w:type="dxa" w:w="2881"/>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Result</w:t>
            </w:r>
          </w:p>
        </w:tc>
        <w:tc>
          <w:tcPr>
            <w:tcW w:type="dxa" w:w="3841"/>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Value</w:t>
            </w:r>
          </w:p>
        </w:tc>
        <w:tc>
          <w:tcPr>
            <w:tcW w:type="dxa" w:w="2304"/>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Notes</w:t>
            </w:r>
          </w:p>
        </w:tc>
      </w:tr>
      <w:tr>
        <w:tc>
          <w:tcPr>
            <w:tcW w:type="dxa" w:w="288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 class agreement with SAM</w:t>
            </w:r>
          </w:p>
        </w:tc>
        <w:tc>
          <w:tcPr>
            <w:tcW w:type="dxa" w:w="38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99.95 % (validation), 99.85 % (2,000 real EMIT pixels)</w:t>
            </w:r>
          </w:p>
        </w:tc>
        <w:tc>
          <w:tcPr>
            <w:tcW w:type="dxa" w:w="230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gate 98 % / 97 %</w:t>
            </w:r>
          </w:p>
        </w:tc>
      </w:tr>
      <w:tr>
        <w:tc>
          <w:tcPr>
            <w:tcW w:type="dxa" w:w="288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 abundance vs SMA/FCLS (MAE)</w:t>
            </w:r>
          </w:p>
        </w:tc>
        <w:tc>
          <w:tcPr>
            <w:tcW w:type="dxa" w:w="38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0.0041 (validation), 0.078 (real EMIT rows)</w:t>
            </w:r>
          </w:p>
        </w:tc>
        <w:tc>
          <w:tcPr>
            <w:tcW w:type="dxa" w:w="230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real-row gate 0.06 is NOT met (see section 12)</w:t>
            </w:r>
          </w:p>
        </w:tc>
      </w:tr>
      <w:tr>
        <w:tc>
          <w:tcPr>
            <w:tcW w:type="dxa" w:w="288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Agriculture vs PROSAIL LUT inversion</w:t>
            </w:r>
          </w:p>
        </w:tc>
        <w:tc>
          <w:tcPr>
            <w:tcW w:type="dxa" w:w="38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R² 0.969 (worst of Cab, Cw, LAI); nMAE Cab 1.6 %, Cw 1.4 %, LAI 3.4 %</w:t>
            </w:r>
          </w:p>
        </w:tc>
        <w:tc>
          <w:tcPr>
            <w:tcW w:type="dxa" w:w="230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gate R² ≥ 0.95, nMAE ≤ 5 %</w:t>
            </w:r>
          </w:p>
        </w:tc>
      </w:tr>
      <w:tr>
        <w:tc>
          <w:tcPr>
            <w:tcW w:type="dxa" w:w="288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Thermal vs ThermalAnomalyDetector</w:t>
            </w:r>
          </w:p>
        </w:tc>
        <w:tc>
          <w:tcPr>
            <w:tcW w:type="dxa" w:w="38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99.84 % global, 99.94 % UHI, 99.96 % hotspots</w:t>
            </w:r>
          </w:p>
        </w:tc>
        <w:tc>
          <w:tcPr>
            <w:tcW w:type="dxa" w:w="230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 99.2 % on 6 real Landsat scenes</w:t>
            </w:r>
          </w:p>
        </w:tc>
      </w:tr>
      <w:tr>
        <w:tc>
          <w:tcPr>
            <w:tcW w:type="dxa" w:w="288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Real end-to-end job (EMIT + Landsat)</w:t>
            </w:r>
          </w:p>
        </w:tc>
        <w:tc>
          <w:tcPr>
            <w:tcW w:type="dxa" w:w="38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agriculture R² Cab 0.983, Cw 0.985, LAI 0.980; mineral class 99.75 %; thermal UHI 99.89 %</w:t>
            </w:r>
          </w:p>
        </w:tc>
        <w:tc>
          <w:tcPr>
            <w:tcW w:type="dxa" w:w="230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Fresno County, California; EMIT 22 Aug 2023, Landsat 9 29 Sep 2023</w:t>
            </w:r>
          </w:p>
        </w:tc>
      </w:tr>
      <w:tr>
        <w:tc>
          <w:tcPr>
            <w:tcW w:type="dxa" w:w="288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Speed (5 scenes, CPU)</w:t>
            </w:r>
          </w:p>
        </w:tc>
        <w:tc>
          <w:tcPr>
            <w:tcW w:type="dxa" w:w="38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minerals 11.5x faster, agriculture 6.9x faster; thermal 26x slower</w:t>
            </w:r>
          </w:p>
        </w:tc>
        <w:tc>
          <w:tcPr>
            <w:tcW w:type="dxa" w:w="230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thermal rules are already very cheap</w:t>
            </w:r>
          </w:p>
        </w:tc>
      </w:tr>
      <w:tr>
        <w:tc>
          <w:tcPr>
            <w:tcW w:type="dxa" w:w="288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Model size</w:t>
            </w:r>
          </w:p>
        </w:tc>
        <w:tc>
          <w:tcPr>
            <w:tcW w:type="dxa" w:w="38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469,390 parameters, 1.93 MB</w:t>
            </w:r>
          </w:p>
        </w:tc>
        <w:tc>
          <w:tcPr>
            <w:tcW w:type="dxa" w:w="230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61 % fewer than the earlier CNN (1.19 M)</w:t>
            </w:r>
          </w:p>
        </w:tc>
      </w:tr>
      <w:tr>
        <w:tc>
          <w:tcPr>
            <w:tcW w:type="dxa" w:w="288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Load test</w:t>
            </w:r>
          </w:p>
        </w:tc>
        <w:tc>
          <w:tcPr>
            <w:tcW w:type="dxa" w:w="38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300 concurrent users, 0 failed of 55,225 requests, p95 &lt; 10 ms</w:t>
            </w:r>
          </w:p>
        </w:tc>
        <w:tc>
          <w:tcPr>
            <w:tcW w:type="dxa" w:w="230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3.8 jobs/s with 4 workers per stage</w:t>
            </w:r>
          </w:p>
        </w:tc>
      </w:tr>
      <w:tr>
        <w:tc>
          <w:tcPr>
            <w:tcW w:type="dxa" w:w="288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Security test suite</w:t>
            </w:r>
          </w:p>
        </w:tc>
        <w:tc>
          <w:tcPr>
            <w:tcW w:type="dxa" w:w="38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63 attacks, all blocked</w:t>
            </w:r>
          </w:p>
        </w:tc>
        <w:tc>
          <w:tcPr>
            <w:tcW w:type="dxa" w:w="230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JWT forgery, brute force, IDOR, CSRF, XSS, header spoofing</w:t>
            </w:r>
          </w:p>
        </w:tc>
      </w:tr>
    </w:tbl>
    <w:p>
      <w:pPr>
        <w:spacing w:after="120"/>
      </w:pPr>
    </w:p>
    <w:p>
      <w:pPr>
        <w:pStyle w:val="Heading1"/>
        <w:pageBreakBefore/>
      </w:pPr>
      <w:r>
        <w:t xml:space="preserve">2. Problem statement and objectives</w:t>
      </w:r>
    </w:p>
    <w:p>
      <w:pPr>
        <w:spacing w:after="120" w:line="276"/>
      </w:pPr>
      <w:r>
        <w:t xml:space="preserve">Hyperspectral sensors such as EMIT record hundreds of narrow bands per pixel. The established ways of turning those spectra into maps are physically meaningful but slow and fragmented: spectral angle mapping (SAM) and spectral mixture analysis (SMA) for minerals, look-up-table (LUT) inversion of the PROSAIL radiative-transfer model for crop traits, and statistical rules for thermal anomalies. Each needs its own code, its own data and its own tuning, and per-pixel searches (SAM against a library, k-nearest neighbours in a 100,000-entry LUT, non-negative least squares) scale poorly to many users.</w:t>
      </w:r>
    </w:p>
    <w:p>
      <w:pPr>
        <w:pStyle w:val="Heading3"/>
      </w:pPr>
      <w:r>
        <w:t xml:space="preserve">Objectives</w:t>
      </w:r>
    </w:p>
    <w:p>
      <w:pPr>
        <w:pStyle w:val="ListParagraph"/>
        <w:numPr>
          <w:ilvl w:val="0"/>
          <w:numId w:val="2"/>
        </w:numPr>
        <w:spacing w:after="60"/>
      </w:pPr>
      <w:r>
        <w:t xml:space="preserve">One neural network that predicts agriculture, mineral and thermal maps (three-in-one), trained on the project's Mineral, Agriculture and Thermal datasets.</w:t>
      </w:r>
    </w:p>
    <w:p>
      <w:pPr>
        <w:pStyle w:val="ListParagraph"/>
        <w:numPr>
          <w:ilvl w:val="0"/>
          <w:numId w:val="2"/>
        </w:numPr>
        <w:spacing w:after="60"/>
      </w:pPr>
      <w:r>
        <w:t xml:space="preserve">The network must produce the </w:t>
      </w:r>
      <w:r>
        <w:rPr>
          <w:b/>
          <w:bCs/>
        </w:rPr>
        <w:t xml:space="preserve">same maps as the classical methods</w:t>
      </w:r>
      <w:r>
        <w:t xml:space="preserve">: verified by gates before release and by shadow checks in production.</w:t>
      </w:r>
    </w:p>
    <w:p>
      <w:pPr>
        <w:pStyle w:val="ListParagraph"/>
        <w:numPr>
          <w:ilvl w:val="0"/>
          <w:numId w:val="2"/>
        </w:numPr>
        <w:spacing w:after="60"/>
      </w:pPr>
      <w:r>
        <w:t xml:space="preserve">A lightweight, CPU-only model (MLP, no CNN) exported to ONNX.</w:t>
      </w:r>
    </w:p>
    <w:p>
      <w:pPr>
        <w:pStyle w:val="ListParagraph"/>
        <w:numPr>
          <w:ilvl w:val="0"/>
          <w:numId w:val="2"/>
        </w:numPr>
        <w:spacing w:after="60"/>
      </w:pPr>
      <w:r>
        <w:t xml:space="preserve">A production platform that withstands many simultaneous users: queueing, retries, idempotency, caching, horizontal scaling.</w:t>
      </w:r>
    </w:p>
    <w:p>
      <w:pPr>
        <w:pStyle w:val="ListParagraph"/>
        <w:numPr>
          <w:ilvl w:val="0"/>
          <w:numId w:val="2"/>
        </w:numPr>
        <w:spacing w:after="60"/>
      </w:pPr>
      <w:r>
        <w:t xml:space="preserve">Storage on MinIO locally and on Amazon S3 (or any S3-compatible service) in deployment, with no code changes.</w:t>
      </w:r>
    </w:p>
    <w:p>
      <w:pPr>
        <w:pStyle w:val="ListParagraph"/>
        <w:numPr>
          <w:ilvl w:val="0"/>
          <w:numId w:val="2"/>
        </w:numPr>
        <w:spacing w:after="60"/>
      </w:pPr>
      <w:r>
        <w:t xml:space="preserve">A standard, secure web front end wired to the backend.</w:t>
      </w:r>
    </w:p>
    <w:p>
      <w:pPr>
        <w:pStyle w:val="Heading1"/>
        <w:pageBreakBefore/>
      </w:pPr>
      <w:r>
        <w:t xml:space="preserve">3. Repository and the pre-production branch</w:t>
      </w:r>
    </w:p>
    <w:p>
      <w:pPr>
        <w:spacing w:after="120" w:line="276"/>
      </w:pPr>
      <w:r>
        <w:t xml:space="preserve">The repository is github.com/aaron43210/remote_sensing_pipeline. Team members worked on feature branches; the </w:t>
      </w:r>
      <w:r>
        <w:rPr>
          <w:b/>
          <w:bCs/>
        </w:rPr>
        <w:t xml:space="preserve">pre-production</w:t>
      </w:r>
      <w:r>
        <w:t xml:space="preserve"> branch integrates the work into one runnable platform. The training datasets live beside it (Mineral/, Agriculture/, Thermal/) and are uploaded to object storage for CI.</w:t>
      </w:r>
    </w:p>
    <w:p>
      <w:pPr>
        <w:keepNext/>
        <w:spacing w:before="120" w:after="60"/>
      </w:pPr>
      <w:r>
        <w:rPr>
          <w:b/>
          <w:bCs/>
          <w:color w:val="52514E"/>
          <w:sz w:val="18"/>
          <w:szCs w:val="18"/>
        </w:rPr>
        <w:t xml:space="preserve">Table 2. </w:t>
      </w:r>
      <w:r>
        <w:rPr>
          <w:color w:val="52514E"/>
          <w:sz w:val="18"/>
          <w:szCs w:val="18"/>
        </w:rPr>
        <w:t xml:space="preserve">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8"/>
        <w:gridCol w:w="6268"/>
      </w:tblGrid>
      <w:tr>
        <w:trPr>
          <w:tblHeader/>
        </w:trPr>
        <w:tc>
          <w:tcPr>
            <w:tcW w:type="dxa" w:w="2758"/>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Branch</w:t>
            </w:r>
          </w:p>
        </w:tc>
        <w:tc>
          <w:tcPr>
            <w:tcW w:type="dxa" w:w="6268"/>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Purpose</w:t>
            </w:r>
          </w:p>
        </w:tc>
      </w:tr>
      <w:tr>
        <w:tc>
          <w:tcPr>
            <w:tcW w:type="dxa" w:w="275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base</w:t>
            </w:r>
          </w:p>
        </w:tc>
        <w:tc>
          <w:tcPr>
            <w:tcW w:type="dxa" w:w="62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default branch (the original multi-service skeleton)</w:t>
            </w:r>
          </w:p>
        </w:tc>
      </w:tr>
      <w:tr>
        <w:tc>
          <w:tcPr>
            <w:tcW w:type="dxa" w:w="275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pre-production</w:t>
            </w:r>
          </w:p>
        </w:tc>
        <w:tc>
          <w:tcPr>
            <w:tcW w:type="dxa" w:w="62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this document: the integrated platform, HydraNet, frontend, infrastructure</w:t>
            </w:r>
          </w:p>
        </w:tc>
      </w:tr>
      <w:tr>
        <w:tc>
          <w:tcPr>
            <w:tcW w:type="dxa" w:w="275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feature/preprocessing</w:t>
            </w:r>
          </w:p>
        </w:tc>
        <w:tc>
          <w:tcPr>
            <w:tcW w:type="dxa" w:w="62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Dask preprocessing module (Ananthanarayanan B), merged via PR #4</w:t>
            </w:r>
          </w:p>
        </w:tc>
      </w:tr>
      <w:tr>
        <w:tc>
          <w:tcPr>
            <w:tcW w:type="dxa" w:w="275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MINERAL_ANALYSIS</w:t>
            </w:r>
          </w:p>
        </w:tc>
        <w:tc>
          <w:tcPr>
            <w:tcW w:type="dxa" w:w="62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reference mineral analysis service (SAM, SMA, continuum removal): vendored as the parity reference</w:t>
            </w:r>
          </w:p>
        </w:tc>
      </w:tr>
      <w:tr>
        <w:tc>
          <w:tcPr>
            <w:tcW w:type="dxa" w:w="275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Priya_RTM_SERVICE</w:t>
            </w:r>
          </w:p>
        </w:tc>
        <w:tc>
          <w:tcPr>
            <w:tcW w:type="dxa" w:w="62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PROSAIL / RTM inversion approach used for the agriculture teacher</w:t>
            </w:r>
          </w:p>
        </w:tc>
      </w:tr>
      <w:tr>
        <w:tc>
          <w:tcPr>
            <w:tcW w:type="dxa" w:w="275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SPECTRAL_ANALYSIS_SERVICE, feature/thermal, development, aaron_dev</w:t>
            </w:r>
          </w:p>
        </w:tc>
        <w:tc>
          <w:tcPr>
            <w:tcW w:type="dxa" w:w="62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earlier service and experiment branches</w:t>
            </w:r>
          </w:p>
        </w:tc>
      </w:tr>
    </w:tbl>
    <w:p>
      <w:pPr>
        <w:spacing w:after="120"/>
      </w:pPr>
    </w:p>
    <w:p>
      <w:pPr>
        <w:keepNext/>
        <w:spacing w:before="120" w:after="60"/>
      </w:pPr>
      <w:r>
        <w:rPr>
          <w:b/>
          <w:bCs/>
          <w:color w:val="52514E"/>
          <w:sz w:val="18"/>
          <w:szCs w:val="18"/>
        </w:rPr>
        <w:t xml:space="preserve">Table 3. </w:t>
      </w:r>
      <w:r>
        <w:rPr>
          <w:color w:val="52514E"/>
          <w:sz w:val="18"/>
          <w:szCs w:val="18"/>
        </w:rPr>
        <w:t xml:space="preserve">Recent history of pre-production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006"/>
        <w:gridCol w:w="5014"/>
      </w:tblGrid>
      <w:tr>
        <w:trPr>
          <w:tblHeader/>
        </w:trPr>
        <w:tc>
          <w:tcPr>
            <w:tcW w:type="dxa" w:w="2006"/>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Commit</w:t>
            </w:r>
          </w:p>
        </w:tc>
        <w:tc>
          <w:tcPr>
            <w:tcW w:type="dxa" w:w="2006"/>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Author</w:t>
            </w:r>
          </w:p>
        </w:tc>
        <w:tc>
          <w:tcPr>
            <w:tcW w:type="dxa" w:w="5014"/>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Summary</w:t>
            </w:r>
          </w:p>
        </w:tc>
      </w:tr>
      <w:tr>
        <w:tc>
          <w:tcPr>
            <w:tcW w:type="dxa" w:w="200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4f7865f</w:t>
            </w:r>
          </w:p>
        </w:tc>
        <w:tc>
          <w:tcPr>
            <w:tcW w:type="dxa" w:w="200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Ananthanarayanan</w:t>
            </w:r>
          </w:p>
        </w:tc>
        <w:tc>
          <w:tcPr>
            <w:tcW w:type="dxa" w:w="501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preprocessing: Dask + Xarray streaming pipeline</w:t>
            </w:r>
          </w:p>
        </w:tc>
      </w:tr>
      <w:tr>
        <w:tc>
          <w:tcPr>
            <w:tcW w:type="dxa" w:w="200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3eadd4b / 5dd1e64</w:t>
            </w:r>
          </w:p>
        </w:tc>
        <w:tc>
          <w:tcPr>
            <w:tcW w:type="dxa" w:w="200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Ananthanarayanan</w:t>
            </w:r>
          </w:p>
        </w:tc>
        <w:tc>
          <w:tcPr>
            <w:tcW w:type="dxa" w:w="501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self-contained Dask module, Landsat thermal; merged PR #4</w:t>
            </w:r>
          </w:p>
        </w:tc>
      </w:tr>
      <w:tr>
        <w:tc>
          <w:tcPr>
            <w:tcW w:type="dxa" w:w="200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4a8cdd9, 24cc04a</w:t>
            </w:r>
          </w:p>
        </w:tc>
        <w:tc>
          <w:tcPr>
            <w:tcW w:type="dxa" w:w="200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Ananthanarayanan</w:t>
            </w:r>
          </w:p>
        </w:tc>
        <w:tc>
          <w:tcPr>
            <w:tcW w:type="dxa" w:w="501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16 measured bands for agriculture and minerals</w:t>
            </w:r>
          </w:p>
        </w:tc>
      </w:tr>
      <w:tr>
        <w:tc>
          <w:tcPr>
            <w:tcW w:type="dxa" w:w="200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dd125f3</w:t>
            </w:r>
          </w:p>
        </w:tc>
        <w:tc>
          <w:tcPr>
            <w:tcW w:type="dxa" w:w="200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aaron43210</w:t>
            </w:r>
          </w:p>
        </w:tc>
        <w:tc>
          <w:tcPr>
            <w:tcW w:type="dxa" w:w="501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complete production pipeline and UI (222 files)</w:t>
            </w:r>
          </w:p>
        </w:tc>
      </w:tr>
      <w:tr>
        <w:tc>
          <w:tcPr>
            <w:tcW w:type="dxa" w:w="200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2f179d4, 90a3e24, 3f91437</w:t>
            </w:r>
          </w:p>
        </w:tc>
        <w:tc>
          <w:tcPr>
            <w:tcW w:type="dxa" w:w="200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aaron43210</w:t>
            </w:r>
          </w:p>
        </w:tc>
        <w:tc>
          <w:tcPr>
            <w:tcW w:type="dxa" w:w="501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light mode only; real imagery only in the UI; sign-out-everywhere button removed</w:t>
            </w:r>
          </w:p>
        </w:tc>
      </w:tr>
      <w:tr>
        <w:tc>
          <w:tcPr>
            <w:tcW w:type="dxa" w:w="200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bfbe5c4</w:t>
            </w:r>
          </w:p>
        </w:tc>
        <w:tc>
          <w:tcPr>
            <w:tcW w:type="dxa" w:w="200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aaron43210</w:t>
            </w:r>
          </w:p>
        </w:tc>
        <w:tc>
          <w:tcPr>
            <w:tcW w:type="dxa" w:w="501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track the production hydra.onnx and verification artifacts</w:t>
            </w:r>
          </w:p>
        </w:tc>
      </w:tr>
    </w:tbl>
    <w:p>
      <w:pPr>
        <w:spacing w:after="120"/>
      </w:pPr>
    </w:p>
    <w:p>
      <w:pPr>
        <w:keepNext/>
        <w:spacing w:before="120" w:after="60"/>
      </w:pPr>
      <w:r>
        <w:rPr>
          <w:b/>
          <w:bCs/>
          <w:color w:val="52514E"/>
          <w:sz w:val="18"/>
          <w:szCs w:val="18"/>
        </w:rPr>
        <w:t xml:space="preserve">Table 4. </w:t>
      </w:r>
      <w:r>
        <w:rPr>
          <w:color w:val="52514E"/>
          <w:sz w:val="18"/>
          <w:szCs w:val="18"/>
        </w:rPr>
        <w:t xml:space="preserve">Folder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Folder</w:t>
            </w:r>
          </w:p>
        </w:tc>
        <w:tc>
          <w:tcPr>
            <w:tcW w:type="dxa" w:w="6447"/>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Contents</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api_gateway/, orchestrator/, pkg/</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Go control plane: REST API, auth, admission control, transactional outbox, job state machine, watchdog</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ingestion/</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EMIT search (CMR), download (Earthdata), GLT orthorectification, cloud mask; Landsat STAC search and window reads</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preprocessing/</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Dask spectral cleaning (EMIT) and Landsat thermal calibration, wired to Kafka</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ml_inference/</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HydraNet serving (ONNX Runtime), map layers (COG + PNG), STAC items, shadow verification, model hot swap</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libs/hydra/</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 feature specification, feature extraction, classical methods (teachers), runtime, maps; parity tests</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libs/hs_common/</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storage (S3/MinIO), Kafka worker, message contracts, status, metrics, geo outputs, data sources</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training/</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data generation, training, ONNX export, gates, map verification; artifacts/models/v1</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frontend/</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React 19 + Vite + Leaflet single-page app</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pipelines/</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Dagster batch assets (catalog, pre-staging, compaction, Gold tables, agreement report, backups)</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infra/</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MinIO (built from source), Kafka topics, Postgres init, nginx, Prometheus, Grafana, Terraform (AWS)</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contracts/</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JSON Schemas for every Kafka topic, generated from the pydantic models</w:t>
            </w:r>
          </w:p>
        </w:tc>
      </w:tr>
      <w:tr>
        <w:tc>
          <w:tcPr>
            <w:tcW w:type="dxa" w:w="25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tests/, scripts/, tools/</w:t>
            </w:r>
          </w:p>
        </w:tc>
        <w:tc>
          <w:tcPr>
            <w:tcW w:type="dxa" w:w="64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end-to-end, browser, security and load tests; ops scripts; one-shot init container</w:t>
            </w:r>
          </w:p>
        </w:tc>
      </w:tr>
    </w:tbl>
    <w:p>
      <w:pPr>
        <w:spacing w:after="120"/>
      </w:pPr>
    </w:p>
    <w:p>
      <w:pPr>
        <w:spacing w:after="120" w:line="276"/>
      </w:pPr>
      <w:r>
        <w:t xml:space="preserve">A repository audit (20 October 2026) removed obsolete files (a stale hand-off note, a template icon sprite, an unused test library, unused storage helpers and dead UI code), fixed a fresh-clone failure (the LUT needed for shadow verification was not tracked), and restored the browser test after the UI became real-imagery-only.</w:t>
      </w:r>
    </w:p>
    <w:p>
      <w:pPr>
        <w:pStyle w:val="Heading1"/>
        <w:pageBreakBefore/>
      </w:pPr>
      <w:r>
        <w:t xml:space="preserve">4. System architecture</w:t>
      </w:r>
    </w:p>
    <w:p>
      <w:pPr>
        <w:keepNext/>
        <w:spacing w:before="120" w:after="40"/>
        <w:jc w:val="center"/>
      </w:pPr>
      <w:r>
        <w:drawing>
          <wp:inline distT="0" distB="0" distL="0" distR="0">
            <wp:extent cx="5762625" cy="3305175"/>
            <wp:effectExtent t="0" r="0" b="0" l="0"/>
            <wp:docPr id="1" name="fig_architecture.png" descr="Platform architecture. Blue: Go services; green: Python workers; orange: Kafka; gray: state and storage." title="Platform architecture. Blue: Go services; green: Python workers; orange: Kafka; gray: state and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305175"/>
                    </a:xfrm>
                    <a:prstGeom prst="rect">
                      <a:avLst/>
                    </a:prstGeom>
                  </pic:spPr>
                </pic:pic>
              </a:graphicData>
            </a:graphic>
          </wp:inline>
        </w:drawing>
      </w:r>
    </w:p>
    <w:p>
      <w:pPr>
        <w:spacing w:after="200"/>
        <w:jc w:val="center"/>
      </w:pPr>
      <w:r>
        <w:rPr>
          <w:b/>
          <w:bCs/>
          <w:color w:val="52514E"/>
          <w:sz w:val="18"/>
          <w:szCs w:val="18"/>
        </w:rPr>
        <w:t xml:space="preserve">Figure 1. </w:t>
      </w:r>
      <w:r>
        <w:rPr>
          <w:color w:val="52514E"/>
          <w:sz w:val="18"/>
          <w:szCs w:val="18"/>
        </w:rPr>
        <w:t xml:space="preserve">Platform architecture. Blue: Go services; green: Python workers; orange: Kafka; gray: state and storage.</w:t>
      </w:r>
    </w:p>
    <w:p>
      <w:pPr>
        <w:keepNext/>
        <w:spacing w:before="120" w:after="60"/>
      </w:pPr>
      <w:r>
        <w:rPr>
          <w:b/>
          <w:bCs/>
          <w:color w:val="52514E"/>
          <w:sz w:val="18"/>
          <w:szCs w:val="18"/>
        </w:rPr>
        <w:t xml:space="preserve">Table 5. </w:t>
      </w:r>
      <w:r>
        <w:rPr>
          <w:color w:val="52514E"/>
          <w:sz w:val="18"/>
          <w:szCs w:val="18"/>
        </w:rPr>
        <w:t xml:space="preserve">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138"/>
        <w:gridCol w:w="4988"/>
      </w:tblGrid>
      <w:tr>
        <w:trPr>
          <w:tblHeader/>
        </w:trPr>
        <w:tc>
          <w:tcPr>
            <w:tcW w:type="dxa" w:w="1900"/>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Component</w:t>
            </w:r>
          </w:p>
        </w:tc>
        <w:tc>
          <w:tcPr>
            <w:tcW w:type="dxa" w:w="2138"/>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Technology</w:t>
            </w:r>
          </w:p>
        </w:tc>
        <w:tc>
          <w:tcPr>
            <w:tcW w:type="dxa" w:w="4988"/>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Role</w:t>
            </w:r>
          </w:p>
        </w:tc>
      </w:tr>
      <w:t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Edge</w:t>
            </w:r>
          </w:p>
        </w:tc>
        <w:tc>
          <w:tcPr>
            <w:tcW w:type="dxa" w:w="213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nginx (local) / CloudFront (AWS)</w:t>
            </w:r>
          </w:p>
        </w:tc>
        <w:tc>
          <w:tcPr>
            <w:tcW w:type="dxa" w:w="49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TLS, static SPA, strict CSP and security headers, 30 req/s per-IP limit, overwrites the client-IP header</w:t>
            </w:r>
          </w:p>
        </w:tc>
      </w:tr>
      <w:t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api_gateway</w:t>
            </w:r>
          </w:p>
        </w:tc>
        <w:tc>
          <w:tcPr>
            <w:tcW w:type="dxa" w:w="213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Go 1.26, gin</w:t>
            </w:r>
          </w:p>
        </w:tc>
        <w:tc>
          <w:tcPr>
            <w:tcW w:type="dxa" w:w="49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auth (JWT + refresh cookies), job submission, validation, admission control (3 active jobs/user, 500 global), result reuse, presigned map URLs, SSE</w:t>
            </w:r>
          </w:p>
        </w:tc>
      </w:tr>
      <w:t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orchestrator</w:t>
            </w:r>
          </w:p>
        </w:tc>
        <w:tc>
          <w:tcPr>
            <w:tcW w:type="dxa" w:w="213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Go</w:t>
            </w:r>
          </w:p>
        </w:tc>
        <w:tc>
          <w:tcPr>
            <w:tcW w:type="dxa" w:w="49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consumes job.status and ml.results; per-task state machine; watchdog marks stages past their SLA as timed out; finishes coalesced follower jobs</w:t>
            </w:r>
          </w:p>
        </w:tc>
      </w:tr>
      <w:t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ingestion</w:t>
            </w:r>
          </w:p>
        </w:tc>
        <w:tc>
          <w:tcPr>
            <w:tcW w:type="dxa" w:w="213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Python</w:t>
            </w:r>
          </w:p>
        </w:tc>
        <w:tc>
          <w:tcPr>
            <w:tcW w:type="dxa" w:w="49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EMIT and Landsat acquisition; stages each EMIT granule once platform-wide (Redis lock)</w:t>
            </w:r>
          </w:p>
        </w:tc>
      </w:tr>
      <w:t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preprocessing</w:t>
            </w:r>
          </w:p>
        </w:tc>
        <w:tc>
          <w:tcPr>
            <w:tcW w:type="dxa" w:w="213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Python, Dask, Xarray</w:t>
            </w:r>
          </w:p>
        </w:tc>
        <w:tc>
          <w:tcPr>
            <w:tcW w:type="dxa" w:w="49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spectral cleaning of EMIT cubes; Landsat ST calibration and reprojection</w:t>
            </w:r>
          </w:p>
        </w:tc>
      </w:tr>
      <w:t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ml_inference</w:t>
            </w:r>
          </w:p>
        </w:tc>
        <w:tc>
          <w:tcPr>
            <w:tcW w:type="dxa" w:w="213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Python, ONNX Runtime</w:t>
            </w:r>
          </w:p>
        </w:tc>
        <w:tc>
          <w:tcPr>
            <w:tcW w:type="dxa" w:w="49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HydraNet inference, map layers, STAC, shadow verification against the classical method</w:t>
            </w:r>
          </w:p>
        </w:tc>
      </w:tr>
      <w:t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event_sink</w:t>
            </w:r>
          </w:p>
        </w:tc>
        <w:tc>
          <w:tcPr>
            <w:tcW w:type="dxa" w:w="213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Python</w:t>
            </w:r>
          </w:p>
        </w:tc>
        <w:tc>
          <w:tcPr>
            <w:tcW w:type="dxa" w:w="49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writes every Kafka event to the Bronze lake as Parquet</w:t>
            </w:r>
          </w:p>
        </w:tc>
      </w:tr>
      <w:t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Kafka</w:t>
            </w:r>
          </w:p>
        </w:tc>
        <w:tc>
          <w:tcPr>
            <w:tcW w:type="dxa" w:w="213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Apache Kafka (KRaft)</w:t>
            </w:r>
          </w:p>
        </w:tc>
        <w:tc>
          <w:tcPr>
            <w:tcW w:type="dxa" w:w="49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8 topics, at-least-once delivery, DLQ</w:t>
            </w:r>
          </w:p>
        </w:tc>
      </w:tr>
      <w:t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Redis</w:t>
            </w:r>
          </w:p>
        </w:tc>
        <w:tc>
          <w:tcPr>
            <w:tcW w:type="dxa" w:w="213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Redis 7</w:t>
            </w:r>
          </w:p>
        </w:tc>
        <w:tc>
          <w:tcPr>
            <w:tcW w:type="dxa" w:w="49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live status (pub/sub), idempotency keys, locks, rate limits, token denylist</w:t>
            </w:r>
          </w:p>
        </w:tc>
      </w:tr>
      <w:t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PostgreSQL + PostGIS</w:t>
            </w:r>
          </w:p>
        </w:tc>
        <w:tc>
          <w:tcPr>
            <w:tcW w:type="dxa" w:w="213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Postgres 16</w:t>
            </w:r>
          </w:p>
        </w:tc>
        <w:tc>
          <w:tcPr>
            <w:tcW w:type="dxa" w:w="49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system of record: users, jobs, tasks, layers, catalog, model registry, outbox, audit log</w:t>
            </w:r>
          </w:p>
        </w:tc>
      </w:tr>
      <w:t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Object storage</w:t>
            </w:r>
          </w:p>
        </w:tc>
        <w:tc>
          <w:tcPr>
            <w:tcW w:type="dxa" w:w="213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MinIO / Amazon S3</w:t>
            </w:r>
          </w:p>
        </w:tc>
        <w:tc>
          <w:tcPr>
            <w:tcW w:type="dxa" w:w="49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data lake (bronze/silver/gold), models, maps</w:t>
            </w:r>
          </w:p>
        </w:tc>
      </w:tr>
      <w:t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Dagster</w:t>
            </w:r>
          </w:p>
        </w:tc>
        <w:tc>
          <w:tcPr>
            <w:tcW w:type="dxa" w:w="213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Python</w:t>
            </w:r>
          </w:p>
        </w:tc>
        <w:tc>
          <w:tcPr>
            <w:tcW w:type="dxa" w:w="49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batch pipelines</w:t>
            </w:r>
          </w:p>
        </w:tc>
      </w:tr>
      <w:t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Prometheus + Grafana</w:t>
            </w:r>
          </w:p>
        </w:tc>
        <w:tc>
          <w:tcPr>
            <w:tcW w:type="dxa" w:w="213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p>
        </w:tc>
        <w:tc>
          <w:tcPr>
            <w:tcW w:type="dxa" w:w="49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metrics, alerts (DLQ, NN disagreement, backlog, gateway errors, outbox stuck)</w:t>
            </w:r>
          </w:p>
        </w:tc>
      </w:tr>
    </w:tbl>
    <w:p>
      <w:pPr>
        <w:spacing w:after="120"/>
      </w:pPr>
    </w:p>
    <w:p>
      <w:pPr>
        <w:pStyle w:val="Heading2"/>
      </w:pPr>
      <w:r>
        <w:t xml:space="preserve">4.1 Life of a job</w:t>
      </w:r>
    </w:p>
    <w:p>
      <w:pPr>
        <w:keepNext/>
        <w:spacing w:before="120" w:after="40"/>
        <w:jc w:val="center"/>
      </w:pPr>
      <w:r>
        <w:drawing>
          <wp:inline distT="0" distB="0" distL="0" distR="0">
            <wp:extent cx="5762625" cy="1666875"/>
            <wp:effectExtent t="0" r="0" b="0" l="0"/>
            <wp:docPr id="1" name="fig_pipeline.png" descr="A job flows through Kafka topics; each stage reports progress on job.status." title="A job flows through Kafka topics; each stage reports progress on job.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666875"/>
                    </a:xfrm>
                    <a:prstGeom prst="rect">
                      <a:avLst/>
                    </a:prstGeom>
                  </pic:spPr>
                </pic:pic>
              </a:graphicData>
            </a:graphic>
          </wp:inline>
        </w:drawing>
      </w:r>
    </w:p>
    <w:p>
      <w:pPr>
        <w:spacing w:after="200"/>
        <w:jc w:val="center"/>
      </w:pPr>
      <w:r>
        <w:rPr>
          <w:b/>
          <w:bCs/>
          <w:color w:val="52514E"/>
          <w:sz w:val="18"/>
          <w:szCs w:val="18"/>
        </w:rPr>
        <w:t xml:space="preserve">Figure 2. </w:t>
      </w:r>
      <w:r>
        <w:rPr>
          <w:color w:val="52514E"/>
          <w:sz w:val="18"/>
          <w:szCs w:val="18"/>
        </w:rPr>
        <w:t xml:space="preserve">A job flows through Kafka topics; each stage reports progress on job.status.</w:t>
      </w:r>
    </w:p>
    <w:p>
      <w:pPr>
        <w:pStyle w:val="ListParagraph"/>
        <w:numPr>
          <w:ilvl w:val="0"/>
          <w:numId w:val="3"/>
        </w:numPr>
        <w:spacing w:after="60"/>
      </w:pPr>
      <w:r>
        <w:t xml:space="preserve">The browser POSTs the box, tasks and dates to /api/jobs with an Idempotency-Key. The gateway validates them, checks quotas, and looks for an identical finished job (same box, tasks, dates, source and model): if found, the maps are reused instantly; if an identical job is in flight, the new job follows it (coalescing).</w:t>
      </w:r>
    </w:p>
    <w:p>
      <w:pPr>
        <w:pStyle w:val="ListParagraph"/>
        <w:numPr>
          <w:ilvl w:val="0"/>
          <w:numId w:val="3"/>
        </w:numPr>
        <w:spacing w:after="60"/>
      </w:pPr>
      <w:r>
        <w:t xml:space="preserve">The job and an ingest.requests message are written in </w:t>
      </w:r>
      <w:r>
        <w:rPr>
          <w:b/>
          <w:bCs/>
        </w:rPr>
        <w:t xml:space="preserve">one database transaction</w:t>
      </w:r>
      <w:r>
        <w:t xml:space="preserve"> (transactional outbox); a relay publishes the outbox to Kafka, so a crash can never lose or duplicate a job.</w:t>
      </w:r>
    </w:p>
    <w:p>
      <w:pPr>
        <w:pStyle w:val="ListParagraph"/>
        <w:numPr>
          <w:ilvl w:val="0"/>
          <w:numId w:val="3"/>
        </w:numPr>
        <w:spacing w:after="60"/>
      </w:pPr>
      <w:r>
        <w:t xml:space="preserve">Ingestion fetches imagery for each sensor and publishes raw.hyperspectral / raw.thermal; preprocessing cleans it and publishes preprocessed.*; ml_inference runs HydraNet, writes the layers and publishes ml.results.</w:t>
      </w:r>
    </w:p>
    <w:p>
      <w:pPr>
        <w:pStyle w:val="ListParagraph"/>
        <w:numPr>
          <w:ilvl w:val="0"/>
          <w:numId w:val="3"/>
        </w:numPr>
        <w:spacing w:after="60"/>
      </w:pPr>
      <w:r>
        <w:t xml:space="preserve">Each worker is idempotent (Redis key per job and stage), retries transient errors three times with back-off and sends permanent failures to the dlq topic. A task with no data (no clear acquisition) ends as NO_DATA without failing the others.</w:t>
      </w:r>
    </w:p>
    <w:p>
      <w:pPr>
        <w:pStyle w:val="ListParagraph"/>
        <w:numPr>
          <w:ilvl w:val="0"/>
          <w:numId w:val="3"/>
        </w:numPr>
        <w:spacing w:after="60"/>
      </w:pPr>
      <w:r>
        <w:t xml:space="preserve">The orchestrator updates the job (DONE, PARTIAL, FAILED, TIMED_OUT, CANCELLED); the browser follows live through Server-Sent Events backed by Redis pub/sub, with polling as a fallback.</w:t>
      </w:r>
    </w:p>
    <w:p>
      <w:pPr>
        <w:pStyle w:val="Heading1"/>
        <w:pageBreakBefore/>
      </w:pPr>
      <w:r>
        <w:t xml:space="preserve">5. Data sources and acquisition</w:t>
      </w:r>
    </w:p>
    <w:p>
      <w:pPr>
        <w:keepNext/>
        <w:spacing w:before="120" w:after="60"/>
      </w:pPr>
      <w:r>
        <w:rPr>
          <w:b/>
          <w:bCs/>
          <w:color w:val="52514E"/>
          <w:sz w:val="18"/>
          <w:szCs w:val="18"/>
        </w:rPr>
        <w:t xml:space="preserve">Table 6. </w:t>
      </w:r>
      <w:r>
        <w:rPr>
          <w:color w:val="52514E"/>
          <w:sz w:val="18"/>
          <w:szCs w:val="18"/>
        </w:rPr>
        <w:t xml:space="preserve">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42"/>
        <w:gridCol w:w="3522"/>
        <w:gridCol w:w="2862"/>
      </w:tblGrid>
      <w:tr>
        <w:trPr>
          <w:tblHeader/>
        </w:trPr>
        <w:tc>
          <w:tcPr>
            <w:tcW w:type="dxa" w:w="2642"/>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Source</w:t>
            </w:r>
          </w:p>
        </w:tc>
        <w:tc>
          <w:tcPr>
            <w:tcW w:type="dxa" w:w="3522"/>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What</w:t>
            </w:r>
          </w:p>
        </w:tc>
        <w:tc>
          <w:tcPr>
            <w:tcW w:type="dxa" w:w="2862"/>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Access</w:t>
            </w:r>
          </w:p>
        </w:tc>
      </w:tr>
      <w:tr>
        <w:tc>
          <w:tcPr>
            <w:tcW w:type="dxa" w:w="264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NASA EMIT L2A RFL (EMITL2ARFL)</w:t>
            </w:r>
          </w:p>
        </w:tc>
        <w:tc>
          <w:tcPr>
            <w:tcW w:type="dxa" w:w="352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surface reflectance, 285 bands 381–2493 nm, 60 m, swath geometry with a geometry lookup table (GLT)</w:t>
            </w:r>
          </w:p>
        </w:tc>
        <w:tc>
          <w:tcPr>
            <w:tcW w:type="dxa" w:w="286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search: NASA CMR (public); download: Earthdata Login bearer token</w:t>
            </w:r>
          </w:p>
        </w:tc>
      </w:tr>
      <w:tr>
        <w:tc>
          <w:tcPr>
            <w:tcW w:type="dxa" w:w="264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NASA EMIT L2A MASK</w:t>
            </w:r>
          </w:p>
        </w:tc>
        <w:tc>
          <w:tcPr>
            <w:tcW w:type="dxa" w:w="352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cloud, cirrus, water, spacecraft and dilated-cloud flags</w:t>
            </w:r>
          </w:p>
        </w:tc>
        <w:tc>
          <w:tcPr>
            <w:tcW w:type="dxa" w:w="286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matched to the reflectance granule by acquisition time (±2 s)</w:t>
            </w:r>
          </w:p>
        </w:tc>
      </w:tr>
      <w:tr>
        <w:tc>
          <w:tcPr>
            <w:tcW w:type="dxa" w:w="264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Landsat 8/9 Collection 2 Level-2</w:t>
            </w:r>
          </w:p>
        </w:tc>
        <w:tc>
          <w:tcPr>
            <w:tcW w:type="dxa" w:w="352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ST_B10 surface temperature, QA_PIXEL, MTL metadata, 30 m</w:t>
            </w:r>
          </w:p>
        </w:tc>
        <w:tc>
          <w:tcPr>
            <w:tcW w:type="dxa" w:w="286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Microsoft Planetary Computer STAC (free, anonymous); only the box window of the Cloud-Optimized GeoTIFF is read</w:t>
            </w:r>
          </w:p>
        </w:tc>
      </w:tr>
      <w:tr>
        <w:tc>
          <w:tcPr>
            <w:tcW w:type="dxa" w:w="264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USGS spectral library</w:t>
            </w:r>
          </w:p>
        </w:tc>
        <w:tc>
          <w:tcPr>
            <w:tcW w:type="dxa" w:w="352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12 reference mineral spectra (alunite … quartz)</w:t>
            </w:r>
          </w:p>
        </w:tc>
        <w:tc>
          <w:tcPr>
            <w:tcW w:type="dxa" w:w="286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Mineral/*.csv, resampled to EMIT bands</w:t>
            </w:r>
          </w:p>
        </w:tc>
      </w:tr>
      <w:tr>
        <w:tc>
          <w:tcPr>
            <w:tcW w:type="dxa" w:w="264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RTM_NN_TRAINING_DATASET_WAVELENGTHS.csv</w:t>
            </w:r>
          </w:p>
        </w:tc>
        <w:tc>
          <w:tcPr>
            <w:tcW w:type="dxa" w:w="352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10,000 PROSAIL spectra at 24 wavelengths with Cab, Car, Cw, Cm, LAI, ALA</w:t>
            </w:r>
          </w:p>
        </w:tc>
        <w:tc>
          <w:tcPr>
            <w:tcW w:type="dxa" w:w="286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Agriculture/</w:t>
            </w:r>
          </w:p>
        </w:tc>
      </w:tr>
      <w:tr>
        <w:tc>
          <w:tcPr>
            <w:tcW w:type="dxa" w:w="264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 dataset_sample.csv / training_sample.csv</w:t>
            </w:r>
          </w:p>
        </w:tc>
        <w:tc>
          <w:tcPr>
            <w:tcW w:type="dxa" w:w="352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real EMIT pixel spectra with published teacher labels; owner's training set</w:t>
            </w:r>
          </w:p>
        </w:tc>
        <w:tc>
          <w:tcPr>
            <w:tcW w:type="dxa" w:w="286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w:t>
            </w:r>
          </w:p>
        </w:tc>
      </w:tr>
      <w:tr>
        <w:tc>
          <w:tcPr>
            <w:tcW w:type="dxa" w:w="264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HyperSpectral_Processer_macOS.csv</w:t>
            </w:r>
          </w:p>
        </w:tc>
        <w:tc>
          <w:tcPr>
            <w:tcW w:type="dxa" w:w="352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thermal processor output used to calibrate the thermal rules</w:t>
            </w:r>
          </w:p>
        </w:tc>
        <w:tc>
          <w:tcPr>
            <w:tcW w:type="dxa" w:w="286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Thermal/</w:t>
            </w:r>
          </w:p>
        </w:tc>
      </w:tr>
    </w:tbl>
    <w:p>
      <w:pPr>
        <w:spacing w:after="120"/>
      </w:pPr>
    </w:p>
    <w:p>
      <w:pPr>
        <w:pStyle w:val="Heading2"/>
      </w:pPr>
      <w:r>
        <w:t xml:space="preserve">5.1 API or download-and-stage?</w:t>
      </w:r>
    </w:p>
    <w:p>
      <w:pPr>
        <w:spacing w:after="120" w:line="276"/>
      </w:pPr>
      <w:r>
        <w:t xml:space="preserve">EMIT files are 1.8–1.9 GB netCDF granules with no server-side subsetting, so the platform </w:t>
      </w:r>
      <w:r>
        <w:rPr>
          <w:b/>
          <w:bCs/>
        </w:rPr>
        <w:t xml:space="preserve">downloads each granule once, stages it in the Bronze lake, and crops every later job from the staged copy</w:t>
      </w:r>
      <w:r>
        <w:t xml:space="preserve"> (a Redis lock makes concurrent jobs wait for one download instead of starting several). Landsat is served as Cloud-Optimized GeoTIFFs, so only the few hundred KB inside the box are read over HTTP range requests and no staging is needed. A Dagster asset can pre-stage the clearest recent EMIT granules for the service region, so users rarely wait for NASA.</w:t>
      </w:r>
    </w:p>
    <w:p>
      <w:pPr>
        <w:spacing w:after="120" w:line="276"/>
      </w:pPr>
      <w:r>
        <w:t xml:space="preserve">Orthorectification: each EMIT file carries a GLT that maps every pixel of a north-up EPSG:4326 grid to a swath pixel. The ingestion crops that grid to the box and reads only the swath rows needed, which matches NASA's emit_tools output (unit-tested on a file with EMIT's exact layout and now exercised on a real granule, section 11.5).</w:t>
      </w:r>
    </w:p>
    <w:p>
      <w:pPr>
        <w:pStyle w:val="Heading1"/>
        <w:pageBreakBefore/>
      </w:pPr>
      <w:r>
        <w:t xml:space="preserve">6. Data engineering</w:t>
      </w:r>
    </w:p>
    <w:p>
      <w:pPr>
        <w:pStyle w:val="Heading2"/>
      </w:pPr>
      <w:r>
        <w:t xml:space="preserve">6.1 Event streaming (Kafka)</w:t>
      </w:r>
    </w:p>
    <w:p>
      <w:pPr>
        <w:keepNext/>
        <w:spacing w:before="120" w:after="60"/>
      </w:pPr>
      <w:r>
        <w:rPr>
          <w:b/>
          <w:bCs/>
          <w:color w:val="52514E"/>
          <w:sz w:val="18"/>
          <w:szCs w:val="18"/>
        </w:rPr>
        <w:t xml:space="preserve">Table 7. </w:t>
      </w:r>
      <w:r>
        <w:rPr>
          <w:color w:val="52514E"/>
          <w:sz w:val="18"/>
          <w:szCs w:val="18"/>
        </w:rPr>
        <w:t xml:space="preserve">Kafka topics (partitions bound the maximum parallel workers per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7"/>
        <w:gridCol w:w="1220"/>
        <w:gridCol w:w="1220"/>
        <w:gridCol w:w="3659"/>
      </w:tblGrid>
      <w:tr>
        <w:trPr>
          <w:tblHeader/>
        </w:trPr>
        <w:tc>
          <w:tcPr>
            <w:tcW w:type="dxa" w:w="2927"/>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Topic</w:t>
            </w:r>
          </w:p>
        </w:tc>
        <w:tc>
          <w:tcPr>
            <w:tcW w:type="dxa" w:w="1220"/>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Partitions</w:t>
            </w:r>
          </w:p>
        </w:tc>
        <w:tc>
          <w:tcPr>
            <w:tcW w:type="dxa" w:w="1220"/>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Retention</w:t>
            </w:r>
          </w:p>
        </w:tc>
        <w:tc>
          <w:tcPr>
            <w:tcW w:type="dxa" w:w="3659"/>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Producer → consumer</w:t>
            </w:r>
          </w:p>
        </w:tc>
      </w:tr>
      <w:tr>
        <w:tc>
          <w:tcPr>
            <w:tcW w:type="dxa" w:w="292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ingest.requests</w:t>
            </w:r>
          </w:p>
        </w:tc>
        <w:tc>
          <w:tcPr>
            <w:tcW w:type="dxa" w:w="122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12</w:t>
            </w:r>
          </w:p>
        </w:tc>
        <w:tc>
          <w:tcPr>
            <w:tcW w:type="dxa" w:w="122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7 days</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gateway outbox → ingestion</w:t>
            </w:r>
          </w:p>
        </w:tc>
      </w:tr>
      <w:tr>
        <w:tc>
          <w:tcPr>
            <w:tcW w:type="dxa" w:w="292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raw.hyperspectral</w:t>
            </w:r>
          </w:p>
        </w:tc>
        <w:tc>
          <w:tcPr>
            <w:tcW w:type="dxa" w:w="122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12</w:t>
            </w:r>
          </w:p>
        </w:tc>
        <w:tc>
          <w:tcPr>
            <w:tcW w:type="dxa" w:w="122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7 days</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ingestion → preprocessing</w:t>
            </w:r>
          </w:p>
        </w:tc>
      </w:tr>
      <w:tr>
        <w:tc>
          <w:tcPr>
            <w:tcW w:type="dxa" w:w="292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raw.thermal</w:t>
            </w:r>
          </w:p>
        </w:tc>
        <w:tc>
          <w:tcPr>
            <w:tcW w:type="dxa" w:w="122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6</w:t>
            </w:r>
          </w:p>
        </w:tc>
        <w:tc>
          <w:tcPr>
            <w:tcW w:type="dxa" w:w="122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7 days</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ingestion → preprocessing-thermal</w:t>
            </w:r>
          </w:p>
        </w:tc>
      </w:tr>
      <w:tr>
        <w:tc>
          <w:tcPr>
            <w:tcW w:type="dxa" w:w="292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preprocessed.hyperspectral</w:t>
            </w:r>
          </w:p>
        </w:tc>
        <w:tc>
          <w:tcPr>
            <w:tcW w:type="dxa" w:w="122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12</w:t>
            </w:r>
          </w:p>
        </w:tc>
        <w:tc>
          <w:tcPr>
            <w:tcW w:type="dxa" w:w="122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7 days</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preprocessing → ml_inference</w:t>
            </w:r>
          </w:p>
        </w:tc>
      </w:tr>
      <w:tr>
        <w:tc>
          <w:tcPr>
            <w:tcW w:type="dxa" w:w="292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preprocessed.thermal</w:t>
            </w:r>
          </w:p>
        </w:tc>
        <w:tc>
          <w:tcPr>
            <w:tcW w:type="dxa" w:w="122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6</w:t>
            </w:r>
          </w:p>
        </w:tc>
        <w:tc>
          <w:tcPr>
            <w:tcW w:type="dxa" w:w="122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7 days</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preprocessing-thermal → ml_inference</w:t>
            </w:r>
          </w:p>
        </w:tc>
      </w:tr>
      <w:tr>
        <w:tc>
          <w:tcPr>
            <w:tcW w:type="dxa" w:w="292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ml.results</w:t>
            </w:r>
          </w:p>
        </w:tc>
        <w:tc>
          <w:tcPr>
            <w:tcW w:type="dxa" w:w="122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6</w:t>
            </w:r>
          </w:p>
        </w:tc>
        <w:tc>
          <w:tcPr>
            <w:tcW w:type="dxa" w:w="122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7 days</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ml_inference → orchestrator</w:t>
            </w:r>
          </w:p>
        </w:tc>
      </w:tr>
      <w:tr>
        <w:tc>
          <w:tcPr>
            <w:tcW w:type="dxa" w:w="292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job.status</w:t>
            </w:r>
          </w:p>
        </w:tc>
        <w:tc>
          <w:tcPr>
            <w:tcW w:type="dxa" w:w="122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12</w:t>
            </w:r>
          </w:p>
        </w:tc>
        <w:tc>
          <w:tcPr>
            <w:tcW w:type="dxa" w:w="122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7 days</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every stage → orchestrator, event_sink</w:t>
            </w:r>
          </w:p>
        </w:tc>
      </w:tr>
      <w:tr>
        <w:tc>
          <w:tcPr>
            <w:tcW w:type="dxa" w:w="292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dlq</w:t>
            </w:r>
          </w:p>
        </w:tc>
        <w:tc>
          <w:tcPr>
            <w:tcW w:type="dxa" w:w="122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w:t>
            </w:r>
          </w:p>
        </w:tc>
        <w:tc>
          <w:tcPr>
            <w:tcW w:type="dxa" w:w="122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30 days</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any worker (after 3 retries) → operators</w:t>
            </w:r>
          </w:p>
        </w:tc>
      </w:tr>
    </w:tbl>
    <w:p>
      <w:pPr>
        <w:spacing w:after="120"/>
      </w:pPr>
    </w:p>
    <w:p>
      <w:pPr>
        <w:spacing w:after="120" w:line="276"/>
      </w:pPr>
      <w:r>
        <w:t xml:space="preserve">Messages are JSON, defined once as pydantic models (libs/hs_common/messages.py). JSON Schemas are generated into contracts/ and a Go test checks the Go structs against them, so producers and consumers cannot drift. Delivery is at-least-once; consumers are idempotent. Large payloads (cubes, rasters) never travel through Kafka: messages carry object-storage keys.</w:t>
      </w:r>
    </w:p>
    <w:p>
      <w:pPr>
        <w:pStyle w:val="Heading2"/>
      </w:pPr>
      <w:r>
        <w:t xml:space="preserve">6.2 Redis</w:t>
      </w:r>
    </w:p>
    <w:p>
      <w:pPr>
        <w:pStyle w:val="ListParagraph"/>
        <w:numPr>
          <w:ilvl w:val="0"/>
          <w:numId w:val="4"/>
        </w:numPr>
        <w:spacing w:after="60"/>
      </w:pPr>
      <w:r>
        <w:t xml:space="preserve">Live job status: workers publish, the gateway streams to browsers (SSE).</w:t>
      </w:r>
    </w:p>
    <w:p>
      <w:pPr>
        <w:pStyle w:val="ListParagraph"/>
        <w:numPr>
          <w:ilvl w:val="0"/>
          <w:numId w:val="4"/>
        </w:numPr>
        <w:spacing w:after="60"/>
      </w:pPr>
      <w:r>
        <w:t xml:space="preserve">Idempotency: done-keys per job and stage; reuse and in-flight keys for request coalescing.</w:t>
      </w:r>
    </w:p>
    <w:p>
      <w:pPr>
        <w:pStyle w:val="ListParagraph"/>
        <w:numPr>
          <w:ilvl w:val="0"/>
          <w:numId w:val="4"/>
        </w:numPr>
        <w:spacing w:after="60"/>
      </w:pPr>
      <w:r>
        <w:t xml:space="preserve">Distributed locks: one EMIT download per granule platform-wide.</w:t>
      </w:r>
    </w:p>
    <w:p>
      <w:pPr>
        <w:pStyle w:val="ListParagraph"/>
        <w:numPr>
          <w:ilvl w:val="0"/>
          <w:numId w:val="4"/>
        </w:numPr>
        <w:spacing w:after="60"/>
      </w:pPr>
      <w:r>
        <w:t xml:space="preserve">Rate limits (per IP, per user) and the access-token denylist / token versions.</w:t>
      </w:r>
    </w:p>
    <w:p>
      <w:pPr>
        <w:pStyle w:val="Heading2"/>
      </w:pPr>
      <w:r>
        <w:t xml:space="preserve">6.3 PostgreSQL + PostGIS (system of record)</w:t>
      </w:r>
    </w:p>
    <w:p>
      <w:pPr>
        <w:keepNext/>
        <w:spacing w:before="120" w:after="60"/>
      </w:pPr>
      <w:r>
        <w:rPr>
          <w:b/>
          <w:bCs/>
          <w:color w:val="52514E"/>
          <w:sz w:val="18"/>
          <w:szCs w:val="18"/>
        </w:rPr>
        <w:t xml:space="preserve">Table 8. </w:t>
      </w:r>
      <w:r>
        <w:rPr>
          <w:color w:val="52514E"/>
          <w:sz w:val="18"/>
          <w:szCs w:val="18"/>
        </w:rPr>
        <w:t xml:space="preserve">Database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7"/>
        <w:gridCol w:w="6099"/>
      </w:tblGrid>
      <w:tr>
        <w:trPr>
          <w:tblHeader/>
        </w:trPr>
        <w:tc>
          <w:tcPr>
            <w:tcW w:type="dxa" w:w="2927"/>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Table</w:t>
            </w:r>
          </w:p>
        </w:tc>
        <w:tc>
          <w:tcPr>
            <w:tcW w:type="dxa" w:w="6099"/>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Holds</w:t>
            </w:r>
          </w:p>
        </w:tc>
      </w:tr>
      <w:tr>
        <w:tc>
          <w:tcPr>
            <w:tcW w:type="dxa" w:w="292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users, refresh_tokens, audit_log</w:t>
            </w:r>
          </w:p>
        </w:tc>
        <w:tc>
          <w:tcPr>
            <w:tcW w:type="dxa" w:w="609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accounts, rotating refresh-token families, every authentication event</w:t>
            </w:r>
          </w:p>
        </w:tc>
      </w:tr>
      <w:tr>
        <w:tc>
          <w:tcPr>
            <w:tcW w:type="dxa" w:w="292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jobs, job_tasks, job_sources</w:t>
            </w:r>
          </w:p>
        </w:tc>
        <w:tc>
          <w:tcPr>
            <w:tcW w:type="dxa" w:w="609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requests (bbox as PostGIS geometry, GiST index), per-task state, which granule/scene was used</w:t>
            </w:r>
          </w:p>
        </w:tc>
      </w:tr>
      <w:tr>
        <w:tc>
          <w:tcPr>
            <w:tcW w:type="dxa" w:w="292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layers, job_results</w:t>
            </w:r>
          </w:p>
        </w:tc>
        <w:tc>
          <w:tcPr>
            <w:tcW w:type="dxa" w:w="609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every map layer (object key, stats, units, colormap) and per-task summaries and verification</w:t>
            </w:r>
          </w:p>
        </w:tc>
      </w:tr>
      <w:tr>
        <w:tc>
          <w:tcPr>
            <w:tcW w:type="dxa" w:w="292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catalog_granules</w:t>
            </w:r>
          </w:p>
        </w:tc>
        <w:tc>
          <w:tcPr>
            <w:tcW w:type="dxa" w:w="609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imagery catalog with footprints (GiST), filled by Dagster</w:t>
            </w:r>
          </w:p>
        </w:tc>
      </w:tr>
      <w:tr>
        <w:tc>
          <w:tcPr>
            <w:tcW w:type="dxa" w:w="292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model_versions</w:t>
            </w:r>
          </w:p>
        </w:tc>
        <w:tc>
          <w:tcPr>
            <w:tcW w:type="dxa" w:w="609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model registry: version, files, feature-spec hash, gates, which one is active</w:t>
            </w:r>
          </w:p>
        </w:tc>
      </w:tr>
      <w:tr>
        <w:tc>
          <w:tcPr>
            <w:tcW w:type="dxa" w:w="292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outbox, processed_events, dq_results</w:t>
            </w:r>
          </w:p>
        </w:tc>
        <w:tc>
          <w:tcPr>
            <w:tcW w:type="dxa" w:w="609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transactional outbox, consumer de-duplication, data-quality check results</w:t>
            </w:r>
          </w:p>
        </w:tc>
      </w:tr>
    </w:tbl>
    <w:p>
      <w:pPr>
        <w:spacing w:after="120"/>
      </w:pPr>
    </w:p>
    <w:p>
      <w:pPr>
        <w:pStyle w:val="Heading2"/>
      </w:pPr>
      <w:r>
        <w:t xml:space="preserve">6.4 Data lake (MinIO / S3)</w:t>
      </w:r>
    </w:p>
    <w:p>
      <w:pPr>
        <w:keepNext/>
        <w:spacing w:before="120" w:after="60"/>
      </w:pPr>
      <w:r>
        <w:rPr>
          <w:b/>
          <w:bCs/>
          <w:color w:val="52514E"/>
          <w:sz w:val="18"/>
          <w:szCs w:val="18"/>
        </w:rPr>
        <w:t xml:space="preserve">Table 9. </w:t>
      </w:r>
      <w:r>
        <w:rPr>
          <w:color w:val="52514E"/>
          <w:sz w:val="18"/>
          <w:szCs w:val="18"/>
        </w:rPr>
        <w:t xml:space="preserve">Lake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88"/>
        <w:gridCol w:w="4038"/>
        <w:gridCol w:w="3800"/>
      </w:tblGrid>
      <w:tr>
        <w:trPr>
          <w:tblHeader/>
        </w:trPr>
        <w:tc>
          <w:tcPr>
            <w:tcW w:type="dxa" w:w="1188"/>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Layer</w:t>
            </w:r>
          </w:p>
        </w:tc>
        <w:tc>
          <w:tcPr>
            <w:tcW w:type="dxa" w:w="4038"/>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Key pattern</w:t>
            </w:r>
          </w:p>
        </w:tc>
        <w:tc>
          <w:tcPr>
            <w:tcW w:type="dxa" w:w="3800"/>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Contents</w:t>
            </w:r>
          </w:p>
        </w:tc>
      </w:tr>
      <w:tr>
        <w:tc>
          <w:tcPr>
            <w:tcW w:type="dxa" w:w="11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Bronze</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bronze/emit/{granule}/…, bronze/events/topic=…/dt=…/</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raw EMIT granules exactly as downloaded; every Kafka event as Parquet (Hive partitions)</w:t>
            </w:r>
          </w:p>
        </w:tc>
      </w:tr>
      <w:tr>
        <w:tc>
          <w:tcPr>
            <w:tcW w:type="dxa" w:w="11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Silver</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silver/{job}/raw.zarr, reflectance.zarr, multiband.zarr, cloud.npy, landsat/…, thermal/lst.tif</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per-job working data: cropped cube, cleaned reflectance, LST in °C</w:t>
            </w:r>
          </w:p>
        </w:tc>
      </w:tr>
      <w:tr>
        <w:tc>
          <w:tcPr>
            <w:tcW w:type="dxa" w:w="11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Gold</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gold/results/{job}/{task}/*.tif|png, manifest.json, stac_item.json; gold/tables/{name}/dt=…/</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map layers (Cloud-Optimized GeoTIFF + colour PNG), STAC metadata, analytics tables</w:t>
            </w:r>
          </w:p>
        </w:tc>
      </w:tr>
      <w:tr>
        <w:tc>
          <w:tcPr>
            <w:tcW w:type="dxa" w:w="11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Models</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models/hydra/{version}/hydra.onnx, agri_lut.npz, model_card.json</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 model registry's files</w:t>
            </w:r>
          </w:p>
        </w:tc>
      </w:tr>
    </w:tbl>
    <w:p>
      <w:pPr>
        <w:spacing w:after="120"/>
      </w:pPr>
    </w:p>
    <w:p>
      <w:pPr>
        <w:spacing w:after="120" w:line="276"/>
      </w:pPr>
      <w:r>
        <w:t xml:space="preserve">The same code talks to MinIO locally and to Amazon S3 in AWS: only S3_ENDPOINT_URL and the keys change (empty endpoint = AWS). Lifecycle rules expire Silver after 30 days and keep Gold for 180 days.</w:t>
      </w:r>
    </w:p>
    <w:p>
      <w:pPr>
        <w:pStyle w:val="Heading2"/>
      </w:pPr>
      <w:r>
        <w:t xml:space="preserve">6.5 Batch pipelines (Dagster)</w:t>
      </w:r>
    </w:p>
    <w:p>
      <w:pPr>
        <w:keepNext/>
        <w:spacing w:before="120" w:after="60"/>
      </w:pPr>
      <w:r>
        <w:rPr>
          <w:b/>
          <w:bCs/>
          <w:color w:val="52514E"/>
          <w:sz w:val="18"/>
          <w:szCs w:val="18"/>
        </w:rPr>
        <w:t xml:space="preserve">Table 10. </w:t>
      </w:r>
      <w:r>
        <w:rPr>
          <w:color w:val="52514E"/>
          <w:sz w:val="18"/>
          <w:szCs w:val="18"/>
        </w:rPr>
        <w:t xml:space="preserve">Dagster assets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8"/>
        <w:gridCol w:w="6268"/>
      </w:tblGrid>
      <w:tr>
        <w:trPr>
          <w:tblHeader/>
        </w:trPr>
        <w:tc>
          <w:tcPr>
            <w:tcW w:type="dxa" w:w="2758"/>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Asset</w:t>
            </w:r>
          </w:p>
        </w:tc>
        <w:tc>
          <w:tcPr>
            <w:tcW w:type="dxa" w:w="6268"/>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What it does</w:t>
            </w:r>
          </w:p>
        </w:tc>
      </w:tr>
      <w:tr>
        <w:tc>
          <w:tcPr>
            <w:tcW w:type="dxa" w:w="275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imagery_catalog</w:t>
            </w:r>
          </w:p>
        </w:tc>
        <w:tc>
          <w:tcPr>
            <w:tcW w:type="dxa" w:w="62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EMIT and Landsat acquisitions over the region, with footprints, into PostGIS</w:t>
            </w:r>
          </w:p>
        </w:tc>
      </w:tr>
      <w:tr>
        <w:tc>
          <w:tcPr>
            <w:tcW w:type="dxa" w:w="275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prestaged_granules</w:t>
            </w:r>
          </w:p>
        </w:tc>
        <w:tc>
          <w:tcPr>
            <w:tcW w:type="dxa" w:w="62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downloads the clearest recent EMIT granules into Bronze ahead of demand</w:t>
            </w:r>
          </w:p>
        </w:tc>
      </w:tr>
      <w:tr>
        <w:tc>
          <w:tcPr>
            <w:tcW w:type="dxa" w:w="275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events_compacted</w:t>
            </w:r>
          </w:p>
        </w:tc>
        <w:tc>
          <w:tcPr>
            <w:tcW w:type="dxa" w:w="62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merges event-sink micro-batches into one Parquet file per topic and day</w:t>
            </w:r>
          </w:p>
        </w:tc>
      </w:tr>
      <w:tr>
        <w:tc>
          <w:tcPr>
            <w:tcW w:type="dxa" w:w="275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gold_job_facts, gold_layer_stats</w:t>
            </w:r>
          </w:p>
        </w:tc>
        <w:tc>
          <w:tcPr>
            <w:tcW w:type="dxa" w:w="62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one row per job with time per stage; per-layer statistics (drift, usage)</w:t>
            </w:r>
          </w:p>
        </w:tc>
      </w:tr>
      <w:tr>
        <w:tc>
          <w:tcPr>
            <w:tcW w:type="dxa" w:w="275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model_agreement_report</w:t>
            </w:r>
          </w:p>
        </w:tc>
        <w:tc>
          <w:tcPr>
            <w:tcW w:type="dxa" w:w="62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HydraNet vs classical agreement over the last 24 h; fails below the floor</w:t>
            </w:r>
          </w:p>
        </w:tc>
      </w:tr>
      <w:tr>
        <w:tc>
          <w:tcPr>
            <w:tcW w:type="dxa" w:w="275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db_housekeeping, pg_backup</w:t>
            </w:r>
          </w:p>
        </w:tc>
        <w:tc>
          <w:tcPr>
            <w:tcW w:type="dxa" w:w="62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prunes idempotency/outbox rows; nightly Postgres backup to storage</w:t>
            </w:r>
          </w:p>
        </w:tc>
      </w:tr>
    </w:tbl>
    <w:p>
      <w:pPr>
        <w:spacing w:after="120"/>
      </w:pPr>
    </w:p>
    <w:p>
      <w:pPr>
        <w:spacing w:after="120" w:line="276"/>
      </w:pPr>
      <w:r>
        <w:t xml:space="preserve">In AWS, Glue and Athena expose the Gold Parquet tables to SQL without a running database.</w:t>
      </w:r>
    </w:p>
    <w:p>
      <w:pPr>
        <w:pStyle w:val="Heading1"/>
        <w:pageBreakBefore/>
      </w:pPr>
      <w:r>
        <w:t xml:space="preserve">7. Preprocessing</w:t>
      </w:r>
    </w:p>
    <w:p>
      <w:pPr>
        <w:spacing w:after="120" w:line="276"/>
      </w:pPr>
      <w:r>
        <w:t xml:space="preserve">The hyperspectral preprocessing is the Dask module by Ananthanarayanan B. It works chunk by chunk, so memory stays bounded whatever the scene size; per-scene statistics are measured once to avoid seams between chunks.</w:t>
      </w:r>
    </w:p>
    <w:p>
      <w:pPr>
        <w:keepNext/>
        <w:spacing w:before="120" w:after="60"/>
      </w:pPr>
      <w:r>
        <w:rPr>
          <w:b/>
          <w:bCs/>
          <w:color w:val="52514E"/>
          <w:sz w:val="18"/>
          <w:szCs w:val="18"/>
        </w:rPr>
        <w:t xml:space="preserve">Table 11. </w:t>
      </w:r>
      <w:r>
        <w:rPr>
          <w:color w:val="52514E"/>
          <w:sz w:val="18"/>
          <w:szCs w:val="18"/>
        </w:rPr>
        <w:t xml:space="preserve">EMIT preprocessing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59"/>
        <w:gridCol w:w="5367"/>
      </w:tblGrid>
      <w:tr>
        <w:trPr>
          <w:tblHeader/>
        </w:trPr>
        <w:tc>
          <w:tcPr>
            <w:tcW w:type="dxa" w:w="3659"/>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Step</w:t>
            </w:r>
          </w:p>
        </w:tc>
        <w:tc>
          <w:tcPr>
            <w:tcW w:type="dxa" w:w="5367"/>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Why</w:t>
            </w:r>
          </w:p>
        </w:tc>
      </w:tr>
      <w:tr>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Quality gate on raw values</w:t>
            </w:r>
          </w:p>
        </w:tc>
        <w:tc>
          <w:tcPr>
            <w:tcW w:type="dxa" w:w="536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rejects scenes that are mostly no-data (&gt; 50 %); partly cloudy scenes are kept</w:t>
            </w:r>
          </w:p>
        </w:tc>
      </w:tr>
      <w:tr>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Fill (−9999), NaN, inf → 0; integer reflectance ÷ 10000</w:t>
            </w:r>
          </w:p>
        </w:tc>
        <w:tc>
          <w:tcPr>
            <w:tcW w:type="dxa" w:w="536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auto-detected; EMIT L2A is already 0..1</w:t>
            </w:r>
          </w:p>
        </w:tc>
      </w:tr>
      <w:tr>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Haze removal only for raw radiance</w:t>
            </w:r>
          </w:p>
        </w:tc>
        <w:tc>
          <w:tcPr>
            <w:tcW w:type="dxa" w:w="536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on EMIT L2A surface reflectance it destroys signal (NDVI +0.25 → −0.21 on a real crop), so it is skipped</w:t>
            </w:r>
          </w:p>
        </w:tc>
      </w:tr>
      <w:tr>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Interpolate water-vapour (1340–1460, 1790–1960 nm) and low-SNR bands</w:t>
            </w:r>
          </w:p>
        </w:tc>
        <w:tc>
          <w:tcPr>
            <w:tcW w:type="dxa" w:w="536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never deleted, so band positions never shift</w:t>
            </w:r>
          </w:p>
        </w:tc>
      </w:tr>
      <w:tr>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Savitzky-Golay smoothing (7, 2)</w:t>
            </w:r>
          </w:p>
        </w:tc>
        <w:tc>
          <w:tcPr>
            <w:tcW w:type="dxa" w:w="536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keeps the depth of the 2205 / 2350 nm absorption features</w:t>
            </w:r>
          </w:p>
        </w:tc>
      </w:tr>
      <w:tr>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Clip to [0, 1] last</w:t>
            </w:r>
          </w:p>
        </w:tc>
        <w:tc>
          <w:tcPr>
            <w:tcW w:type="dxa" w:w="536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smoothing can ring below 0</w:t>
            </w:r>
          </w:p>
        </w:tc>
      </w:tr>
      <w:tr>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Outputs</w:t>
            </w:r>
          </w:p>
        </w:tc>
        <w:tc>
          <w:tcPr>
            <w:tcW w:type="dxa" w:w="536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reflectance.zarr (all bands, HydraNet input) and multiband.zarr (16 measured target bands for quick looks)</w:t>
            </w:r>
          </w:p>
        </w:tc>
      </w:tr>
    </w:tbl>
    <w:p>
      <w:pPr>
        <w:spacing w:after="120"/>
      </w:pPr>
    </w:p>
    <w:p>
      <w:pPr>
        <w:spacing w:after="120" w:line="276"/>
      </w:pPr>
      <w:r>
        <w:t xml:space="preserve">Landsat: the ST_B10 digital numbers are converted to °C with the scene's own MTL calibration, clouds and shadows are removed with QA_PIXEL, and the raster is reprojected from its UTM zone to EPSG:4326 (nearest neighbour, so cloud edges are not smeared), so every layer of a job shares one grid.</w:t>
      </w:r>
    </w:p>
    <w:p>
      <w:pPr>
        <w:pStyle w:val="Heading1"/>
        <w:pageBreakBefore/>
      </w:pPr>
      <w:r>
        <w:t xml:space="preserve">8. The classical methods (teachers)</w:t>
      </w:r>
    </w:p>
    <w:p>
      <w:pPr>
        <w:spacing w:after="120" w:line="276"/>
      </w:pPr>
      <w:r>
        <w:t xml:space="preserve">These are the "normal ways" of making each map. They are implemented in libs/hydra/classical and verified </w:t>
      </w:r>
      <w:r>
        <w:rPr>
          <w:b/>
          <w:bCs/>
        </w:rPr>
        <w:t xml:space="preserve">bit-for-bit against the owners' reference code</w:t>
      </w:r>
      <w:r>
        <w:t xml:space="preserve"> (vendored in libs/hydra/tests/reference) by parity tests.</w:t>
      </w:r>
    </w:p>
    <w:p>
      <w:pPr>
        <w:pStyle w:val="Heading2"/>
      </w:pPr>
      <w:r>
        <w:t xml:space="preserve">8.1 Minerals: SAM + SMA/FCLS</w:t>
      </w:r>
    </w:p>
    <w:p>
      <w:pPr>
        <w:keepNext/>
        <w:spacing w:before="120" w:after="60"/>
      </w:pPr>
      <w:r>
        <w:rPr>
          <w:b/>
          <w:bCs/>
          <w:color w:val="52514E"/>
          <w:sz w:val="18"/>
          <w:szCs w:val="18"/>
        </w:rPr>
        <w:t xml:space="preserve">Table 12. </w:t>
      </w:r>
      <w:r>
        <w:rPr>
          <w:color w:val="52514E"/>
          <w:sz w:val="18"/>
          <w:szCs w:val="18"/>
        </w:rPr>
        <w:t xml:space="preserve">Mineral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9"/>
        <w:gridCol w:w="6587"/>
      </w:tblGrid>
      <w:tr>
        <w:trPr>
          <w:tblHeader/>
        </w:trPr>
        <w:tc>
          <w:tcPr>
            <w:tcW w:type="dxa" w:w="2439"/>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Setting</w:t>
            </w:r>
          </w:p>
        </w:tc>
        <w:tc>
          <w:tcPr>
            <w:tcW w:type="dxa" w:w="6587"/>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Value</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Library</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12 USGS minerals: alunite, calcite, chlorite, dolomite, goethite, gypsum, hematite, illite, kaolinite, montmorillonite, muscovite, quartz</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Bands</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255 good EMIT bands (water-vapour bands excluded)</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Continuum removal</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upper convex hull (numba)</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Class</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Spectral Angle Mapper: smallest angle wins; best angle &gt; 0.20 rad → unknown</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Abundance</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fully constrained least squares (non-negative, sum-to-one row weighted 1,000)</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Quality</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from the SMA fit residual (RMSE limit 0.10 reflectance)</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Diagnostic depths</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Al-OH 2100–2300, Fe-OH 2200–2330, Mg-OH 2250–2400, CO3 2300–2400, Fe3+ 750–1050, Fe2+ 900–1200, sulfate 1700–2300 nm</w:t>
            </w:r>
          </w:p>
        </w:tc>
      </w:tr>
    </w:tbl>
    <w:p>
      <w:pPr>
        <w:spacing w:after="120"/>
      </w:pPr>
    </w:p>
    <w:p>
      <w:pPr>
        <w:pStyle w:val="Heading2"/>
      </w:pPr>
      <w:r>
        <w:t xml:space="preserve">8.2 Agriculture: PROSAIL LUT inversion</w:t>
      </w:r>
    </w:p>
    <w:p>
      <w:pPr>
        <w:keepNext/>
        <w:spacing w:before="120" w:after="60"/>
      </w:pPr>
      <w:r>
        <w:rPr>
          <w:b/>
          <w:bCs/>
          <w:color w:val="52514E"/>
          <w:sz w:val="18"/>
          <w:szCs w:val="18"/>
        </w:rPr>
        <w:t xml:space="preserve">Table 13. </w:t>
      </w:r>
      <w:r>
        <w:rPr>
          <w:color w:val="52514E"/>
          <w:sz w:val="18"/>
          <w:szCs w:val="18"/>
        </w:rPr>
        <w:t xml:space="preserve">Agriculture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9"/>
        <w:gridCol w:w="6587"/>
      </w:tblGrid>
      <w:tr>
        <w:trPr>
          <w:tblHeader/>
        </w:trPr>
        <w:tc>
          <w:tcPr>
            <w:tcW w:type="dxa" w:w="2439"/>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Setting</w:t>
            </w:r>
          </w:p>
        </w:tc>
        <w:tc>
          <w:tcPr>
            <w:tcW w:type="dxa" w:w="6587"/>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Value</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Forward model</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PROSAIL (PROSPECT-5 + 4SAIL), SDR output</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Fixed parameters</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N = 1.5, Cbrown = 0, hotspot = 0.1, solar zenith 30°, view zenith 0°, relative azimuth 0°, psoil = 0.5, rsoil = 1.0, spherical LIDF (fitted to reproduce the CSV, RMSE 7×10⁻⁵)</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Free parameters and ranges</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Cab 0–110 µg/cm², Car 0–30 µg/cm², Cw 0–0.07 g/cm², Cm 0–0.05 g/cm², LAI 0–10 m²/m², ALA 0–90°</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Bands</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22 of the CSV's 24 wavelengths (1357 and 1417 nm removed: water-vapour edges); interpolated from EMIT within 4 nm</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LUT</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100,000 entries; inverse-distance mean of the k = 20 nearest spectra (k = 5 was unstable), spread = uncertainty</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Mask</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vegetated pixels only (NDVI ≥ 0.25)</w:t>
            </w:r>
          </w:p>
        </w:tc>
      </w:tr>
    </w:tbl>
    <w:p>
      <w:pPr>
        <w:spacing w:after="120"/>
      </w:pPr>
    </w:p>
    <w:p>
      <w:pPr>
        <w:pStyle w:val="Heading2"/>
      </w:pPr>
      <w:r>
        <w:t xml:space="preserve">8.3 Thermal: ThermalAnomalyDetector rules</w:t>
      </w:r>
    </w:p>
    <w:p>
      <w:pPr>
        <w:keepNext/>
        <w:spacing w:before="120" w:after="60"/>
      </w:pPr>
      <w:r>
        <w:rPr>
          <w:b/>
          <w:bCs/>
          <w:color w:val="52514E"/>
          <w:sz w:val="18"/>
          <w:szCs w:val="18"/>
        </w:rPr>
        <w:t xml:space="preserve">Table 14. </w:t>
      </w:r>
      <w:r>
        <w:rPr>
          <w:color w:val="52514E"/>
          <w:sz w:val="18"/>
          <w:szCs w:val="18"/>
        </w:rPr>
        <w:t xml:space="preserve">Thermal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9"/>
        <w:gridCol w:w="6587"/>
      </w:tblGrid>
      <w:tr>
        <w:trPr>
          <w:tblHeader/>
        </w:trPr>
        <w:tc>
          <w:tcPr>
            <w:tcW w:type="dxa" w:w="2439"/>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Map</w:t>
            </w:r>
          </w:p>
        </w:tc>
        <w:tc>
          <w:tcPr>
            <w:tcW w:type="dxa" w:w="6587"/>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Rule</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Global class</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z-score over the scene: &lt; −2 cold, &gt; +2 hot, otherwise normal</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Local anomaly</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z-score in an 11 × 11 window &gt; 2</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Urban heat island</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above the 80th percentile = urban, below the 20th = rural; intensity = mean(urban) − mean(rural)</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Hotspots</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above the 95th percentile, connected regions of at least 10 pixels</w:t>
            </w:r>
          </w:p>
        </w:tc>
      </w:tr>
    </w:tbl>
    <w:p>
      <w:pPr>
        <w:spacing w:after="120"/>
      </w:pPr>
    </w:p>
    <w:p>
      <w:pPr>
        <w:pStyle w:val="Heading1"/>
        <w:pageBreakBefore/>
      </w:pPr>
      <w:r>
        <w:t xml:space="preserve">9. HydraNet: the three-in-one neural network</w:t>
      </w:r>
    </w:p>
    <w:p>
      <w:pPr>
        <w:keepNext/>
        <w:spacing w:before="120" w:after="40"/>
        <w:jc w:val="center"/>
      </w:pPr>
      <w:r>
        <w:drawing>
          <wp:inline distT="0" distB="0" distL="0" distR="0">
            <wp:extent cx="5762625" cy="2790825"/>
            <wp:effectExtent t="0" r="0" b="0" l="0"/>
            <wp:docPr id="1" name="fig_hydranet.png" descr="HydraNet: three input stems, a shared trunk with a task embedding, and task heads." title="HydraNet: three input stems, a shared trunk with a task embedding, and task h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790825"/>
                    </a:xfrm>
                    <a:prstGeom prst="rect">
                      <a:avLst/>
                    </a:prstGeom>
                  </pic:spPr>
                </pic:pic>
              </a:graphicData>
            </a:graphic>
          </wp:inline>
        </w:drawing>
      </w:r>
    </w:p>
    <w:p>
      <w:pPr>
        <w:spacing w:after="200"/>
        <w:jc w:val="center"/>
      </w:pPr>
      <w:r>
        <w:rPr>
          <w:b/>
          <w:bCs/>
          <w:color w:val="52514E"/>
          <w:sz w:val="18"/>
          <w:szCs w:val="18"/>
        </w:rPr>
        <w:t xml:space="preserve">Figure 3. </w:t>
      </w:r>
      <w:r>
        <w:rPr>
          <w:color w:val="52514E"/>
          <w:sz w:val="18"/>
          <w:szCs w:val="18"/>
        </w:rPr>
        <w:t xml:space="preserve">HydraNet: three input stems, a shared trunk with a task embedding, and task heads.</w:t>
      </w:r>
    </w:p>
    <w:p>
      <w:pPr>
        <w:spacing w:after="120" w:line="276"/>
      </w:pPr>
      <w:r>
        <w:t xml:space="preserve">Each task has its own small input stem that maps its features to a common 128-wide representation. A learned task embedding is added and the result goes through a </w:t>
      </w:r>
      <w:r>
        <w:rPr>
          <w:b/>
          <w:bCs/>
        </w:rPr>
        <w:t xml:space="preserve">shared residual trunk</w:t>
      </w:r>
      <w:r>
        <w:t xml:space="preserve"> (two pre-norm residual MLP blocks). Each head sees the trunk output concatenated with its stem output. The mineral class head also receives the SAM decision structure directly (a skip connection), which lets it resolve near-ties between similar minerals.</w:t>
      </w:r>
    </w:p>
    <w:p>
      <w:pPr>
        <w:keepNext/>
        <w:spacing w:before="120" w:after="60"/>
      </w:pPr>
      <w:r>
        <w:rPr>
          <w:b/>
          <w:bCs/>
          <w:color w:val="52514E"/>
          <w:sz w:val="18"/>
          <w:szCs w:val="18"/>
        </w:rPr>
        <w:t xml:space="preserve">Table 15. </w:t>
      </w:r>
      <w:r>
        <w:rPr>
          <w:color w:val="52514E"/>
          <w:sz w:val="18"/>
          <w:szCs w:val="18"/>
        </w:rPr>
        <w:t xml:space="preserve">Inputs (features are computed by libs/hydra/features, shared by training and serving)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5"/>
        <w:gridCol w:w="963"/>
        <w:gridCol w:w="6498"/>
      </w:tblGrid>
      <w:tr>
        <w:trPr>
          <w:tblHeader/>
        </w:trPr>
        <w:tc>
          <w:tcPr>
            <w:tcW w:type="dxa" w:w="1565"/>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Input</w:t>
            </w:r>
          </w:p>
        </w:tc>
        <w:tc>
          <w:tcPr>
            <w:tcW w:type="dxa" w:w="963"/>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Size</w:t>
            </w:r>
          </w:p>
        </w:tc>
        <w:tc>
          <w:tcPr>
            <w:tcW w:type="dxa" w:w="6498"/>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Features</w:t>
            </w:r>
          </w:p>
        </w:tc>
      </w:tr>
      <w:tr>
        <w:tc>
          <w:tcPr>
            <w:tcW w:type="dxa" w:w="156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x_agri</w:t>
            </w:r>
          </w:p>
        </w:tc>
        <w:tc>
          <w:tcPr>
            <w:tcW w:type="dxa" w:w="96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22</w:t>
            </w:r>
          </w:p>
        </w:tc>
        <w:tc>
          <w:tcPr>
            <w:tcW w:type="dxa" w:w="649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reflectance at the 22 PROSAIL wavelengths</w:t>
            </w:r>
          </w:p>
        </w:tc>
      </w:tr>
      <w:tr>
        <w:tc>
          <w:tcPr>
            <w:tcW w:type="dxa" w:w="156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x_mineral</w:t>
            </w:r>
          </w:p>
        </w:tc>
        <w:tc>
          <w:tcPr>
            <w:tcW w:type="dxa" w:w="96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275</w:t>
            </w:r>
          </w:p>
        </w:tc>
        <w:tc>
          <w:tcPr>
            <w:tcW w:type="dxa" w:w="649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255 continuum-removed reflectances + 7 diagnostic absorption depths + 12 SAM angles + brightness</w:t>
            </w:r>
          </w:p>
        </w:tc>
      </w:tr>
      <w:tr>
        <w:tc>
          <w:tcPr>
            <w:tcW w:type="dxa" w:w="156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x_thermal</w:t>
            </w:r>
          </w:p>
        </w:tc>
        <w:tc>
          <w:tcPr>
            <w:tcW w:type="dxa" w:w="96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10</w:t>
            </w:r>
          </w:p>
        </w:tc>
        <w:tc>
          <w:tcPr>
            <w:tcW w:type="dxa" w:w="649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global z, distance to p95/p80/p20, local 11×11 z, 3×3 mean difference, std and range, normalised LST, scene std</w:t>
            </w:r>
          </w:p>
        </w:tc>
      </w:tr>
    </w:tbl>
    <w:p>
      <w:pPr>
        <w:spacing w:after="120"/>
      </w:pPr>
    </w:p>
    <w:p>
      <w:pPr>
        <w:keepNext/>
        <w:spacing w:before="120" w:after="60"/>
      </w:pPr>
      <w:r>
        <w:rPr>
          <w:b/>
          <w:bCs/>
          <w:color w:val="52514E"/>
          <w:sz w:val="18"/>
          <w:szCs w:val="18"/>
        </w:rPr>
        <w:t xml:space="preserve">Table 16. </w:t>
      </w:r>
      <w:r>
        <w:rPr>
          <w:color w:val="52514E"/>
          <w:sz w:val="18"/>
          <w:szCs w:val="18"/>
        </w:rPr>
        <w:t xml:space="preserve">Outputs (nine ONNX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963"/>
        <w:gridCol w:w="5175"/>
      </w:tblGrid>
      <w:tr>
        <w:trPr>
          <w:tblHeader/>
        </w:trPr>
        <w:tc>
          <w:tcPr>
            <w:tcW w:type="dxa" w:w="2888"/>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Output</w:t>
            </w:r>
          </w:p>
        </w:tc>
        <w:tc>
          <w:tcPr>
            <w:tcW w:type="dxa" w:w="963"/>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Shape</w:t>
            </w:r>
          </w:p>
        </w:tc>
        <w:tc>
          <w:tcPr>
            <w:tcW w:type="dxa" w:w="5175"/>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Meaning</w:t>
            </w:r>
          </w:p>
        </w:tc>
      </w:tr>
      <w:tr>
        <w:tc>
          <w:tcPr>
            <w:tcW w:type="dxa" w:w="28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agri_params, agri_std</w:t>
            </w:r>
          </w:p>
        </w:tc>
        <w:tc>
          <w:tcPr>
            <w:tcW w:type="dxa" w:w="96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6, 6</w:t>
            </w:r>
          </w:p>
        </w:tc>
        <w:tc>
          <w:tcPr>
            <w:tcW w:type="dxa" w:w="517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Cab, Car, Cw, Cm, LAI, ALA in physical units (sigmoid-scaled to their ranges) and their uncertainty</w:t>
            </w:r>
          </w:p>
        </w:tc>
      </w:tr>
      <w:tr>
        <w:tc>
          <w:tcPr>
            <w:tcW w:type="dxa" w:w="28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mineral_class_probs</w:t>
            </w:r>
          </w:p>
        </w:tc>
        <w:tc>
          <w:tcPr>
            <w:tcW w:type="dxa" w:w="96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13</w:t>
            </w:r>
          </w:p>
        </w:tc>
        <w:tc>
          <w:tcPr>
            <w:tcW w:type="dxa" w:w="517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softmax over 12 minerals + unknown</w:t>
            </w:r>
          </w:p>
        </w:tc>
      </w:tr>
      <w:tr>
        <w:tc>
          <w:tcPr>
            <w:tcW w:type="dxa" w:w="28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mineral_abundance, mineral_quality</w:t>
            </w:r>
          </w:p>
        </w:tc>
        <w:tc>
          <w:tcPr>
            <w:tcW w:type="dxa" w:w="96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12, 1</w:t>
            </w:r>
          </w:p>
        </w:tc>
        <w:tc>
          <w:tcPr>
            <w:tcW w:type="dxa" w:w="517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softmax abundances (sum to one) and fit quality</w:t>
            </w:r>
          </w:p>
        </w:tc>
      </w:tr>
      <w:tr>
        <w:tc>
          <w:tcPr>
            <w:tcW w:type="dxa" w:w="28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thermal_global_probs, thermal_uhi_probs</w:t>
            </w:r>
          </w:p>
        </w:tc>
        <w:tc>
          <w:tcPr>
            <w:tcW w:type="dxa" w:w="96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3, 3</w:t>
            </w:r>
          </w:p>
        </w:tc>
        <w:tc>
          <w:tcPr>
            <w:tcW w:type="dxa" w:w="517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cold/normal/hot and rural/neutral/urban</w:t>
            </w:r>
          </w:p>
        </w:tc>
      </w:tr>
      <w:tr>
        <w:tc>
          <w:tcPr>
            <w:tcW w:type="dxa" w:w="28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thermal_hot_prob, thermal_local_prob</w:t>
            </w:r>
          </w:p>
        </w:tc>
        <w:tc>
          <w:tcPr>
            <w:tcW w:type="dxa" w:w="96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1, 1</w:t>
            </w:r>
          </w:p>
        </w:tc>
        <w:tc>
          <w:tcPr>
            <w:tcW w:type="dxa" w:w="517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hotspot and local-anomaly probabilities</w:t>
            </w:r>
          </w:p>
        </w:tc>
      </w:tr>
    </w:tbl>
    <w:p>
      <w:pPr>
        <w:spacing w:after="120"/>
      </w:pPr>
    </w:p>
    <w:p>
      <w:pPr>
        <w:keepNext/>
        <w:spacing w:before="120" w:after="60"/>
      </w:pPr>
      <w:r>
        <w:rPr>
          <w:b/>
          <w:bCs/>
          <w:color w:val="52514E"/>
          <w:sz w:val="18"/>
          <w:szCs w:val="18"/>
        </w:rPr>
        <w:t xml:space="preserve">Table 17. </w:t>
      </w:r>
      <w:r>
        <w:rPr>
          <w:color w:val="52514E"/>
          <w:sz w:val="18"/>
          <w:szCs w:val="18"/>
        </w:rPr>
        <w:t xml:space="preserve">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96"/>
        <w:gridCol w:w="6830"/>
      </w:tblGrid>
      <w:tr>
        <w:trPr>
          <w:tblHeader/>
        </w:trPr>
        <w:tc>
          <w:tcPr>
            <w:tcW w:type="dxa" w:w="2196"/>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Part</w:t>
            </w:r>
          </w:p>
        </w:tc>
        <w:tc>
          <w:tcPr>
            <w:tcW w:type="dxa" w:w="6830"/>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Layers</w:t>
            </w:r>
          </w:p>
        </w:tc>
      </w:tr>
      <w:tr>
        <w:tc>
          <w:tcPr>
            <w:tcW w:type="dxa" w:w="219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Agriculture stem</w:t>
            </w:r>
          </w:p>
        </w:tc>
        <w:tc>
          <w:tcPr>
            <w:tcW w:type="dxa" w:w="683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Standardize → Linear 22→256 → GELU → Linear 256→128 → GELU → Linear 128→128</w:t>
            </w:r>
          </w:p>
        </w:tc>
      </w:tr>
      <w:tr>
        <w:tc>
          <w:tcPr>
            <w:tcW w:type="dxa" w:w="219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 stem (MLP)</w:t>
            </w:r>
          </w:p>
        </w:tc>
        <w:tc>
          <w:tcPr>
            <w:tcW w:type="dxa" w:w="683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Standardize; spectrum: Linear 255→128 → GELU → Linear 128→96 → GELU; scalars + SAM structure (46) → MLP 64; concat 160 → MLP → 128</w:t>
            </w:r>
          </w:p>
        </w:tc>
      </w:tr>
      <w:tr>
        <w:tc>
          <w:tcPr>
            <w:tcW w:type="dxa" w:w="219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Thermal stem</w:t>
            </w:r>
          </w:p>
        </w:tc>
        <w:tc>
          <w:tcPr>
            <w:tcW w:type="dxa" w:w="683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Standardize → MLP 10→128→128 → GELU → Linear 128→128</w:t>
            </w:r>
          </w:p>
        </w:tc>
      </w:tr>
      <w:tr>
        <w:tc>
          <w:tcPr>
            <w:tcW w:type="dxa" w:w="219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Shared trunk</w:t>
            </w:r>
          </w:p>
        </w:tc>
        <w:tc>
          <w:tcPr>
            <w:tcW w:type="dxa" w:w="683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 task embedding (3 × 128); 2 × ResBlock(LayerNorm, Linear 128→256, GELU, dropout 0.05, Linear 256→128); LayerNorm</w:t>
            </w:r>
          </w:p>
        </w:tc>
      </w:tr>
      <w:tr>
        <w:tc>
          <w:tcPr>
            <w:tcW w:type="dxa" w:w="219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Heads</w:t>
            </w:r>
          </w:p>
        </w:tc>
        <w:tc>
          <w:tcPr>
            <w:tcW w:type="dxa" w:w="683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two-layer MLPs on [trunk ‖ stem] (256 wide); mineral class head input 256 + 26 SAM-structure features</w:t>
            </w:r>
          </w:p>
        </w:tc>
      </w:tr>
      <w:tr>
        <w:tc>
          <w:tcPr>
            <w:tcW w:type="dxa" w:w="219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Loss weighting</w:t>
            </w:r>
          </w:p>
        </w:tc>
        <w:tc>
          <w:tcPr>
            <w:tcW w:type="dxa" w:w="683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learned task-uncertainty weights (Kendall et al., 2018), used in training only</w:t>
            </w:r>
          </w:p>
        </w:tc>
      </w:tr>
    </w:tbl>
    <w:p>
      <w:pPr>
        <w:spacing w:after="120"/>
      </w:pPr>
    </w:p>
    <w:p>
      <w:pPr>
        <w:spacing w:after="120" w:line="276"/>
      </w:pPr>
      <w:r>
        <w:rPr>
          <w:b/>
          <w:bCs/>
        </w:rPr>
        <w:t xml:space="preserve">Size:</w:t>
      </w:r>
      <w:r>
        <w:t xml:space="preserve"> 469,390 parameters, 1.93 MB ONNX (opset 17). Normalisation, output scaling and softmaxes are inside the graph, so the file takes raw features and returns map-ready values. The ONNX outputs match PyTorch to within 9.5e-5 (agriculture), 1.2e-6 (minerals) and 1.2e-5 (thermal).</w:t>
      </w:r>
    </w:p>
    <w:p>
      <w:pPr>
        <w:pBdr>
          <w:left w:val="single" w:color="2A78D6" w:sz="18" w:space="8"/>
        </w:pBdr>
        <w:spacing w:before="60" w:after="160"/>
        <w:ind w:left="200"/>
      </w:pPr>
      <w:r>
        <w:rPr>
          <w:b/>
          <w:bCs/>
          <w:color w:val="222222"/>
        </w:rPr>
        <w:t xml:space="preserve">Safety lock:</w:t>
      </w:r>
      <w:r>
        <w:rPr>
          <w:color w:val="222222"/>
        </w:rPr>
        <w:t xml:space="preserve"> the feature specification (band lists, thresholds, library checksum, PROSAIL settings) is hashed (feature_spec_hash = f15dd48ca7cd4dd6) and the hash is written into the ONNX metadata. The runtime refuses to load a model whose hash differs from the code's, so a model can never run on features computed differently from those it was trained on.</w:t>
      </w:r>
    </w:p>
    <w:p>
      <w:pPr>
        <w:pStyle w:val="Heading2"/>
      </w:pPr>
      <w:r>
        <w:t xml:space="preserve">9.1 Why an MLP instead of a CNN</w:t>
      </w:r>
    </w:p>
    <w:p>
      <w:pPr>
        <w:spacing w:after="120" w:line="276"/>
      </w:pPr>
      <w:r>
        <w:t xml:space="preserve">The first version used a 1-D convolutional stem over the mineral spectrum (1.19 M parameters). Because SAM and SMA treat every pixel independently and the continuum-removed spectrum is a fixed 255-vector, a dense stem with the SAM structure as extra input learns the same decision with 61 % fewer parameters and is faster on CPU. The deployed v1 is the MLP.</w:t>
      </w:r>
    </w:p>
    <w:p>
      <w:pPr>
        <w:keepNext/>
        <w:spacing w:before="120" w:after="40"/>
        <w:jc w:val="center"/>
      </w:pPr>
      <w:r>
        <w:drawing>
          <wp:inline distT="0" distB="0" distL="0" distR="0">
            <wp:extent cx="4752975" cy="1314450"/>
            <wp:effectExtent t="0" r="0" b="0" l="0"/>
            <wp:docPr id="1" name="chart_params.png" descr="Trainable parameters of the two architectures." title="Trainable parameters of the two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1314450"/>
                    </a:xfrm>
                    <a:prstGeom prst="rect">
                      <a:avLst/>
                    </a:prstGeom>
                  </pic:spPr>
                </pic:pic>
              </a:graphicData>
            </a:graphic>
          </wp:inline>
        </w:drawing>
      </w:r>
    </w:p>
    <w:p>
      <w:pPr>
        <w:spacing w:after="200"/>
        <w:jc w:val="center"/>
      </w:pPr>
      <w:r>
        <w:rPr>
          <w:b/>
          <w:bCs/>
          <w:color w:val="52514E"/>
          <w:sz w:val="18"/>
          <w:szCs w:val="18"/>
        </w:rPr>
        <w:t xml:space="preserve">Figure 4. </w:t>
      </w:r>
      <w:r>
        <w:rPr>
          <w:color w:val="52514E"/>
          <w:sz w:val="18"/>
          <w:szCs w:val="18"/>
        </w:rPr>
        <w:t xml:space="preserve">Trainable parameters of the two architectures.</w:t>
      </w:r>
    </w:p>
    <w:p>
      <w:pPr>
        <w:pStyle w:val="Heading1"/>
        <w:pageBreakBefore/>
      </w:pPr>
      <w:r>
        <w:t xml:space="preserve">10. Data generation and training</w:t>
      </w:r>
    </w:p>
    <w:p>
      <w:pPr>
        <w:keepNext/>
        <w:spacing w:before="120" w:after="40"/>
        <w:jc w:val="center"/>
      </w:pPr>
      <w:r>
        <w:drawing>
          <wp:inline distT="0" distB="0" distL="0" distR="0">
            <wp:extent cx="5762625" cy="1581150"/>
            <wp:effectExtent t="0" r="0" b="0" l="0"/>
            <wp:docPr id="1" name="fig_training_flow.png" descr="Teacher-student training: the classical methods label every training sample." title="Teacher-student training: the classical methods label every training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581150"/>
                    </a:xfrm>
                    <a:prstGeom prst="rect">
                      <a:avLst/>
                    </a:prstGeom>
                  </pic:spPr>
                </pic:pic>
              </a:graphicData>
            </a:graphic>
          </wp:inline>
        </w:drawing>
      </w:r>
    </w:p>
    <w:p>
      <w:pPr>
        <w:spacing w:after="200"/>
        <w:jc w:val="center"/>
      </w:pPr>
      <w:r>
        <w:rPr>
          <w:b/>
          <w:bCs/>
          <w:color w:val="52514E"/>
          <w:sz w:val="18"/>
          <w:szCs w:val="18"/>
        </w:rPr>
        <w:t xml:space="preserve">Figure 5. </w:t>
      </w:r>
      <w:r>
        <w:rPr>
          <w:color w:val="52514E"/>
          <w:sz w:val="18"/>
          <w:szCs w:val="18"/>
        </w:rPr>
        <w:t xml:space="preserve">Teacher-student training: the classical methods label every training sample.</w:t>
      </w:r>
    </w:p>
    <w:p>
      <w:pPr>
        <w:keepNext/>
        <w:spacing w:before="120" w:after="60"/>
      </w:pPr>
      <w:r>
        <w:rPr>
          <w:b/>
          <w:bCs/>
          <w:color w:val="52514E"/>
          <w:sz w:val="18"/>
          <w:szCs w:val="18"/>
        </w:rPr>
        <w:t xml:space="preserve">Table 18. </w:t>
      </w:r>
      <w:r>
        <w:rPr>
          <w:color w:val="52514E"/>
          <w:sz w:val="18"/>
          <w:szCs w:val="18"/>
        </w:rPr>
        <w:t xml:space="preserve">Training data (every label comes from the classical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6"/>
        <w:gridCol w:w="1926"/>
        <w:gridCol w:w="5174"/>
      </w:tblGrid>
      <w:tr>
        <w:trPr>
          <w:tblHeader/>
        </w:trPr>
        <w:tc>
          <w:tcPr>
            <w:tcW w:type="dxa" w:w="1926"/>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Set</w:t>
            </w:r>
          </w:p>
        </w:tc>
        <w:tc>
          <w:tcPr>
            <w:tcW w:type="dxa" w:w="1926"/>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Size</w:t>
            </w:r>
          </w:p>
        </w:tc>
        <w:tc>
          <w:tcPr>
            <w:tcW w:type="dxa" w:w="5174"/>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How it is made</w:t>
            </w:r>
          </w:p>
        </w:tc>
      </w:tr>
      <w:tr>
        <w:tc>
          <w:tcPr>
            <w:tcW w:type="dxa" w:w="192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mineral_train / val</w:t>
            </w:r>
          </w:p>
        </w:tc>
        <w:tc>
          <w:tcPr>
            <w:tcW w:type="dxa" w:w="192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202,400 / 20,240</w:t>
            </w:r>
          </w:p>
        </w:tc>
        <w:tc>
          <w:tcPr>
            <w:tcW w:type="dxa" w:w="517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 owner's 62,400-spectrum set (reproduced exactly, seed 0) + a coverage set of library mixtures with noise, brightness and continuum variation + 40,000 near-tie spectra (quartz/gypsum and other close pairs); labels from SAM + SMA</w:t>
            </w:r>
          </w:p>
        </w:tc>
      </w:tr>
      <w:tr>
        <w:tc>
          <w:tcPr>
            <w:tcW w:type="dxa" w:w="192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mineral_real</w:t>
            </w:r>
          </w:p>
        </w:tc>
        <w:tc>
          <w:tcPr>
            <w:tcW w:type="dxa" w:w="192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2,000</w:t>
            </w:r>
          </w:p>
        </w:tc>
        <w:tc>
          <w:tcPr>
            <w:tcW w:type="dxa" w:w="517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real EMIT pixels from dataset_sample.csv with the published teacher labels</w:t>
            </w:r>
          </w:p>
        </w:tc>
      </w:tr>
      <w:tr>
        <w:tc>
          <w:tcPr>
            <w:tcW w:type="dxa" w:w="192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agri_lut</w:t>
            </w:r>
          </w:p>
        </w:tc>
        <w:tc>
          <w:tcPr>
            <w:tcW w:type="dxa" w:w="192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100,000</w:t>
            </w:r>
          </w:p>
        </w:tc>
        <w:tc>
          <w:tcPr>
            <w:tcW w:type="dxa" w:w="517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PROSAIL spectra on random parameters: the classical method's LUT</w:t>
            </w:r>
          </w:p>
        </w:tc>
      </w:tr>
      <w:tr>
        <w:tc>
          <w:tcPr>
            <w:tcW w:type="dxa" w:w="192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agri_train / val</w:t>
            </w:r>
          </w:p>
        </w:tc>
        <w:tc>
          <w:tcPr>
            <w:tcW w:type="dxa" w:w="192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200,000</w:t>
            </w:r>
          </w:p>
        </w:tc>
        <w:tc>
          <w:tcPr>
            <w:tcW w:type="dxa" w:w="517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PROSAIL spectra with nuisance variation (soil, geometry, noise), labelled by LUT inversion</w:t>
            </w:r>
          </w:p>
        </w:tc>
      </w:tr>
      <w:tr>
        <w:tc>
          <w:tcPr>
            <w:tcW w:type="dxa" w:w="192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agri_csv</w:t>
            </w:r>
          </w:p>
        </w:tc>
        <w:tc>
          <w:tcPr>
            <w:tcW w:type="dxa" w:w="192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10,000</w:t>
            </w:r>
          </w:p>
        </w:tc>
        <w:tc>
          <w:tcPr>
            <w:tcW w:type="dxa" w:w="517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 CSV rows, labelled by LUT inversion (true parameters kept for reference)</w:t>
            </w:r>
          </w:p>
        </w:tc>
      </w:tr>
      <w:tr>
        <w:tc>
          <w:tcPr>
            <w:tcW w:type="dxa" w:w="192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thermal_train / val</w:t>
            </w:r>
          </w:p>
        </w:tc>
        <w:tc>
          <w:tcPr>
            <w:tcW w:type="dxa" w:w="192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1,445,055 pixels (400 scenes)</w:t>
            </w:r>
          </w:p>
        </w:tc>
        <w:tc>
          <w:tcPr>
            <w:tcW w:type="dxa" w:w="517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synthetic land-surface-temperature scenes (urban cores, fields, water, fires), labelled by the detector rules</w:t>
            </w:r>
          </w:p>
        </w:tc>
      </w:tr>
    </w:tbl>
    <w:p>
      <w:pPr>
        <w:spacing w:after="120"/>
      </w:pPr>
    </w:p>
    <w:p>
      <w:pPr>
        <w:keepNext/>
        <w:spacing w:before="120" w:after="40"/>
        <w:jc w:val="center"/>
      </w:pPr>
      <w:r>
        <w:drawing>
          <wp:inline distT="0" distB="0" distL="0" distR="0">
            <wp:extent cx="5124450" cy="2428875"/>
            <wp:effectExtent t="0" r="0" b="0" l="0"/>
            <wp:docPr id="1" name="chart_classes.png" descr="Mineral training samples per class." title="Mineral training samples pe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428875"/>
                    </a:xfrm>
                    <a:prstGeom prst="rect">
                      <a:avLst/>
                    </a:prstGeom>
                  </pic:spPr>
                </pic:pic>
              </a:graphicData>
            </a:graphic>
          </wp:inline>
        </w:drawing>
      </w:r>
    </w:p>
    <w:p>
      <w:pPr>
        <w:spacing w:after="200"/>
        <w:jc w:val="center"/>
      </w:pPr>
      <w:r>
        <w:rPr>
          <w:b/>
          <w:bCs/>
          <w:color w:val="52514E"/>
          <w:sz w:val="18"/>
          <w:szCs w:val="18"/>
        </w:rPr>
        <w:t xml:space="preserve">Figure 6. </w:t>
      </w:r>
      <w:r>
        <w:rPr>
          <w:color w:val="52514E"/>
          <w:sz w:val="18"/>
          <w:szCs w:val="18"/>
        </w:rPr>
        <w:t xml:space="preserve">Mineral training samples per class.</w:t>
      </w:r>
    </w:p>
    <w:p>
      <w:pPr>
        <w:keepNext/>
        <w:spacing w:before="120" w:after="60"/>
      </w:pPr>
      <w:r>
        <w:rPr>
          <w:b/>
          <w:bCs/>
          <w:color w:val="52514E"/>
          <w:sz w:val="18"/>
          <w:szCs w:val="18"/>
        </w:rPr>
        <w:t xml:space="preserve">Table 19. </w:t>
      </w:r>
      <w:r>
        <w:rPr>
          <w:color w:val="52514E"/>
          <w:sz w:val="18"/>
          <w:szCs w:val="18"/>
        </w:rPr>
        <w:t xml:space="preserve">Training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9"/>
        <w:gridCol w:w="6587"/>
      </w:tblGrid>
      <w:tr>
        <w:trPr>
          <w:tblHeader/>
        </w:trPr>
        <w:tc>
          <w:tcPr>
            <w:tcW w:type="dxa" w:w="2439"/>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Setting</w:t>
            </w:r>
          </w:p>
        </w:tc>
        <w:tc>
          <w:tcPr>
            <w:tcW w:type="dxa" w:w="6587"/>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Value</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Optimiser</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AdamW, weight decay 1e-4</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Learning rate</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0.002, one-cycle schedule (5 % warm-up)</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Steps / batch</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20,000 steps; batch 512 per task (thermal 1024)</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Agriculture loss</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MSE on range-scaled parameters + 0.25 × MSE on the uncertainty</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 loss</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cross-entropy (class) + 20 × MSE (abundance) + 10 × MSE (quality)</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Thermal loss</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cross-entropy (global, UHI) + binary cross-entropy (hotspot, local)</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Task balance</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learned uncertainty weights; evaluation every 2,000 steps, best checkpoint kept</w:t>
            </w:r>
          </w:p>
        </w:tc>
      </w:tr>
      <w:tr>
        <w:tc>
          <w:tcPr>
            <w:tcW w:type="dxa" w:w="243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Hardware</w:t>
            </w:r>
          </w:p>
        </w:tc>
        <w:tc>
          <w:tcPr>
            <w:tcW w:type="dxa" w:w="658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CPU (10 threads)</w:t>
            </w:r>
          </w:p>
        </w:tc>
      </w:tr>
    </w:tbl>
    <w:p>
      <w:pPr>
        <w:spacing w:after="120"/>
      </w:pPr>
    </w:p>
    <w:p>
      <w:pPr>
        <w:keepNext/>
        <w:spacing w:before="120" w:after="40"/>
        <w:jc w:val="center"/>
      </w:pPr>
      <w:r>
        <w:drawing>
          <wp:inline distT="0" distB="0" distL="0" distR="0">
            <wp:extent cx="5124450" cy="2324100"/>
            <wp:effectExtent t="0" r="0" b="0" l="0"/>
            <wp:docPr id="1" name="chart_training.png" descr="Validation loss per task during training." title="Validation loss per task during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324100"/>
                    </a:xfrm>
                    <a:prstGeom prst="rect">
                      <a:avLst/>
                    </a:prstGeom>
                  </pic:spPr>
                </pic:pic>
              </a:graphicData>
            </a:graphic>
          </wp:inline>
        </w:drawing>
      </w:r>
    </w:p>
    <w:p>
      <w:pPr>
        <w:spacing w:after="200"/>
        <w:jc w:val="center"/>
      </w:pPr>
      <w:r>
        <w:rPr>
          <w:b/>
          <w:bCs/>
          <w:color w:val="52514E"/>
          <w:sz w:val="18"/>
          <w:szCs w:val="18"/>
        </w:rPr>
        <w:t xml:space="preserve">Figure 7. </w:t>
      </w:r>
      <w:r>
        <w:rPr>
          <w:color w:val="52514E"/>
          <w:sz w:val="18"/>
          <w:szCs w:val="18"/>
        </w:rPr>
        <w:t xml:space="preserve">Validation loss per task during training.</w:t>
      </w:r>
    </w:p>
    <w:p>
      <w:pPr>
        <w:pStyle w:val="Heading1"/>
        <w:pageBreakBefore/>
      </w:pPr>
      <w:r>
        <w:t xml:space="preserve">11. Results</w:t>
      </w:r>
    </w:p>
    <w:p>
      <w:pPr>
        <w:pStyle w:val="Heading2"/>
      </w:pPr>
      <w:r>
        <w:t xml:space="preserve">11.1 Release gates</w:t>
      </w:r>
    </w:p>
    <w:p>
      <w:pPr>
        <w:keepNext/>
        <w:spacing w:before="120" w:after="60"/>
      </w:pPr>
      <w:r>
        <w:rPr>
          <w:b/>
          <w:bCs/>
          <w:color w:val="52514E"/>
          <w:sz w:val="18"/>
          <w:szCs w:val="18"/>
        </w:rPr>
        <w:t xml:space="preserve">Table 20. </w:t>
      </w:r>
      <w:r>
        <w:rPr>
          <w:color w:val="52514E"/>
          <w:sz w:val="18"/>
          <w:szCs w:val="18"/>
        </w:rPr>
        <w:t xml:space="preserve">Gates checked by train.py before a model can be promoted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76"/>
        <w:gridCol w:w="1641"/>
        <w:gridCol w:w="1641"/>
        <w:gridCol w:w="1368"/>
      </w:tblGrid>
      <w:tr>
        <w:trPr>
          <w:tblHeader/>
        </w:trPr>
        <w:tc>
          <w:tcPr>
            <w:tcW w:type="dxa" w:w="4376"/>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Gate</w:t>
            </w:r>
          </w:p>
        </w:tc>
        <w:tc>
          <w:tcPr>
            <w:tcW w:type="dxa" w:w="1641"/>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Value</w:t>
            </w:r>
          </w:p>
        </w:tc>
        <w:tc>
          <w:tcPr>
            <w:tcW w:type="dxa" w:w="1641"/>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Threshold</w:t>
            </w:r>
          </w:p>
        </w:tc>
        <w:tc>
          <w:tcPr>
            <w:tcW w:type="dxa" w:w="1368"/>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Result</w:t>
            </w:r>
          </w:p>
        </w:tc>
      </w:tr>
      <w:tr>
        <w:tc>
          <w:tcPr>
            <w:tcW w:type="dxa" w:w="437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mineral_val.class_agreement</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0.9995</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0.98</w:t>
            </w:r>
          </w:p>
        </w:tc>
        <w:tc>
          <w:tcPr>
            <w:tcW w:type="dxa" w:w="13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pass</w:t>
            </w:r>
          </w:p>
        </w:tc>
      </w:tr>
      <w:tr>
        <w:tc>
          <w:tcPr>
            <w:tcW w:type="dxa" w:w="437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mineral_val.abundance_mae</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0.0041</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0.03</w:t>
            </w:r>
          </w:p>
        </w:tc>
        <w:tc>
          <w:tcPr>
            <w:tcW w:type="dxa" w:w="13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pass</w:t>
            </w:r>
          </w:p>
        </w:tc>
      </w:tr>
      <w:tr>
        <w:tc>
          <w:tcPr>
            <w:tcW w:type="dxa" w:w="437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mineral_val.quality_mae</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0.0041</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0.03</w:t>
            </w:r>
          </w:p>
        </w:tc>
        <w:tc>
          <w:tcPr>
            <w:tcW w:type="dxa" w:w="13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pass</w:t>
            </w:r>
          </w:p>
        </w:tc>
      </w:tr>
      <w:tr>
        <w:tc>
          <w:tcPr>
            <w:tcW w:type="dxa" w:w="437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mineral_real.class_agreement</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0.9985</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0.97</w:t>
            </w:r>
          </w:p>
        </w:tc>
        <w:tc>
          <w:tcPr>
            <w:tcW w:type="dxa" w:w="13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pass</w:t>
            </w:r>
          </w:p>
        </w:tc>
      </w:tr>
      <w:tr>
        <w:tc>
          <w:tcPr>
            <w:tcW w:type="dxa" w:w="437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mineral_real.abundance_mae</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0.0782</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0.06</w:t>
            </w:r>
          </w:p>
        </w:tc>
        <w:tc>
          <w:tcPr>
            <w:tcW w:type="dxa" w:w="13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FAIL</w:t>
            </w:r>
          </w:p>
        </w:tc>
      </w:tr>
      <w:tr>
        <w:tc>
          <w:tcPr>
            <w:tcW w:type="dxa" w:w="437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agri_val.r2_min_core</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0.9689</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0.95</w:t>
            </w:r>
          </w:p>
        </w:tc>
        <w:tc>
          <w:tcPr>
            <w:tcW w:type="dxa" w:w="13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pass</w:t>
            </w:r>
          </w:p>
        </w:tc>
      </w:tr>
      <w:tr>
        <w:tc>
          <w:tcPr>
            <w:tcW w:type="dxa" w:w="437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agri_csv.r2_min_core</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0.9705</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0.95</w:t>
            </w:r>
          </w:p>
        </w:tc>
        <w:tc>
          <w:tcPr>
            <w:tcW w:type="dxa" w:w="13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pass</w:t>
            </w:r>
          </w:p>
        </w:tc>
      </w:tr>
      <w:tr>
        <w:tc>
          <w:tcPr>
            <w:tcW w:type="dxa" w:w="437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thermal_val.global_agreement</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0.9984</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0.99</w:t>
            </w:r>
          </w:p>
        </w:tc>
        <w:tc>
          <w:tcPr>
            <w:tcW w:type="dxa" w:w="13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pass</w:t>
            </w:r>
          </w:p>
        </w:tc>
      </w:tr>
      <w:tr>
        <w:tc>
          <w:tcPr>
            <w:tcW w:type="dxa" w:w="437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thermal_val.uhi_agreement</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0.9993</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0.99</w:t>
            </w:r>
          </w:p>
        </w:tc>
        <w:tc>
          <w:tcPr>
            <w:tcW w:type="dxa" w:w="13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pass</w:t>
            </w:r>
          </w:p>
        </w:tc>
      </w:tr>
      <w:tr>
        <w:tc>
          <w:tcPr>
            <w:tcW w:type="dxa" w:w="437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thermal_val.hot_agreement</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0.9996</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0.99</w:t>
            </w:r>
          </w:p>
        </w:tc>
        <w:tc>
          <w:tcPr>
            <w:tcW w:type="dxa" w:w="13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pass</w:t>
            </w:r>
          </w:p>
        </w:tc>
      </w:tr>
      <w:tr>
        <w:tc>
          <w:tcPr>
            <w:tcW w:type="dxa" w:w="4376"/>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thermal_val.local_agreement</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0.9998</w:t>
            </w:r>
          </w:p>
        </w:tc>
        <w:tc>
          <w:tcPr>
            <w:tcW w:type="dxa" w:w="164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0.99</w:t>
            </w:r>
          </w:p>
        </w:tc>
        <w:tc>
          <w:tcPr>
            <w:tcW w:type="dxa" w:w="136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pass</w:t>
            </w:r>
          </w:p>
        </w:tc>
      </w:tr>
    </w:tbl>
    <w:p>
      <w:pPr>
        <w:spacing w:after="120"/>
      </w:pPr>
    </w:p>
    <w:p>
      <w:pPr>
        <w:spacing w:after="120" w:line="276"/>
      </w:pPr>
      <w:r>
        <w:t xml:space="preserve">All gates pass except the abundance error on the 2,000 real EMIT rows (0.078 vs 0.06). Version 1 was promoted with --force, which is recorded in the model registry and shown on the Platform page. Class maps on the same rows agree 99.85 %.</w:t>
      </w:r>
    </w:p>
    <w:p>
      <w:pPr>
        <w:pStyle w:val="Heading2"/>
      </w:pPr>
      <w:r>
        <w:t xml:space="preserve">11.2 Map verification (whole scenes)</w:t>
      </w:r>
    </w:p>
    <w:p>
      <w:pPr>
        <w:spacing w:after="120" w:line="276"/>
      </w:pPr>
      <w:r>
        <w:t xml:space="preserve">verify_maps.py runs both the classical method and HydraNet on complete scenes and compares the resulting maps pixel by pixel.</w:t>
      </w:r>
    </w:p>
    <w:p>
      <w:pPr>
        <w:keepNext/>
        <w:spacing w:before="120" w:after="40"/>
        <w:jc w:val="center"/>
      </w:pPr>
      <w:r>
        <w:drawing>
          <wp:inline distT="0" distB="0" distL="0" distR="0">
            <wp:extent cx="5305425" cy="2038350"/>
            <wp:effectExtent t="0" r="0" b="0" l="0"/>
            <wp:docPr id="1" name="chart_agreement.png" descr="Class maps: pixel agreement with the classical method (vertical tick = gate)." title="Class maps: pixel agreement with the classical method (vertical tick =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2038350"/>
                    </a:xfrm>
                    <a:prstGeom prst="rect">
                      <a:avLst/>
                    </a:prstGeom>
                  </pic:spPr>
                </pic:pic>
              </a:graphicData>
            </a:graphic>
          </wp:inline>
        </w:drawing>
      </w:r>
    </w:p>
    <w:p>
      <w:pPr>
        <w:spacing w:after="200"/>
        <w:jc w:val="center"/>
      </w:pPr>
      <w:r>
        <w:rPr>
          <w:b/>
          <w:bCs/>
          <w:color w:val="52514E"/>
          <w:sz w:val="18"/>
          <w:szCs w:val="18"/>
        </w:rPr>
        <w:t xml:space="preserve">Figure 8. </w:t>
      </w:r>
      <w:r>
        <w:rPr>
          <w:color w:val="52514E"/>
          <w:sz w:val="18"/>
          <w:szCs w:val="18"/>
        </w:rPr>
        <w:t xml:space="preserve">Class maps: pixel agreement with the classical method (vertical tick = gate).</w:t>
      </w:r>
    </w:p>
    <w:p>
      <w:pPr>
        <w:keepNext/>
        <w:spacing w:before="120" w:after="40"/>
        <w:jc w:val="center"/>
      </w:pPr>
      <w:r>
        <w:drawing>
          <wp:inline distT="0" distB="0" distL="0" distR="0">
            <wp:extent cx="5305425" cy="1781175"/>
            <wp:effectExtent t="0" r="0" b="0" l="0"/>
            <wp:docPr id="1" name="chart_errors.png" descr="Continuous maps: error against the classical method (vertical tick = gate)." title="Continuous maps: error against the classical method (vertical tick =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1781175"/>
                    </a:xfrm>
                    <a:prstGeom prst="rect">
                      <a:avLst/>
                    </a:prstGeom>
                  </pic:spPr>
                </pic:pic>
              </a:graphicData>
            </a:graphic>
          </wp:inline>
        </w:drawing>
      </w:r>
    </w:p>
    <w:p>
      <w:pPr>
        <w:spacing w:after="200"/>
        <w:jc w:val="center"/>
      </w:pPr>
      <w:r>
        <w:rPr>
          <w:b/>
          <w:bCs/>
          <w:color w:val="52514E"/>
          <w:sz w:val="18"/>
          <w:szCs w:val="18"/>
        </w:rPr>
        <w:t xml:space="preserve">Figure 9. </w:t>
      </w:r>
      <w:r>
        <w:rPr>
          <w:color w:val="52514E"/>
          <w:sz w:val="18"/>
          <w:szCs w:val="18"/>
        </w:rPr>
        <w:t xml:space="preserve">Continuous maps: error against the classical method (vertical tick = gate).</w:t>
      </w:r>
    </w:p>
    <w:p>
      <w:pPr>
        <w:keepNext/>
        <w:spacing w:before="120" w:after="40"/>
        <w:jc w:val="center"/>
      </w:pPr>
      <w:r>
        <w:drawing>
          <wp:inline distT="0" distB="0" distL="0" distR="0">
            <wp:extent cx="5124450" cy="1762125"/>
            <wp:effectExtent t="0" r="0" b="0" l="0"/>
            <wp:docPr id="1" name="chart_agri_r2.png" descr="Agriculture: R² against the LUT inversion for each parameter (validation set)." title="Agriculture: R² against the LUT inversion for each parameter (valida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1762125"/>
                    </a:xfrm>
                    <a:prstGeom prst="rect">
                      <a:avLst/>
                    </a:prstGeom>
                  </pic:spPr>
                </pic:pic>
              </a:graphicData>
            </a:graphic>
          </wp:inline>
        </w:drawing>
      </w:r>
    </w:p>
    <w:p>
      <w:pPr>
        <w:spacing w:after="200"/>
        <w:jc w:val="center"/>
      </w:pPr>
      <w:r>
        <w:rPr>
          <w:b/>
          <w:bCs/>
          <w:color w:val="52514E"/>
          <w:sz w:val="18"/>
          <w:szCs w:val="18"/>
        </w:rPr>
        <w:t xml:space="preserve">Figure 10. </w:t>
      </w:r>
      <w:r>
        <w:rPr>
          <w:color w:val="52514E"/>
          <w:sz w:val="18"/>
          <w:szCs w:val="18"/>
        </w:rPr>
        <w:t xml:space="preserve">Agriculture: R² against the LUT inversion for each parameter (validation set).</w:t>
      </w:r>
    </w:p>
    <w:p>
      <w:pPr>
        <w:spacing w:after="120" w:line="276"/>
      </w:pPr>
      <w:r>
        <w:t xml:space="preserve">Car (carotenoids) is the hardest trait for the LUT itself (weak, overlapping absorption), so it is reported but not gated; the core traits Cab, Cw and LAI are gated at R² ≥ 0.95.</w:t>
      </w:r>
    </w:p>
    <w:p>
      <w:pPr>
        <w:pStyle w:val="Heading2"/>
      </w:pPr>
      <w:r>
        <w:t xml:space="preserve">11.3 Real Landsat scenes</w:t>
      </w:r>
    </w:p>
    <w:p>
      <w:pPr>
        <w:keepNext/>
        <w:spacing w:before="120" w:after="40"/>
        <w:jc w:val="center"/>
      </w:pPr>
      <w:r>
        <w:drawing>
          <wp:inline distT="0" distB="0" distL="0" distR="0">
            <wp:extent cx="5305425" cy="2324100"/>
            <wp:effectExtent t="0" r="0" b="0" l="0"/>
            <wp:docPr id="1" name="chart_landsat.png" descr="Agreement with the thermal rules on six real Landsat 8/9 scenes." title="Agreement with the thermal rules on six real Landsat 8/9 sc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2324100"/>
                    </a:xfrm>
                    <a:prstGeom prst="rect">
                      <a:avLst/>
                    </a:prstGeom>
                  </pic:spPr>
                </pic:pic>
              </a:graphicData>
            </a:graphic>
          </wp:inline>
        </w:drawing>
      </w:r>
    </w:p>
    <w:p>
      <w:pPr>
        <w:spacing w:after="200"/>
        <w:jc w:val="center"/>
      </w:pPr>
      <w:r>
        <w:rPr>
          <w:b/>
          <w:bCs/>
          <w:color w:val="52514E"/>
          <w:sz w:val="18"/>
          <w:szCs w:val="18"/>
        </w:rPr>
        <w:t xml:space="preserve">Figure 11. </w:t>
      </w:r>
      <w:r>
        <w:rPr>
          <w:color w:val="52514E"/>
          <w:sz w:val="18"/>
          <w:szCs w:val="18"/>
        </w:rPr>
        <w:t xml:space="preserve">Agreement with the thermal rules on six real Landsat 8/9 scenes.</w:t>
      </w:r>
    </w:p>
    <w:p>
      <w:pPr>
        <w:keepNext/>
        <w:spacing w:before="120" w:after="60"/>
      </w:pPr>
      <w:r>
        <w:rPr>
          <w:b/>
          <w:bCs/>
          <w:color w:val="52514E"/>
          <w:sz w:val="18"/>
          <w:szCs w:val="18"/>
        </w:rPr>
        <w:t xml:space="preserve">Table 21. </w:t>
      </w:r>
      <w:r>
        <w:rPr>
          <w:color w:val="52514E"/>
          <w:sz w:val="18"/>
          <w:szCs w:val="18"/>
        </w:rPr>
        <w:t xml:space="preserve">Real Landsat scenes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8"/>
        <w:gridCol w:w="3659"/>
        <w:gridCol w:w="1464"/>
        <w:gridCol w:w="2195"/>
      </w:tblGrid>
      <w:tr>
        <w:trPr>
          <w:tblHeader/>
        </w:trPr>
        <w:tc>
          <w:tcPr>
            <w:tcW w:type="dxa" w:w="1708"/>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Scene</w:t>
            </w:r>
          </w:p>
        </w:tc>
        <w:tc>
          <w:tcPr>
            <w:tcW w:type="dxa" w:w="3659"/>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Landsat ID</w:t>
            </w:r>
          </w:p>
        </w:tc>
        <w:tc>
          <w:tcPr>
            <w:tcW w:type="dxa" w:w="1464"/>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Date</w:t>
            </w:r>
          </w:p>
        </w:tc>
        <w:tc>
          <w:tcPr>
            <w:tcW w:type="dxa" w:w="2195"/>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UHI intensity (NN / rules)</w:t>
            </w:r>
          </w:p>
        </w:tc>
      </w:tr>
      <w:tr>
        <w:tc>
          <w:tcPr>
            <w:tcW w:type="dxa" w:w="170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fresno city</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LC08_L2SP_043034_20240930_02_T1</w:t>
            </w:r>
          </w:p>
        </w:tc>
        <w:tc>
          <w:tcPr>
            <w:tcW w:type="dxa" w:w="146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2024-09-30</w:t>
            </w:r>
          </w:p>
        </w:tc>
        <w:tc>
          <w:tcPr>
            <w:tcW w:type="dxa" w:w="219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5.71 / 5.7 °C</w:t>
            </w:r>
          </w:p>
        </w:tc>
      </w:tr>
      <w:tr>
        <w:tc>
          <w:tcPr>
            <w:tcW w:type="dxa" w:w="170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fresno winter</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LC08_L2SP_042035_20240228_02_T1</w:t>
            </w:r>
          </w:p>
        </w:tc>
        <w:tc>
          <w:tcPr>
            <w:tcW w:type="dxa" w:w="146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2024-02-28</w:t>
            </w:r>
          </w:p>
        </w:tc>
        <w:tc>
          <w:tcPr>
            <w:tcW w:type="dxa" w:w="219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4.17 / 4.17 °C</w:t>
            </w:r>
          </w:p>
        </w:tc>
      </w:tr>
      <w:tr>
        <w:tc>
          <w:tcPr>
            <w:tcW w:type="dxa" w:w="170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bakersfield oil</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LC09_L2SP_042035_20240830_02_T1</w:t>
            </w:r>
          </w:p>
        </w:tc>
        <w:tc>
          <w:tcPr>
            <w:tcW w:type="dxa" w:w="146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2024-08-30</w:t>
            </w:r>
          </w:p>
        </w:tc>
        <w:tc>
          <w:tcPr>
            <w:tcW w:type="dxa" w:w="219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7.8 / 7.81 °C</w:t>
            </w:r>
          </w:p>
        </w:tc>
      </w:tr>
      <w:tr>
        <w:tc>
          <w:tcPr>
            <w:tcW w:type="dxa" w:w="170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sacramento</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LC09_L2SP_044033_20240929_02_T1</w:t>
            </w:r>
          </w:p>
        </w:tc>
        <w:tc>
          <w:tcPr>
            <w:tcW w:type="dxa" w:w="146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2024-09-29</w:t>
            </w:r>
          </w:p>
        </w:tc>
        <w:tc>
          <w:tcPr>
            <w:tcW w:type="dxa" w:w="219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7.81 / 7.82 °C</w:t>
            </w:r>
          </w:p>
        </w:tc>
      </w:tr>
      <w:tr>
        <w:tc>
          <w:tcPr>
            <w:tcW w:type="dxa" w:w="170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tulare farms</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LC09_L2SP_042035_20240729_02_T1</w:t>
            </w:r>
          </w:p>
        </w:tc>
        <w:tc>
          <w:tcPr>
            <w:tcW w:type="dxa" w:w="146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2024-07-29</w:t>
            </w:r>
          </w:p>
        </w:tc>
        <w:tc>
          <w:tcPr>
            <w:tcW w:type="dxa" w:w="219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17.01 / 17.06 °C</w:t>
            </w:r>
          </w:p>
        </w:tc>
      </w:tr>
      <w:tr>
        <w:tc>
          <w:tcPr>
            <w:tcW w:type="dxa" w:w="170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modesto</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LC08_L2SP_043034_20240930_02_T1</w:t>
            </w:r>
          </w:p>
        </w:tc>
        <w:tc>
          <w:tcPr>
            <w:tcW w:type="dxa" w:w="146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2024-09-30</w:t>
            </w:r>
          </w:p>
        </w:tc>
        <w:tc>
          <w:tcPr>
            <w:tcW w:type="dxa" w:w="219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6.73 / 6.74 °C</w:t>
            </w:r>
          </w:p>
        </w:tc>
      </w:tr>
    </w:tbl>
    <w:p>
      <w:pPr>
        <w:spacing w:after="120"/>
      </w:pPr>
    </w:p>
    <w:p>
      <w:pPr>
        <w:pStyle w:val="Heading2"/>
      </w:pPr>
      <w:r>
        <w:t xml:space="preserve">11.4 Speed and size</w:t>
      </w:r>
    </w:p>
    <w:p>
      <w:pPr>
        <w:keepNext/>
        <w:spacing w:before="120" w:after="40"/>
        <w:jc w:val="center"/>
      </w:pPr>
      <w:r>
        <w:drawing>
          <wp:inline distT="0" distB="0" distL="0" distR="0">
            <wp:extent cx="5305425" cy="2000250"/>
            <wp:effectExtent t="0" r="0" b="0" l="0"/>
            <wp:docPr id="1" name="chart_speed.png" descr="Time for five synthetic scenes on one CPU, end to end (features + model, or features + classical method)." title="Time for five synthetic scenes on one CPU, end to end (features + model, or features + classical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2000250"/>
                    </a:xfrm>
                    <a:prstGeom prst="rect">
                      <a:avLst/>
                    </a:prstGeom>
                  </pic:spPr>
                </pic:pic>
              </a:graphicData>
            </a:graphic>
          </wp:inline>
        </w:drawing>
      </w:r>
    </w:p>
    <w:p>
      <w:pPr>
        <w:spacing w:after="200"/>
        <w:jc w:val="center"/>
      </w:pPr>
      <w:r>
        <w:rPr>
          <w:b/>
          <w:bCs/>
          <w:color w:val="52514E"/>
          <w:sz w:val="18"/>
          <w:szCs w:val="18"/>
        </w:rPr>
        <w:t xml:space="preserve">Figure 12. </w:t>
      </w:r>
      <w:r>
        <w:rPr>
          <w:color w:val="52514E"/>
          <w:sz w:val="18"/>
          <w:szCs w:val="18"/>
        </w:rPr>
        <w:t xml:space="preserve">Time for five synthetic scenes on one CPU, end to end (features + model, or features + classical method).</w:t>
      </w:r>
    </w:p>
    <w:p>
      <w:pPr>
        <w:spacing w:after="120" w:line="276"/>
      </w:pPr>
      <w:r>
        <w:t xml:space="preserve">For minerals and agriculture HydraNet replaces per-pixel searches (SAM against the library plus NNLS unmixing; nearest neighbours in a 100,000-entry LUT) with one batched matrix pass: 11.5× and 6.9× faster end to end, and 26× and 7.5× for the model step alone. For thermal the network is slower, because it needs the same scene statistics as the rules and the rules themselves are only a few array operations.</w:t>
      </w:r>
    </w:p>
    <w:p>
      <w:pPr>
        <w:pStyle w:val="Heading2"/>
      </w:pPr>
      <w:r>
        <w:t xml:space="preserve">11.5 Real end-to-end job: EMIT + Landsat over Fresno County</w:t>
      </w:r>
    </w:p>
    <w:p>
      <w:pPr>
        <w:spacing w:after="120" w:line="276"/>
      </w:pPr>
      <w:r>
        <w:t xml:space="preserve">A real job was run through the whole platform on 20 October 2026 with the project's NASA Earthdata account: box -120.10, 36.60, -120.05, 36.65 (farmland west of Fresno, California, about 25 km²), all three tasks. The platform selected EMIT granule </w:t>
      </w:r>
      <w:r>
        <w:rPr>
          <w:b/>
          <w:bCs/>
        </w:rPr>
        <w:t xml:space="preserve">EMIT_L2A_RFL_002_20230822T192555</w:t>
      </w:r>
      <w:r>
        <w:t xml:space="preserve"> (acquired 2023-08-22, 1 % cloud) and Landsat scene </w:t>
      </w:r>
      <w:r>
        <w:rPr>
          <w:b/>
          <w:bCs/>
        </w:rPr>
        <w:t xml:space="preserve">LC09_L2SP_042035_20230929_02_T1</w:t>
      </w:r>
      <w:r>
        <w:t xml:space="preserve"> (2023-09-29), downloaded and staged the 1.88 GB EMIT file (about 8.5 minutes at 2.8 MB/s; once per granule), orthorectified the box with the GLT, cleaned it, and ran HydraNet. Final status: </w:t>
      </w:r>
      <w:r>
        <w:rPr>
          <w:b/>
          <w:bCs/>
        </w:rPr>
        <w:t xml:space="preserve">COMPLETED</w:t>
      </w:r>
      <w:r>
        <w:t xml:space="preserve">; a repeat job over the same granule took 10 s.</w:t>
      </w:r>
    </w:p>
    <w:p>
      <w:pPr>
        <w:pBdr>
          <w:left w:val="single" w:color="2A78D6" w:sz="18" w:space="8"/>
        </w:pBdr>
        <w:spacing w:before="60" w:after="160"/>
        <w:ind w:left="200"/>
      </w:pPr>
      <w:r>
        <w:rPr>
          <w:b/>
          <w:bCs/>
          <w:color w:val="222222"/>
        </w:rPr>
        <w:t xml:space="preserve">Bug found by this test and fixed:</w:t>
      </w:r>
      <w:r>
        <w:rPr>
          <w:color w:val="222222"/>
        </w:rPr>
        <w:t xml:space="preserve"> the first real run finished DONE but with empty agriculture and mineral maps: every pixel was masked as cloud. EMIT's MASK product version 003 changed its band order (band 4 is now a continuous SpecTf cloud probability, above 0 everywhere), and the code selected flag bands by position. The fix selects the flag bands by the names stored in the file, works for both layouts, and a box that is more than 95 % cloud now ends as NO_DATA with a message instead of an empty DONE. Regression tests cover both mask layouts.</w:t>
      </w:r>
    </w:p>
    <w:p>
      <w:pPr>
        <w:keepNext/>
        <w:spacing w:before="120" w:after="60"/>
      </w:pPr>
      <w:r>
        <w:rPr>
          <w:b/>
          <w:bCs/>
          <w:color w:val="52514E"/>
          <w:sz w:val="18"/>
          <w:szCs w:val="18"/>
        </w:rPr>
        <w:t xml:space="preserve">Table 22. </w:t>
      </w:r>
      <w:r>
        <w:rPr>
          <w:color w:val="52514E"/>
          <w:sz w:val="18"/>
          <w:szCs w:val="18"/>
        </w:rPr>
        <w:t xml:space="preserve">Real job results (HydraNet vs the classical method on every pixel of the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4"/>
        <w:gridCol w:w="1188"/>
        <w:gridCol w:w="1781"/>
        <w:gridCol w:w="4513"/>
      </w:tblGrid>
      <w:tr>
        <w:trPr>
          <w:tblHeader/>
        </w:trPr>
        <w:tc>
          <w:tcPr>
            <w:tcW w:type="dxa" w:w="1544"/>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Task</w:t>
            </w:r>
          </w:p>
        </w:tc>
        <w:tc>
          <w:tcPr>
            <w:tcW w:type="dxa" w:w="1188"/>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Status</w:t>
            </w:r>
          </w:p>
        </w:tc>
        <w:tc>
          <w:tcPr>
            <w:tcW w:type="dxa" w:w="1781"/>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Pixels mapped</w:t>
            </w:r>
          </w:p>
        </w:tc>
        <w:tc>
          <w:tcPr>
            <w:tcW w:type="dxa" w:w="4513"/>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Agreement with classical (all pixels)</w:t>
            </w:r>
          </w:p>
        </w:tc>
      </w:tr>
      <w:tr>
        <w:tc>
          <w:tcPr>
            <w:tcW w:type="dxa" w:w="154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Agriculture</w:t>
            </w:r>
          </w:p>
        </w:tc>
        <w:tc>
          <w:tcPr>
            <w:tcW w:type="dxa" w:w="11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DONE</w:t>
            </w:r>
          </w:p>
        </w:tc>
        <w:tc>
          <w:tcPr>
            <w:tcW w:type="dxa" w:w="178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6,725 vegetated</w:t>
            </w:r>
          </w:p>
        </w:tc>
        <w:tc>
          <w:tcPr>
            <w:tcW w:type="dxa" w:w="451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Cab nMAE 1.9 %, r 0.992</w:t>
            </w:r>
          </w:p>
          <w:p>
            <w:pPr>
              <w:spacing w:after="0"/>
            </w:pPr>
            <w:r>
              <w:rPr>
                <w:sz w:val="18"/>
                <w:szCs w:val="18"/>
              </w:rPr>
              <w:t xml:space="preserve">Cw nMAE 2.5 %, r 0.995</w:t>
            </w:r>
          </w:p>
          <w:p>
            <w:pPr>
              <w:spacing w:after="0"/>
            </w:pPr>
            <w:r>
              <w:rPr>
                <w:sz w:val="18"/>
                <w:szCs w:val="18"/>
              </w:rPr>
              <w:t xml:space="preserve">LAI nMAE 1.5 %, r 0.990</w:t>
            </w:r>
          </w:p>
        </w:tc>
      </w:tr>
      <w:tr>
        <w:tc>
          <w:tcPr>
            <w:tcW w:type="dxa" w:w="154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Minerals</w:t>
            </w:r>
          </w:p>
        </w:tc>
        <w:tc>
          <w:tcPr>
            <w:tcW w:type="dxa" w:w="11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DONE</w:t>
            </w:r>
          </w:p>
        </w:tc>
        <w:tc>
          <w:tcPr>
            <w:tcW w:type="dxa" w:w="178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2,016 bare</w:t>
            </w:r>
          </w:p>
        </w:tc>
        <w:tc>
          <w:tcPr>
            <w:tcW w:type="dxa" w:w="451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class 99.75 % (1930 quartz, 86 gypsum vs SAM 1935 / 81); abundance MAE 0.068; quality MAE 0.186</w:t>
            </w:r>
          </w:p>
        </w:tc>
      </w:tr>
      <w:tr>
        <w:tc>
          <w:tcPr>
            <w:tcW w:type="dxa" w:w="154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Thermal</w:t>
            </w:r>
          </w:p>
        </w:tc>
        <w:tc>
          <w:tcPr>
            <w:tcW w:type="dxa" w:w="1188"/>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DONE</w:t>
            </w:r>
          </w:p>
        </w:tc>
        <w:tc>
          <w:tcPr>
            <w:tcW w:type="dxa" w:w="1781"/>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176×180</w:t>
            </w:r>
          </w:p>
        </w:tc>
        <w:tc>
          <w:tcPr>
            <w:tcW w:type="dxa" w:w="451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global 99.98 %, UHI 99.89 %, local 99.98 %, hotspots 99.99 %; UHI intensity 12.75 vs 12.76 °C</w:t>
            </w:r>
          </w:p>
        </w:tc>
      </w:tr>
    </w:tbl>
    <w:p>
      <w:pPr>
        <w:spacing w:after="120"/>
      </w:pPr>
    </w:p>
    <w:p>
      <w:pPr>
        <w:spacing w:after="120" w:line="276"/>
      </w:pPr>
      <w:r>
        <w:t xml:space="preserve">Land cover of the box: no data / cloud 0.0 %, water 0.0 %, vegetation 76.9 %, bare soil / rock 23.1 %. Agriculture R² against the LUT on all 6,725 vegetated pixels: Cab 0.983, Cw 0.985, LAI 0.980 (ALA 0.917, Cm 0.801, Car 0.735). Steady-state time for the whole box (after warm-up): agriculture 0.007 s vs 0.142 s for the LUT inversion (20×), minerals 0.007 s vs 0.087 s for SAM + SMA (12×).</w:t>
      </w:r>
    </w:p>
    <w:p>
      <w:pPr>
        <w:spacing w:after="120" w:line="276"/>
      </w:pPr>
      <w:r>
        <w:t xml:space="preserve">The production shadow check stored with the job (1,500 random pixels per task) agrees: Cab R² 0.983, Cw 0.985, LAI 0.981; mineral class 99.8 %; thermal 99.9–99.99 %. The LAI differences grow on the densest fields (LAI above 5), where the LUT inversion itself saturates. </w:t>
      </w:r>
      <w:r>
        <w:rPr>
          <w:b/>
          <w:bCs/>
        </w:rPr>
        <w:t xml:space="preserve">Mineral quality</w:t>
      </w:r>
      <w:r>
        <w:t xml:space="preserve"> (the SMA fit-quality score) does not transfer to real EMIT: MAE 0.186 against 0.007 on synthetic scenes; the score is shown in the app but should not be relied on until the model is retrained with real-scene residuals.</w:t>
      </w:r>
    </w:p>
    <w:p>
      <w:pPr>
        <w:keepNext/>
        <w:spacing w:before="120" w:after="40"/>
        <w:jc w:val="center"/>
      </w:pPr>
      <w:r>
        <w:drawing>
          <wp:inline distT="0" distB="0" distL="0" distR="0">
            <wp:extent cx="5124450" cy="2905125"/>
            <wp:effectExtent t="0" r="0" b="0" l="0"/>
            <wp:docPr id="1" name="real_emit_rgb.png" descr="The EMIT box in true colour and the land-cover routing (vegetation → agriculture, bare → minerals)." title="The EMIT box in true colour and the land-cover routing (vegetation → agriculture, bare → miner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2905125"/>
                    </a:xfrm>
                    <a:prstGeom prst="rect">
                      <a:avLst/>
                    </a:prstGeom>
                  </pic:spPr>
                </pic:pic>
              </a:graphicData>
            </a:graphic>
          </wp:inline>
        </w:drawing>
      </w:r>
    </w:p>
    <w:p>
      <w:pPr>
        <w:spacing w:after="200"/>
        <w:jc w:val="center"/>
      </w:pPr>
      <w:r>
        <w:rPr>
          <w:b/>
          <w:bCs/>
          <w:color w:val="52514E"/>
          <w:sz w:val="18"/>
          <w:szCs w:val="18"/>
        </w:rPr>
        <w:t xml:space="preserve">Figure 13. </w:t>
      </w:r>
      <w:r>
        <w:rPr>
          <w:color w:val="52514E"/>
          <w:sz w:val="18"/>
          <w:szCs w:val="18"/>
        </w:rPr>
        <w:t xml:space="preserve">The EMIT box in true colour and the land-cover routing (vegetation → agriculture, bare → minerals).</w:t>
      </w:r>
    </w:p>
    <w:p>
      <w:pPr>
        <w:keepNext/>
        <w:spacing w:before="120" w:after="40"/>
        <w:jc w:val="center"/>
      </w:pPr>
      <w:r>
        <w:drawing>
          <wp:inline distT="0" distB="0" distL="0" distR="0">
            <wp:extent cx="5762625" cy="1743075"/>
            <wp:effectExtent t="0" r="0" b="0" l="0"/>
            <wp:docPr id="1" name="real_agri_LAI.png" descr="Leaf area index on real EMIT: classical LUT inversion, HydraNet and their difference." title="Leaf area index on real EMIT: classical LUT inversion, HydraNet and their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1743075"/>
                    </a:xfrm>
                    <a:prstGeom prst="rect">
                      <a:avLst/>
                    </a:prstGeom>
                  </pic:spPr>
                </pic:pic>
              </a:graphicData>
            </a:graphic>
          </wp:inline>
        </w:drawing>
      </w:r>
    </w:p>
    <w:p>
      <w:pPr>
        <w:spacing w:after="200"/>
        <w:jc w:val="center"/>
      </w:pPr>
      <w:r>
        <w:rPr>
          <w:b/>
          <w:bCs/>
          <w:color w:val="52514E"/>
          <w:sz w:val="18"/>
          <w:szCs w:val="18"/>
        </w:rPr>
        <w:t xml:space="preserve">Figure 14. </w:t>
      </w:r>
      <w:r>
        <w:rPr>
          <w:color w:val="52514E"/>
          <w:sz w:val="18"/>
          <w:szCs w:val="18"/>
        </w:rPr>
        <w:t xml:space="preserve">Leaf area index on real EMIT: classical LUT inversion, HydraNet and their difference.</w:t>
      </w:r>
    </w:p>
    <w:p>
      <w:pPr>
        <w:keepNext/>
        <w:spacing w:before="120" w:after="40"/>
        <w:jc w:val="center"/>
      </w:pPr>
      <w:r>
        <w:drawing>
          <wp:inline distT="0" distB="0" distL="0" distR="0">
            <wp:extent cx="5762625" cy="1743075"/>
            <wp:effectExtent t="0" r="0" b="0" l="0"/>
            <wp:docPr id="1" name="real_agri_Cab.png" descr="Leaf chlorophyll on real EMIT: classical, HydraNet, difference." title="Leaf chlorophyll on real EMIT: classical, HydraNet,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1743075"/>
                    </a:xfrm>
                    <a:prstGeom prst="rect">
                      <a:avLst/>
                    </a:prstGeom>
                  </pic:spPr>
                </pic:pic>
              </a:graphicData>
            </a:graphic>
          </wp:inline>
        </w:drawing>
      </w:r>
    </w:p>
    <w:p>
      <w:pPr>
        <w:spacing w:after="200"/>
        <w:jc w:val="center"/>
      </w:pPr>
      <w:r>
        <w:rPr>
          <w:b/>
          <w:bCs/>
          <w:color w:val="52514E"/>
          <w:sz w:val="18"/>
          <w:szCs w:val="18"/>
        </w:rPr>
        <w:t xml:space="preserve">Figure 15. </w:t>
      </w:r>
      <w:r>
        <w:rPr>
          <w:color w:val="52514E"/>
          <w:sz w:val="18"/>
          <w:szCs w:val="18"/>
        </w:rPr>
        <w:t xml:space="preserve">Leaf chlorophyll on real EMIT: classical, HydraNet, difference.</w:t>
      </w:r>
    </w:p>
    <w:p>
      <w:pPr>
        <w:keepNext/>
        <w:spacing w:before="120" w:after="40"/>
        <w:jc w:val="center"/>
      </w:pPr>
      <w:r>
        <w:drawing>
          <wp:inline distT="0" distB="0" distL="0" distR="0">
            <wp:extent cx="5762625" cy="1800225"/>
            <wp:effectExtent t="0" r="0" b="0" l="0"/>
            <wp:docPr id="1" name="real_agri_scatter.png" descr="Every vegetated pixel: HydraNet against the classical inversion (dashed line = identical)." title="Every vegetated pixel: HydraNet against the classical inversion (dashed line = iden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1800225"/>
                    </a:xfrm>
                    <a:prstGeom prst="rect">
                      <a:avLst/>
                    </a:prstGeom>
                  </pic:spPr>
                </pic:pic>
              </a:graphicData>
            </a:graphic>
          </wp:inline>
        </w:drawing>
      </w:r>
    </w:p>
    <w:p>
      <w:pPr>
        <w:spacing w:after="200"/>
        <w:jc w:val="center"/>
      </w:pPr>
      <w:r>
        <w:rPr>
          <w:b/>
          <w:bCs/>
          <w:color w:val="52514E"/>
          <w:sz w:val="18"/>
          <w:szCs w:val="18"/>
        </w:rPr>
        <w:t xml:space="preserve">Figure 16. </w:t>
      </w:r>
      <w:r>
        <w:rPr>
          <w:color w:val="52514E"/>
          <w:sz w:val="18"/>
          <w:szCs w:val="18"/>
        </w:rPr>
        <w:t xml:space="preserve">Every vegetated pixel: HydraNet against the classical inversion (dashed line = identical).</w:t>
      </w:r>
    </w:p>
    <w:p>
      <w:pPr>
        <w:keepNext/>
        <w:spacing w:before="120" w:after="40"/>
        <w:jc w:val="center"/>
      </w:pPr>
      <w:r>
        <w:drawing>
          <wp:inline distT="0" distB="0" distL="0" distR="0">
            <wp:extent cx="5762625" cy="1857375"/>
            <wp:effectExtent t="0" r="0" b="0" l="0"/>
            <wp:docPr id="1" name="real_mineral_class.png" descr="Mineral classes on the bare pixels: SAM, HydraNet and where they differ (quartz and gypsum share the colour of their group; red marks every pixel whose class differs)." title="Mineral classes on the bare pixels: SAM, HydraNet and where they differ (quartz and gypsum share the colour of their group; red marks every pixel whose class diff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1857375"/>
                    </a:xfrm>
                    <a:prstGeom prst="rect">
                      <a:avLst/>
                    </a:prstGeom>
                  </pic:spPr>
                </pic:pic>
              </a:graphicData>
            </a:graphic>
          </wp:inline>
        </w:drawing>
      </w:r>
    </w:p>
    <w:p>
      <w:pPr>
        <w:spacing w:after="200"/>
        <w:jc w:val="center"/>
      </w:pPr>
      <w:r>
        <w:rPr>
          <w:b/>
          <w:bCs/>
          <w:color w:val="52514E"/>
          <w:sz w:val="18"/>
          <w:szCs w:val="18"/>
        </w:rPr>
        <w:t xml:space="preserve">Figure 17. </w:t>
      </w:r>
      <w:r>
        <w:rPr>
          <w:color w:val="52514E"/>
          <w:sz w:val="18"/>
          <w:szCs w:val="18"/>
        </w:rPr>
        <w:t xml:space="preserve">Mineral classes on the bare pixels: SAM, HydraNet and where they differ (quartz and gypsum share the colour of their group; red marks every pixel whose class differs).</w:t>
      </w:r>
    </w:p>
    <w:p>
      <w:pPr>
        <w:keepNext/>
        <w:spacing w:before="120" w:after="40"/>
        <w:jc w:val="center"/>
      </w:pPr>
      <w:r>
        <w:drawing>
          <wp:inline distT="0" distB="0" distL="0" distR="0">
            <wp:extent cx="5762625" cy="2105025"/>
            <wp:effectExtent t="0" r="0" b="0" l="0"/>
            <wp:docPr id="1" name="real_thermal_uhi.png" descr="Landsat temperature and the urban-heat-island classes: rules vs HydraNet." title="Landsat temperature and the urban-heat-island classes: rules vs Hydr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105025"/>
                    </a:xfrm>
                    <a:prstGeom prst="rect">
                      <a:avLst/>
                    </a:prstGeom>
                  </pic:spPr>
                </pic:pic>
              </a:graphicData>
            </a:graphic>
          </wp:inline>
        </w:drawing>
      </w:r>
    </w:p>
    <w:p>
      <w:pPr>
        <w:spacing w:after="200"/>
        <w:jc w:val="center"/>
      </w:pPr>
      <w:r>
        <w:rPr>
          <w:b/>
          <w:bCs/>
          <w:color w:val="52514E"/>
          <w:sz w:val="18"/>
          <w:szCs w:val="18"/>
        </w:rPr>
        <w:t xml:space="preserve">Figure 18. </w:t>
      </w:r>
      <w:r>
        <w:rPr>
          <w:color w:val="52514E"/>
          <w:sz w:val="18"/>
          <w:szCs w:val="18"/>
        </w:rPr>
        <w:t xml:space="preserve">Landsat temperature and the urban-heat-island classes: rules vs HydraNet.</w:t>
      </w:r>
    </w:p>
    <w:p>
      <w:pPr>
        <w:keepNext/>
        <w:spacing w:before="120" w:after="40"/>
        <w:jc w:val="center"/>
      </w:pPr>
      <w:r>
        <w:drawing>
          <wp:inline distT="0" distB="0" distL="0" distR="0">
            <wp:extent cx="5124450" cy="2476500"/>
            <wp:effectExtent t="0" r="0" b="0" l="0"/>
            <wp:docPr id="1" name="real_thermal_hotspots.png" descr="Hotspots: rules vs HydraNet." title="Hotspots: rules vs Hydr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24450" cy="2476500"/>
                    </a:xfrm>
                    <a:prstGeom prst="rect">
                      <a:avLst/>
                    </a:prstGeom>
                  </pic:spPr>
                </pic:pic>
              </a:graphicData>
            </a:graphic>
          </wp:inline>
        </w:drawing>
      </w:r>
    </w:p>
    <w:p>
      <w:pPr>
        <w:spacing w:after="200"/>
        <w:jc w:val="center"/>
      </w:pPr>
      <w:r>
        <w:rPr>
          <w:b/>
          <w:bCs/>
          <w:color w:val="52514E"/>
          <w:sz w:val="18"/>
          <w:szCs w:val="18"/>
        </w:rPr>
        <w:t xml:space="preserve">Figure 19. </w:t>
      </w:r>
      <w:r>
        <w:rPr>
          <w:color w:val="52514E"/>
          <w:sz w:val="18"/>
          <w:szCs w:val="18"/>
        </w:rPr>
        <w:t xml:space="preserve">Hotspots: rules vs HydraNet.</w:t>
      </w:r>
    </w:p>
    <w:p>
      <w:pPr>
        <w:pStyle w:val="Heading1"/>
        <w:pageBreakBefore/>
      </w:pPr>
      <w:r>
        <w:t xml:space="preserve">12. Classical methods vs HydraNet</w:t>
      </w:r>
    </w:p>
    <w:p>
      <w:pPr>
        <w:keepNext/>
        <w:spacing w:before="120" w:after="60"/>
      </w:pPr>
      <w:r>
        <w:rPr>
          <w:b/>
          <w:bCs/>
          <w:color w:val="52514E"/>
          <w:sz w:val="18"/>
          <w:szCs w:val="18"/>
        </w:rPr>
        <w:t xml:space="preserve">Table 23. </w:t>
      </w:r>
      <w:r>
        <w:rPr>
          <w:color w:val="52514E"/>
          <w:sz w:val="18"/>
          <w:szCs w:val="18"/>
        </w:rPr>
        <w:t xml:space="preserve">Side-by-side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2"/>
        <w:gridCol w:w="3415"/>
        <w:gridCol w:w="3659"/>
      </w:tblGrid>
      <w:tr>
        <w:trPr>
          <w:tblHeader/>
        </w:trPr>
        <w:tc>
          <w:tcPr>
            <w:tcW w:type="dxa" w:w="1952"/>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Aspect</w:t>
            </w:r>
          </w:p>
        </w:tc>
        <w:tc>
          <w:tcPr>
            <w:tcW w:type="dxa" w:w="3415"/>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Classical methods</w:t>
            </w:r>
          </w:p>
        </w:tc>
        <w:tc>
          <w:tcPr>
            <w:tcW w:type="dxa" w:w="3659"/>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HydraNet (ours)</w:t>
            </w:r>
          </w:p>
        </w:tc>
      </w:tr>
      <w:tr>
        <w:tc>
          <w:tcPr>
            <w:tcW w:type="dxa" w:w="195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What runs</w:t>
            </w:r>
          </w:p>
        </w:tc>
        <w:tc>
          <w:tcPr>
            <w:tcW w:type="dxa" w:w="341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three separate algorithms: SAM + NNLS unmixing, k-NN search in a 100,000-entry LUT, thermal rules</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one ONNX file, three inputs, nine outputs</w:t>
            </w:r>
          </w:p>
        </w:tc>
      </w:tr>
      <w:tr>
        <w:tc>
          <w:tcPr>
            <w:tcW w:type="dxa" w:w="195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Accuracy</w:t>
            </w:r>
          </w:p>
        </w:tc>
        <w:tc>
          <w:tcPr>
            <w:tcW w:type="dxa" w:w="341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 reference (by definition)</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reproduces it: 99.8–100 % class agreement, 1.4–3.4 % nMAE on crop traits; abundance on real EMIT still 0.078 MAE</w:t>
            </w:r>
          </w:p>
        </w:tc>
      </w:tr>
      <w:tr>
        <w:tc>
          <w:tcPr>
            <w:tcW w:type="dxa" w:w="195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Speed (CPU)</w:t>
            </w:r>
          </w:p>
        </w:tc>
        <w:tc>
          <w:tcPr>
            <w:tcW w:type="dxa" w:w="341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per-pixel search and optimisation</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minerals 12×, agriculture 7× faster; thermal slower</w:t>
            </w:r>
          </w:p>
        </w:tc>
      </w:tr>
      <w:tr>
        <w:tc>
          <w:tcPr>
            <w:tcW w:type="dxa" w:w="195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Runtime files</w:t>
            </w:r>
          </w:p>
        </w:tc>
        <w:tc>
          <w:tcPr>
            <w:tcW w:type="dxa" w:w="341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library CSVs + 10 MB LUT + three code bases</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1.9 MB model + shared feature code</w:t>
            </w:r>
          </w:p>
        </w:tc>
      </w:tr>
      <w:tr>
        <w:tc>
          <w:tcPr>
            <w:tcW w:type="dxa" w:w="195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Scaling</w:t>
            </w:r>
          </w:p>
        </w:tc>
        <w:tc>
          <w:tcPr>
            <w:tcW w:type="dxa" w:w="341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cost grows with library and LUT size</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fixed cost per pixel, batched; scales with workers</w:t>
            </w:r>
          </w:p>
        </w:tc>
      </w:tr>
      <w:tr>
        <w:tc>
          <w:tcPr>
            <w:tcW w:type="dxa" w:w="195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Uncertainty</w:t>
            </w:r>
          </w:p>
        </w:tc>
        <w:tc>
          <w:tcPr>
            <w:tcW w:type="dxa" w:w="341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LUT spread (agriculture only)</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per-pixel confidence (minerals) and std (agriculture)</w:t>
            </w:r>
          </w:p>
        </w:tc>
      </w:tr>
      <w:tr>
        <w:tc>
          <w:tcPr>
            <w:tcW w:type="dxa" w:w="195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Deployment</w:t>
            </w:r>
          </w:p>
        </w:tc>
        <w:tc>
          <w:tcPr>
            <w:tcW w:type="dxa" w:w="341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Python/numba/scipy stacks</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ONNX Runtime anywhere (CPU, GPU, browser, edge)</w:t>
            </w:r>
          </w:p>
        </w:tc>
      </w:tr>
      <w:tr>
        <w:tc>
          <w:tcPr>
            <w:tcW w:type="dxa" w:w="195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Can beat the teacher?</w:t>
            </w:r>
          </w:p>
        </w:tc>
        <w:tc>
          <w:tcPr>
            <w:tcW w:type="dxa" w:w="3415"/>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w:t>
            </w:r>
          </w:p>
        </w:tc>
        <w:tc>
          <w:tcPr>
            <w:tcW w:type="dxa" w:w="365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not as trained (it learns the teacher); fine-tuning on ground truth is the route (section 15)</w:t>
            </w:r>
          </w:p>
        </w:tc>
      </w:tr>
    </w:tbl>
    <w:p>
      <w:pPr>
        <w:spacing w:after="120"/>
      </w:pPr>
    </w:p>
    <w:p>
      <w:pPr>
        <w:pStyle w:val="Heading3"/>
      </w:pPr>
      <w:r>
        <w:t xml:space="preserve">Why HydraNet</w:t>
      </w:r>
    </w:p>
    <w:p>
      <w:pPr>
        <w:pStyle w:val="ListParagraph"/>
        <w:numPr>
          <w:ilvl w:val="0"/>
          <w:numId w:val="4"/>
        </w:numPr>
        <w:spacing w:after="60"/>
      </w:pPr>
      <w:r>
        <w:rPr>
          <w:b/>
          <w:bCs/>
        </w:rPr>
        <w:t xml:space="preserve">Speed where it matters:</w:t>
      </w:r>
      <w:r>
        <w:t xml:space="preserve"> the expensive classical steps (library search, unmixing, LUT search) are replaced by a single matrix pass.</w:t>
      </w:r>
    </w:p>
    <w:p>
      <w:pPr>
        <w:pStyle w:val="ListParagraph"/>
        <w:numPr>
          <w:ilvl w:val="0"/>
          <w:numId w:val="4"/>
        </w:numPr>
        <w:spacing w:after="60"/>
      </w:pPr>
      <w:r>
        <w:rPr>
          <w:b/>
          <w:bCs/>
        </w:rPr>
        <w:t xml:space="preserve">One artifact:</w:t>
      </w:r>
      <w:r>
        <w:t xml:space="preserve"> a 1.9 MB file is versioned, verified, hot-swapped and rolled back as a unit; the three classical code paths are kept only as the verifier.</w:t>
      </w:r>
    </w:p>
    <w:p>
      <w:pPr>
        <w:pStyle w:val="ListParagraph"/>
        <w:numPr>
          <w:ilvl w:val="0"/>
          <w:numId w:val="4"/>
        </w:numPr>
        <w:spacing w:after="60"/>
      </w:pPr>
      <w:r>
        <w:rPr>
          <w:b/>
          <w:bCs/>
        </w:rPr>
        <w:t xml:space="preserve">Verified, not trusted:</w:t>
      </w:r>
      <w:r>
        <w:t xml:space="preserve"> gates before release, map verification on whole scenes, and shadow verification on every production job, with a Prometheus alert when agreement drops.</w:t>
      </w:r>
    </w:p>
    <w:p>
      <w:pPr>
        <w:pStyle w:val="ListParagraph"/>
        <w:numPr>
          <w:ilvl w:val="0"/>
          <w:numId w:val="4"/>
        </w:numPr>
        <w:spacing w:after="60"/>
      </w:pPr>
      <w:r>
        <w:rPr>
          <w:b/>
          <w:bCs/>
        </w:rPr>
        <w:t xml:space="preserve">Portable:</w:t>
      </w:r>
      <w:r>
        <w:t xml:space="preserve"> ONNX Runtime runs the same file on a laptop, an ARM EC2 instance or a browser, with identical outputs.</w:t>
      </w:r>
    </w:p>
    <w:p>
      <w:pPr>
        <w:pStyle w:val="ListParagraph"/>
        <w:numPr>
          <w:ilvl w:val="0"/>
          <w:numId w:val="4"/>
        </w:numPr>
        <w:spacing w:after="60"/>
      </w:pPr>
      <w:r>
        <w:rPr>
          <w:b/>
          <w:bCs/>
        </w:rPr>
        <w:t xml:space="preserve">A base for improvement:</w:t>
      </w:r>
      <w:r>
        <w:t xml:space="preserve"> unlike fixed rules, the network can later be fine-tuned on field measurements or fire records to exceed the teacher.</w:t>
      </w:r>
    </w:p>
    <w:p>
      <w:pPr>
        <w:pBdr>
          <w:left w:val="single" w:color="2A78D6" w:sz="18" w:space="8"/>
        </w:pBdr>
        <w:spacing w:before="60" w:after="160"/>
        <w:ind w:left="200"/>
      </w:pPr>
      <w:r>
        <w:rPr>
          <w:color w:val="222222"/>
        </w:rPr>
        <w:t xml:space="preserve">Honest limits: the network can only be as good as its teacher as trained; for thermal it is slower than the rules; on real EMIT the abundance error (0.078) is above its gate, because the network sees continuum-removed features while SMA sees raw reflectance.</w:t>
      </w:r>
    </w:p>
    <w:p>
      <w:pPr>
        <w:pStyle w:val="Heading1"/>
        <w:pageBreakBefore/>
      </w:pPr>
      <w:r>
        <w:t xml:space="preserve">13. Serving and inference</w:t>
      </w:r>
    </w:p>
    <w:p>
      <w:pPr>
        <w:pStyle w:val="ListParagraph"/>
        <w:numPr>
          <w:ilvl w:val="0"/>
          <w:numId w:val="4"/>
        </w:numPr>
        <w:spacing w:after="60"/>
      </w:pPr>
      <w:r>
        <w:t xml:space="preserve">The model store downloads the active model version (ONNX, LUT, model card) from the registry and </w:t>
      </w:r>
      <w:r>
        <w:rPr>
          <w:b/>
          <w:bCs/>
        </w:rPr>
        <w:t xml:space="preserve">hot-swaps</w:t>
      </w:r>
      <w:r>
        <w:t xml:space="preserve"> it without restarting workers when a new version is promoted.</w:t>
      </w:r>
    </w:p>
    <w:p>
      <w:pPr>
        <w:pStyle w:val="ListParagraph"/>
        <w:numPr>
          <w:ilvl w:val="0"/>
          <w:numId w:val="4"/>
        </w:numPr>
        <w:spacing w:after="60"/>
      </w:pPr>
      <w:r>
        <w:t xml:space="preserve">ONNX Runtime runs in batches of 32,768 pixels; each worker is single-purpose and scaled by Kafka partitions.</w:t>
      </w:r>
    </w:p>
    <w:p>
      <w:pPr>
        <w:pStyle w:val="ListParagraph"/>
        <w:numPr>
          <w:ilvl w:val="0"/>
          <w:numId w:val="4"/>
        </w:numPr>
        <w:spacing w:after="60"/>
      </w:pPr>
      <w:r>
        <w:t xml:space="preserve">Each task writes its layers as Cloud-Optimized GeoTIFF (exact values, for analysis and the pixel inspector) and colour PNG (for the map), plus a STAC item and a manifest.</w:t>
      </w:r>
    </w:p>
    <w:p>
      <w:pPr>
        <w:pStyle w:val="ListParagraph"/>
        <w:numPr>
          <w:ilvl w:val="0"/>
          <w:numId w:val="4"/>
        </w:numPr>
        <w:spacing w:after="60"/>
      </w:pPr>
      <w:r>
        <w:rPr>
          <w:b/>
          <w:bCs/>
        </w:rPr>
        <w:t xml:space="preserve">Shadow verification:</w:t>
      </w:r>
      <w:r>
        <w:t xml:space="preserve"> a random sample of each job's pixels is also run through the classical method; the agreement is stored with the result, shown in the UI, exported as a metric and alerted on.</w:t>
      </w:r>
    </w:p>
    <w:p>
      <w:pPr>
        <w:pStyle w:val="ListParagraph"/>
        <w:numPr>
          <w:ilvl w:val="0"/>
          <w:numId w:val="4"/>
        </w:numPr>
        <w:spacing w:after="60"/>
      </w:pPr>
      <w:r>
        <w:t xml:space="preserve">Maps reach the browser only through 15-minute presigned URLs; the bucket is private.</w:t>
      </w:r>
    </w:p>
    <w:p>
      <w:pPr>
        <w:pStyle w:val="Heading1"/>
        <w:pageBreakBefore/>
      </w:pPr>
      <w:r>
        <w:t xml:space="preserve">14. Web application</w:t>
      </w:r>
    </w:p>
    <w:p>
      <w:pPr>
        <w:spacing w:after="120" w:line="276"/>
      </w:pPr>
      <w:r>
        <w:t xml:space="preserve">React 19 + Vite single-page app with Leaflet maps and geotiff.js. The user signs in, draws or types a box inside the service region, chooses tasks and dates and follows the job live. Results open in task tabs with legends, histograms, a mineral highlighter and a pixel inspector that reads exact values from the COGs. Colour palettes follow a validated, colour-blind-safe scheme (single-hue ramps for magnitude, blue–gray–red for polarity).</w:t>
      </w:r>
    </w:p>
    <w:p>
      <w:pPr>
        <w:keepNext/>
        <w:spacing w:before="120" w:after="40"/>
        <w:jc w:val="center"/>
      </w:pPr>
      <w:r>
        <w:drawing>
          <wp:inline distT="0" distB="0" distL="0" distR="0">
            <wp:extent cx="5486400" cy="3276600"/>
            <wp:effectExtent t="0" r="0" b="0" l="0"/>
            <wp:docPr id="1" name="ui_login.png" descr="Sign-in page." title="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276600"/>
                    </a:xfrm>
                    <a:prstGeom prst="rect">
                      <a:avLst/>
                    </a:prstGeom>
                  </pic:spPr>
                </pic:pic>
              </a:graphicData>
            </a:graphic>
          </wp:inline>
        </w:drawing>
      </w:r>
    </w:p>
    <w:p>
      <w:pPr>
        <w:spacing w:after="200"/>
        <w:jc w:val="center"/>
      </w:pPr>
      <w:r>
        <w:rPr>
          <w:b/>
          <w:bCs/>
          <w:color w:val="52514E"/>
          <w:sz w:val="18"/>
          <w:szCs w:val="18"/>
        </w:rPr>
        <w:t xml:space="preserve">Figure 20. </w:t>
      </w:r>
      <w:r>
        <w:rPr>
          <w:color w:val="52514E"/>
          <w:sz w:val="18"/>
          <w:szCs w:val="18"/>
        </w:rPr>
        <w:t xml:space="preserve">Sign-in page.</w:t>
      </w:r>
    </w:p>
    <w:p>
      <w:pPr>
        <w:keepNext/>
        <w:spacing w:before="120" w:after="40"/>
        <w:jc w:val="center"/>
      </w:pPr>
      <w:r>
        <w:drawing>
          <wp:inline distT="0" distB="0" distL="0" distR="0">
            <wp:extent cx="5486400" cy="3276600"/>
            <wp:effectExtent t="0" r="0" b="0" l="0"/>
            <wp:docPr id="1" name="ui_workspace.png" descr="Workspace: choose an area, tasks and dates." title="Workspace: choose an area, tasks and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276600"/>
                    </a:xfrm>
                    <a:prstGeom prst="rect">
                      <a:avLst/>
                    </a:prstGeom>
                  </pic:spPr>
                </pic:pic>
              </a:graphicData>
            </a:graphic>
          </wp:inline>
        </w:drawing>
      </w:r>
    </w:p>
    <w:p>
      <w:pPr>
        <w:spacing w:after="200"/>
        <w:jc w:val="center"/>
      </w:pPr>
      <w:r>
        <w:rPr>
          <w:b/>
          <w:bCs/>
          <w:color w:val="52514E"/>
          <w:sz w:val="18"/>
          <w:szCs w:val="18"/>
        </w:rPr>
        <w:t xml:space="preserve">Figure 21. </w:t>
      </w:r>
      <w:r>
        <w:rPr>
          <w:color w:val="52514E"/>
          <w:sz w:val="18"/>
          <w:szCs w:val="18"/>
        </w:rPr>
        <w:t xml:space="preserve">Workspace: choose an area, tasks and dates.</w:t>
      </w:r>
    </w:p>
    <w:p>
      <w:pPr>
        <w:keepNext/>
        <w:spacing w:before="120" w:after="40"/>
        <w:jc w:val="center"/>
      </w:pPr>
      <w:r>
        <w:drawing>
          <wp:inline distT="0" distB="0" distL="0" distR="0">
            <wp:extent cx="5486400" cy="3276600"/>
            <wp:effectExtent t="0" r="0" b="0" l="0"/>
            <wp:docPr id="1" name="ui_agriculture.png" descr="Real job: agriculture maps." title="Real job: agriculture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3276600"/>
                    </a:xfrm>
                    <a:prstGeom prst="rect">
                      <a:avLst/>
                    </a:prstGeom>
                  </pic:spPr>
                </pic:pic>
              </a:graphicData>
            </a:graphic>
          </wp:inline>
        </w:drawing>
      </w:r>
    </w:p>
    <w:p>
      <w:pPr>
        <w:spacing w:after="200"/>
        <w:jc w:val="center"/>
      </w:pPr>
      <w:r>
        <w:rPr>
          <w:b/>
          <w:bCs/>
          <w:color w:val="52514E"/>
          <w:sz w:val="18"/>
          <w:szCs w:val="18"/>
        </w:rPr>
        <w:t xml:space="preserve">Figure 22. </w:t>
      </w:r>
      <w:r>
        <w:rPr>
          <w:color w:val="52514E"/>
          <w:sz w:val="18"/>
          <w:szCs w:val="18"/>
        </w:rPr>
        <w:t xml:space="preserve">Real job: agriculture maps.</w:t>
      </w:r>
    </w:p>
    <w:p>
      <w:pPr>
        <w:keepNext/>
        <w:spacing w:before="120" w:after="40"/>
        <w:jc w:val="center"/>
      </w:pPr>
      <w:r>
        <w:drawing>
          <wp:inline distT="0" distB="0" distL="0" distR="0">
            <wp:extent cx="5486400" cy="3276600"/>
            <wp:effectExtent t="0" r="0" b="0" l="0"/>
            <wp:docPr id="1" name="ui_minerals.png" descr="Real job: mineral maps." title="Real job: mineral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3276600"/>
                    </a:xfrm>
                    <a:prstGeom prst="rect">
                      <a:avLst/>
                    </a:prstGeom>
                  </pic:spPr>
                </pic:pic>
              </a:graphicData>
            </a:graphic>
          </wp:inline>
        </w:drawing>
      </w:r>
    </w:p>
    <w:p>
      <w:pPr>
        <w:spacing w:after="200"/>
        <w:jc w:val="center"/>
      </w:pPr>
      <w:r>
        <w:rPr>
          <w:b/>
          <w:bCs/>
          <w:color w:val="52514E"/>
          <w:sz w:val="18"/>
          <w:szCs w:val="18"/>
        </w:rPr>
        <w:t xml:space="preserve">Figure 23. </w:t>
      </w:r>
      <w:r>
        <w:rPr>
          <w:color w:val="52514E"/>
          <w:sz w:val="18"/>
          <w:szCs w:val="18"/>
        </w:rPr>
        <w:t xml:space="preserve">Real job: mineral maps.</w:t>
      </w:r>
    </w:p>
    <w:p>
      <w:pPr>
        <w:keepNext/>
        <w:spacing w:before="120" w:after="40"/>
        <w:jc w:val="center"/>
      </w:pPr>
      <w:r>
        <w:drawing>
          <wp:inline distT="0" distB="0" distL="0" distR="0">
            <wp:extent cx="5486400" cy="3276600"/>
            <wp:effectExtent t="0" r="0" b="0" l="0"/>
            <wp:docPr id="1" name="ui_thermal.png" descr="Real job: thermal maps." title="Real job: thermal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3276600"/>
                    </a:xfrm>
                    <a:prstGeom prst="rect">
                      <a:avLst/>
                    </a:prstGeom>
                  </pic:spPr>
                </pic:pic>
              </a:graphicData>
            </a:graphic>
          </wp:inline>
        </w:drawing>
      </w:r>
    </w:p>
    <w:p>
      <w:pPr>
        <w:spacing w:after="200"/>
        <w:jc w:val="center"/>
      </w:pPr>
      <w:r>
        <w:rPr>
          <w:b/>
          <w:bCs/>
          <w:color w:val="52514E"/>
          <w:sz w:val="18"/>
          <w:szCs w:val="18"/>
        </w:rPr>
        <w:t xml:space="preserve">Figure 24. </w:t>
      </w:r>
      <w:r>
        <w:rPr>
          <w:color w:val="52514E"/>
          <w:sz w:val="18"/>
          <w:szCs w:val="18"/>
        </w:rPr>
        <w:t xml:space="preserve">Real job: thermal maps.</w:t>
      </w:r>
    </w:p>
    <w:p>
      <w:pPr>
        <w:keepNext/>
        <w:spacing w:before="120" w:after="40"/>
        <w:jc w:val="center"/>
      </w:pPr>
      <w:r>
        <w:drawing>
          <wp:inline distT="0" distB="0" distL="0" distR="0">
            <wp:extent cx="5486400" cy="3276600"/>
            <wp:effectExtent t="0" r="0" b="0" l="0"/>
            <wp:docPr id="1" name="ui_inspector.png" descr="Pixel inspector: every value at a clicked point." title="Pixel inspector: every value at a clicked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3276600"/>
                    </a:xfrm>
                    <a:prstGeom prst="rect">
                      <a:avLst/>
                    </a:prstGeom>
                  </pic:spPr>
                </pic:pic>
              </a:graphicData>
            </a:graphic>
          </wp:inline>
        </w:drawing>
      </w:r>
    </w:p>
    <w:p>
      <w:pPr>
        <w:spacing w:after="200"/>
        <w:jc w:val="center"/>
      </w:pPr>
      <w:r>
        <w:rPr>
          <w:b/>
          <w:bCs/>
          <w:color w:val="52514E"/>
          <w:sz w:val="18"/>
          <w:szCs w:val="18"/>
        </w:rPr>
        <w:t xml:space="preserve">Figure 25. </w:t>
      </w:r>
      <w:r>
        <w:rPr>
          <w:color w:val="52514E"/>
          <w:sz w:val="18"/>
          <w:szCs w:val="18"/>
        </w:rPr>
        <w:t xml:space="preserve">Pixel inspector: every value at a clicked point.</w:t>
      </w:r>
    </w:p>
    <w:p>
      <w:pPr>
        <w:keepNext/>
        <w:spacing w:before="120" w:after="40"/>
        <w:jc w:val="center"/>
      </w:pPr>
      <w:r>
        <w:drawing>
          <wp:inline distT="0" distB="0" distL="0" distR="0">
            <wp:extent cx="5486400" cy="3276600"/>
            <wp:effectExtent t="0" r="0" b="0" l="0"/>
            <wp:docPr id="1" name="ui_history.png" descr="Job history." title="Job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3276600"/>
                    </a:xfrm>
                    <a:prstGeom prst="rect">
                      <a:avLst/>
                    </a:prstGeom>
                  </pic:spPr>
                </pic:pic>
              </a:graphicData>
            </a:graphic>
          </wp:inline>
        </w:drawing>
      </w:r>
    </w:p>
    <w:p>
      <w:pPr>
        <w:spacing w:after="200"/>
        <w:jc w:val="center"/>
      </w:pPr>
      <w:r>
        <w:rPr>
          <w:b/>
          <w:bCs/>
          <w:color w:val="52514E"/>
          <w:sz w:val="18"/>
          <w:szCs w:val="18"/>
        </w:rPr>
        <w:t xml:space="preserve">Figure 26. </w:t>
      </w:r>
      <w:r>
        <w:rPr>
          <w:color w:val="52514E"/>
          <w:sz w:val="18"/>
          <w:szCs w:val="18"/>
        </w:rPr>
        <w:t xml:space="preserve">Job history.</w:t>
      </w:r>
    </w:p>
    <w:p>
      <w:pPr>
        <w:keepNext/>
        <w:spacing w:before="120" w:after="40"/>
        <w:jc w:val="center"/>
      </w:pPr>
      <w:r>
        <w:drawing>
          <wp:inline distT="0" distB="0" distL="0" distR="0">
            <wp:extent cx="5486400" cy="3276600"/>
            <wp:effectExtent t="0" r="0" b="0" l="0"/>
            <wp:docPr id="1" name="ui_platform.png" descr="Platform page: the model, its gates and verification." title="Platform page: the model, its gates and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3276600"/>
                    </a:xfrm>
                    <a:prstGeom prst="rect">
                      <a:avLst/>
                    </a:prstGeom>
                  </pic:spPr>
                </pic:pic>
              </a:graphicData>
            </a:graphic>
          </wp:inline>
        </w:drawing>
      </w:r>
    </w:p>
    <w:p>
      <w:pPr>
        <w:spacing w:after="200"/>
        <w:jc w:val="center"/>
      </w:pPr>
      <w:r>
        <w:rPr>
          <w:b/>
          <w:bCs/>
          <w:color w:val="52514E"/>
          <w:sz w:val="18"/>
          <w:szCs w:val="18"/>
        </w:rPr>
        <w:t xml:space="preserve">Figure 27. </w:t>
      </w:r>
      <w:r>
        <w:rPr>
          <w:color w:val="52514E"/>
          <w:sz w:val="18"/>
          <w:szCs w:val="18"/>
        </w:rPr>
        <w:t xml:space="preserve">Platform page: the model, its gates and verification.</w:t>
      </w:r>
    </w:p>
    <w:p>
      <w:pPr>
        <w:pStyle w:val="Heading1"/>
        <w:pageBreakBefore/>
      </w:pPr>
      <w:r>
        <w:t xml:space="preserve">15. Security</w:t>
      </w:r>
    </w:p>
    <w:p>
      <w:pPr>
        <w:keepNext/>
        <w:spacing w:before="120" w:after="60"/>
      </w:pPr>
      <w:r>
        <w:rPr>
          <w:b/>
          <w:bCs/>
          <w:color w:val="52514E"/>
          <w:sz w:val="18"/>
          <w:szCs w:val="18"/>
        </w:rPr>
        <w:t xml:space="preserve">Table 24. </w:t>
      </w:r>
      <w:r>
        <w:rPr>
          <w:color w:val="52514E"/>
          <w:sz w:val="18"/>
          <w:szCs w:val="18"/>
        </w:rPr>
        <w:t xml:space="preserve">Threats and controls (all exercised by tests/security.py: 63 attacks, 0 succeed)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83"/>
        <w:gridCol w:w="6343"/>
      </w:tblGrid>
      <w:tr>
        <w:trPr>
          <w:tblHeader/>
        </w:trPr>
        <w:tc>
          <w:tcPr>
            <w:tcW w:type="dxa" w:w="2683"/>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Threat</w:t>
            </w:r>
          </w:p>
        </w:tc>
        <w:tc>
          <w:tcPr>
            <w:tcW w:type="dxa" w:w="6343"/>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Control</w:t>
            </w:r>
          </w:p>
        </w:tc>
      </w:tr>
      <w:tr>
        <w:tc>
          <w:tcPr>
            <w:tcW w:type="dxa" w:w="268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Password guessing</w:t>
            </w:r>
          </w:p>
        </w:tc>
        <w:tc>
          <w:tcPr>
            <w:tcW w:type="dxa" w:w="634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per-IP limit (20/min) and per-account lockout (10 failures → 15 min); bcrypt cost 11; ≥ 10-character passwords, common-password list</w:t>
            </w:r>
          </w:p>
        </w:tc>
      </w:tr>
      <w:tr>
        <w:tc>
          <w:tcPr>
            <w:tcW w:type="dxa" w:w="268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Fake client IP to dodge limits</w:t>
            </w:r>
          </w:p>
        </w:tc>
        <w:tc>
          <w:tcPr>
            <w:tcW w:type="dxa" w:w="634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nginx overwrites X-Real-IP with the TCP peer (CloudFront-Viewer-Address behind CloudFront only); X-Forwarded-For never trusted</w:t>
            </w:r>
          </w:p>
        </w:tc>
      </w:tr>
      <w:tr>
        <w:tc>
          <w:tcPr>
            <w:tcW w:type="dxa" w:w="268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Forged / tampered JWTs</w:t>
            </w:r>
          </w:p>
        </w:tc>
        <w:tc>
          <w:tcPr>
            <w:tcW w:type="dxa" w:w="634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HS256 only; key ring with kid; issuer, audience, expiry checked; alg:none and algorithm confusion refused</w:t>
            </w:r>
          </w:p>
        </w:tc>
      </w:tr>
      <w:tr>
        <w:tc>
          <w:tcPr>
            <w:tcW w:type="dxa" w:w="268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Stolen access token</w:t>
            </w:r>
          </w:p>
        </w:tc>
        <w:tc>
          <w:tcPr>
            <w:tcW w:type="dxa" w:w="634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15-minute lifetime, kept in memory only, revoked on logout (denylisted jti)</w:t>
            </w:r>
          </w:p>
        </w:tc>
      </w:tr>
      <w:tr>
        <w:tc>
          <w:tcPr>
            <w:tcW w:type="dxa" w:w="268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Stolen refresh token</w:t>
            </w:r>
          </w:p>
        </w:tc>
        <w:tc>
          <w:tcPr>
            <w:tcW w:type="dxa" w:w="634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opaque 256-bit, only its hash stored; HttpOnly, Secure, SameSite=Strict cookie; rotated on every use; reuse revokes the whole family</w:t>
            </w:r>
          </w:p>
        </w:tc>
      </w:tr>
      <w:tr>
        <w:tc>
          <w:tcPr>
            <w:tcW w:type="dxa" w:w="268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CSRF</w:t>
            </w:r>
          </w:p>
        </w:tc>
        <w:tc>
          <w:tcPr>
            <w:tcW w:type="dxa" w:w="634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SameSite=Strict + required X-Requested-With header + Origin allow-list</w:t>
            </w:r>
          </w:p>
        </w:tc>
      </w:tr>
      <w:tr>
        <w:tc>
          <w:tcPr>
            <w:tcW w:type="dxa" w:w="268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Tokens in URLs</w:t>
            </w:r>
          </w:p>
        </w:tc>
        <w:tc>
          <w:tcPr>
            <w:tcW w:type="dxa" w:w="634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never accepted; the live stream uses single-use 30-second tickets</w:t>
            </w:r>
          </w:p>
        </w:tc>
      </w:tr>
      <w:tr>
        <w:tc>
          <w:tcPr>
            <w:tcW w:type="dxa" w:w="268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Reading others' data</w:t>
            </w:r>
          </w:p>
        </w:tc>
        <w:tc>
          <w:tcPr>
            <w:tcW w:type="dxa" w:w="634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ownership check on every job route, 404 for others; admin-only statistics</w:t>
            </w:r>
          </w:p>
        </w:tc>
      </w:tr>
      <w:tr>
        <w:tc>
          <w:tcPr>
            <w:tcW w:type="dxa" w:w="268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Injection / XSS / clickjacking</w:t>
            </w:r>
          </w:p>
        </w:tc>
        <w:tc>
          <w:tcPr>
            <w:tcW w:type="dxa" w:w="634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parameterised SQL; strict validation; strict CSP, X-Frame-Options DENY, nosniff, HSTS</w:t>
            </w:r>
          </w:p>
        </w:tc>
      </w:tr>
      <w:tr>
        <w:tc>
          <w:tcPr>
            <w:tcW w:type="dxa" w:w="268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Abuse</w:t>
            </w:r>
          </w:p>
        </w:tc>
        <w:tc>
          <w:tcPr>
            <w:tcW w:type="dxa" w:w="634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64 KB body cap, per-user API limit, admission control</w:t>
            </w:r>
          </w:p>
        </w:tc>
      </w:tr>
      <w:tr>
        <w:tc>
          <w:tcPr>
            <w:tcW w:type="dxa" w:w="268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Compromised container</w:t>
            </w:r>
          </w:p>
        </w:tc>
        <w:tc>
          <w:tcPr>
            <w:tcW w:type="dxa" w:w="634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non-root, no-new-privileges, all capabilities dropped, read-only root for Go services, internal services not published</w:t>
            </w:r>
          </w:p>
        </w:tc>
      </w:tr>
      <w:tr>
        <w:tc>
          <w:tcPr>
            <w:tcW w:type="dxa" w:w="268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Vulnerable dependencies, leaked secrets</w:t>
            </w:r>
          </w:p>
        </w:tc>
        <w:tc>
          <w:tcPr>
            <w:tcW w:type="dxa" w:w="634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CI: govulncheck, pip-audit, npm audit, Trivy, gitleaks; secrets in .env (local) and SSM (AWS)</w:t>
            </w:r>
          </w:p>
        </w:tc>
      </w:tr>
    </w:tbl>
    <w:p>
      <w:pPr>
        <w:spacing w:after="120"/>
      </w:pPr>
    </w:p>
    <w:p>
      <w:pPr>
        <w:pStyle w:val="Heading1"/>
        <w:pageBreakBefore/>
      </w:pPr>
      <w:r>
        <w:t xml:space="preserve">16. Scalability and load tests</w:t>
      </w:r>
    </w:p>
    <w:p>
      <w:pPr>
        <w:keepNext/>
        <w:spacing w:before="120" w:after="60"/>
      </w:pPr>
      <w:r>
        <w:rPr>
          <w:b/>
          <w:bCs/>
          <w:color w:val="52514E"/>
          <w:sz w:val="18"/>
          <w:szCs w:val="18"/>
        </w:rPr>
        <w:t xml:space="preserve">Table 25. </w:t>
      </w:r>
      <w:r>
        <w:rPr>
          <w:color w:val="52514E"/>
          <w:sz w:val="18"/>
          <w:szCs w:val="18"/>
        </w:rPr>
        <w:t xml:space="preserve">Load tests (k6, one laptop, all services in Docker)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3"/>
        <w:gridCol w:w="5123"/>
      </w:tblGrid>
      <w:tr>
        <w:trPr>
          <w:tblHeader/>
        </w:trPr>
        <w:tc>
          <w:tcPr>
            <w:tcW w:type="dxa" w:w="3903"/>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Test</w:t>
            </w:r>
          </w:p>
        </w:tc>
        <w:tc>
          <w:tcPr>
            <w:tcW w:type="dxa" w:w="5123"/>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Result</w:t>
            </w:r>
          </w:p>
        </w:tc>
      </w:tr>
      <w:tr>
        <w:tc>
          <w:tcPr>
            <w:tcW w:type="dxa" w:w="390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300 concurrent users (sign in, submit, poll, view maps)</w:t>
            </w:r>
          </w:p>
        </w:tc>
        <w:tc>
          <w:tcPr>
            <w:tcW w:type="dxa" w:w="512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 failed of 55,225 requests; p95 API 5.4 ms, submit 8.6 ms, status 2.3 ms, layers 7.6 ms</w:t>
            </w:r>
          </w:p>
        </w:tc>
      </w:tr>
      <w:tr>
        <w:tc>
          <w:tcPr>
            <w:tcW w:type="dxa" w:w="390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60 users, every job a new area, 2 workers per stage</w:t>
            </w:r>
          </w:p>
        </w:tc>
        <w:tc>
          <w:tcPr>
            <w:tcW w:type="dxa" w:w="512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1.7 jobs/s, median 25 s</w:t>
            </w:r>
          </w:p>
        </w:tc>
      </w:tr>
      <w:tr>
        <w:tc>
          <w:tcPr>
            <w:tcW w:type="dxa" w:w="390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Same, 4 workers per stage</w:t>
            </w:r>
          </w:p>
        </w:tc>
        <w:tc>
          <w:tcPr>
            <w:tcW w:type="dxa" w:w="512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3.8 jobs/s, median 3 s (horizontal scaling)</w:t>
            </w:r>
          </w:p>
        </w:tc>
      </w:tr>
    </w:tbl>
    <w:p>
      <w:pPr>
        <w:spacing w:after="120"/>
      </w:pPr>
    </w:p>
    <w:p>
      <w:pPr>
        <w:pStyle w:val="ListParagraph"/>
        <w:numPr>
          <w:ilvl w:val="0"/>
          <w:numId w:val="4"/>
        </w:numPr>
        <w:spacing w:after="60"/>
      </w:pPr>
      <w:r>
        <w:t xml:space="preserve">Repeated areas are free: identical requests reuse finished maps or follow the in-flight job.</w:t>
      </w:r>
    </w:p>
    <w:p>
      <w:pPr>
        <w:pStyle w:val="ListParagraph"/>
        <w:numPr>
          <w:ilvl w:val="0"/>
          <w:numId w:val="4"/>
        </w:numPr>
        <w:spacing w:after="60"/>
      </w:pPr>
      <w:r>
        <w:t xml:space="preserve">Workers scale up to each topic's partition count; the gateway is stateless and scales behind nginx/CloudFront.</w:t>
      </w:r>
    </w:p>
    <w:p>
      <w:pPr>
        <w:pStyle w:val="ListParagraph"/>
        <w:numPr>
          <w:ilvl w:val="0"/>
          <w:numId w:val="4"/>
        </w:numPr>
        <w:spacing w:after="60"/>
      </w:pPr>
      <w:r>
        <w:t xml:space="preserve">EMIT granules are downloaded once and shared; Landsat reads only the box window.</w:t>
      </w:r>
    </w:p>
    <w:p>
      <w:pPr>
        <w:pStyle w:val="ListParagraph"/>
        <w:numPr>
          <w:ilvl w:val="0"/>
          <w:numId w:val="4"/>
        </w:numPr>
        <w:spacing w:after="60"/>
      </w:pPr>
      <w:r>
        <w:t xml:space="preserve">Admission control and rate limits protect the platform under overload instead of letting it degrade for everyone.</w:t>
      </w:r>
    </w:p>
    <w:p>
      <w:pPr>
        <w:pStyle w:val="Heading1"/>
        <w:pageBreakBefore/>
      </w:pPr>
      <w:r>
        <w:t xml:space="preserve">17. Deployment</w:t>
      </w:r>
    </w:p>
    <w:p>
      <w:pPr>
        <w:keepNext/>
        <w:spacing w:before="120" w:after="40"/>
        <w:jc w:val="center"/>
      </w:pPr>
      <w:r>
        <w:drawing>
          <wp:inline distT="0" distB="0" distL="0" distR="0">
            <wp:extent cx="5762625" cy="2181225"/>
            <wp:effectExtent t="0" r="0" b="0" l="0"/>
            <wp:docPr id="1" name="fig_aws.png" descr="AWS deployment (Terraform, credits-friendly)." title="AWS deployment (Terraform, credits-frien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2181225"/>
                    </a:xfrm>
                    <a:prstGeom prst="rect">
                      <a:avLst/>
                    </a:prstGeom>
                  </pic:spPr>
                </pic:pic>
              </a:graphicData>
            </a:graphic>
          </wp:inline>
        </w:drawing>
      </w:r>
    </w:p>
    <w:p>
      <w:pPr>
        <w:spacing w:after="200"/>
        <w:jc w:val="center"/>
      </w:pPr>
      <w:r>
        <w:rPr>
          <w:b/>
          <w:bCs/>
          <w:color w:val="52514E"/>
          <w:sz w:val="18"/>
          <w:szCs w:val="18"/>
        </w:rPr>
        <w:t xml:space="preserve">Figure 28. </w:t>
      </w:r>
      <w:r>
        <w:rPr>
          <w:color w:val="52514E"/>
          <w:sz w:val="18"/>
          <w:szCs w:val="18"/>
        </w:rPr>
        <w:t xml:space="preserve">AWS deployment (Terraform, credits-friendly).</w:t>
      </w:r>
    </w:p>
    <w:p>
      <w:pPr>
        <w:keepNext/>
        <w:spacing w:before="120" w:after="60"/>
      </w:pPr>
      <w:r>
        <w:rPr>
          <w:b/>
          <w:bCs/>
          <w:color w:val="52514E"/>
          <w:sz w:val="18"/>
          <w:szCs w:val="18"/>
        </w:rPr>
        <w:t xml:space="preserve">Table 26. </w:t>
      </w:r>
      <w:r>
        <w:rPr>
          <w:color w:val="52514E"/>
          <w:sz w:val="18"/>
          <w:szCs w:val="18"/>
        </w:rPr>
        <w:t xml:space="preserve">AWS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2"/>
        <w:gridCol w:w="7074"/>
      </w:tblGrid>
      <w:tr>
        <w:trPr>
          <w:tblHeader/>
        </w:trPr>
        <w:tc>
          <w:tcPr>
            <w:tcW w:type="dxa" w:w="1952"/>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Piece</w:t>
            </w:r>
          </w:p>
        </w:tc>
        <w:tc>
          <w:tcPr>
            <w:tcW w:type="dxa" w:w="7074"/>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Detail</w:t>
            </w:r>
          </w:p>
        </w:tc>
      </w:tr>
      <w:tr>
        <w:tc>
          <w:tcPr>
            <w:tcW w:type="dxa" w:w="195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Region</w:t>
            </w:r>
          </w:p>
        </w:tc>
        <w:tc>
          <w:tcPr>
            <w:tcW w:type="dxa" w:w="707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us-west-2 (Oregon): NASA Earthdata Cloud and the Landsat bucket are there, so downloads are fast and free of cross-region transfer</w:t>
            </w:r>
          </w:p>
        </w:tc>
      </w:tr>
      <w:tr>
        <w:tc>
          <w:tcPr>
            <w:tcW w:type="dxa" w:w="195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Compute</w:t>
            </w:r>
          </w:p>
        </w:tc>
        <w:tc>
          <w:tcPr>
            <w:tcW w:type="dxa" w:w="707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one EC2 t4g.large (2 vCPU, 8 GB, arm64) running the same compose stack; multi-arch images in ECR</w:t>
            </w:r>
          </w:p>
        </w:tc>
      </w:tr>
      <w:tr>
        <w:tc>
          <w:tcPr>
            <w:tcW w:type="dxa" w:w="195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Storage</w:t>
            </w:r>
          </w:p>
        </w:tc>
        <w:tc>
          <w:tcPr>
            <w:tcW w:type="dxa" w:w="707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S3 data lake, public access blocked, server-side encryption, lifecycle rules</w:t>
            </w:r>
          </w:p>
        </w:tc>
      </w:tr>
      <w:tr>
        <w:tc>
          <w:tcPr>
            <w:tcW w:type="dxa" w:w="195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Edge</w:t>
            </w:r>
          </w:p>
        </w:tc>
        <w:tc>
          <w:tcPr>
            <w:tcW w:type="dxa" w:w="707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CloudFront (HTTPS); the instance accepts traffic from CloudFront only</w:t>
            </w:r>
          </w:p>
        </w:tc>
      </w:tr>
      <w:tr>
        <w:tc>
          <w:tcPr>
            <w:tcW w:type="dxa" w:w="195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Secrets</w:t>
            </w:r>
          </w:p>
        </w:tc>
        <w:tc>
          <w:tcPr>
            <w:tcW w:type="dxa" w:w="707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SSM Parameter Store</w:t>
            </w:r>
          </w:p>
        </w:tc>
      </w:tr>
      <w:tr>
        <w:tc>
          <w:tcPr>
            <w:tcW w:type="dxa" w:w="195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Analytics</w:t>
            </w:r>
          </w:p>
        </w:tc>
        <w:tc>
          <w:tcPr>
            <w:tcW w:type="dxa" w:w="707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Glue catalog + Athena over Gold Parquet</w:t>
            </w:r>
          </w:p>
        </w:tc>
      </w:tr>
      <w:tr>
        <w:tc>
          <w:tcPr>
            <w:tcW w:type="dxa" w:w="195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Cost control</w:t>
            </w:r>
          </w:p>
        </w:tc>
        <w:tc>
          <w:tcPr>
            <w:tcW w:type="dxa" w:w="707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budget alerts at 25/50/80/100 %, scheduled night-time stop/start</w:t>
            </w:r>
          </w:p>
        </w:tc>
      </w:tr>
      <w:tr>
        <w:tc>
          <w:tcPr>
            <w:tcW w:type="dxa" w:w="195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CI/CD</w:t>
            </w:r>
          </w:p>
        </w:tc>
        <w:tc>
          <w:tcPr>
            <w:tcW w:type="dxa" w:w="707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GitHub Actions: ci (lint, tests, security scans, full-stack e2e), release (multi-arch images), deploy (via SSM with GitHub OIDC, no stored AWS keys), train</w:t>
            </w:r>
          </w:p>
        </w:tc>
      </w:tr>
      <w:tr>
        <w:tc>
          <w:tcPr>
            <w:tcW w:type="dxa" w:w="1952"/>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Moving off AWS</w:t>
            </w:r>
          </w:p>
        </w:tc>
        <w:tc>
          <w:tcPr>
            <w:tcW w:type="dxa" w:w="7074"/>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any S3-compatible store (MinIO, Cloudflare R2, Backblaze B2, Wasabi): change the endpoint and keys only</w:t>
            </w:r>
          </w:p>
        </w:tc>
      </w:tr>
    </w:tbl>
    <w:p>
      <w:pPr>
        <w:spacing w:after="120"/>
      </w:pPr>
    </w:p>
    <w:p>
      <w:pPr>
        <w:spacing w:after="120" w:line="276"/>
      </w:pPr>
      <w:r>
        <w:t xml:space="preserve">Latency estimate for users in India (not yet measured): page from the CloudFront edge 50–150 ms; API calls to Oregon 250–400 ms; a whole job 1–3 s for an area already mapped, 10–30 s for a new Landsat area and 1–3 minutes for a new EMIT area (mostly the download). A free Hugging Face Space can host a demo of the model but not the whole platform.</w:t>
      </w:r>
    </w:p>
    <w:p>
      <w:pPr>
        <w:pStyle w:val="Heading1"/>
        <w:pageBreakBefore/>
      </w:pPr>
      <w:r>
        <w:t xml:space="preserve">18. Testing and quality</w:t>
      </w:r>
    </w:p>
    <w:p>
      <w:pPr>
        <w:keepNext/>
        <w:spacing w:before="120" w:after="60"/>
      </w:pPr>
      <w:r>
        <w:rPr>
          <w:b/>
          <w:bCs/>
          <w:color w:val="52514E"/>
          <w:sz w:val="18"/>
          <w:szCs w:val="18"/>
        </w:rPr>
        <w:t xml:space="preserve">Table 27. </w:t>
      </w:r>
      <w:r>
        <w:rPr>
          <w:color w:val="52514E"/>
          <w:sz w:val="18"/>
          <w:szCs w:val="18"/>
        </w:rPr>
        <w:t xml:space="preserve">Test suites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50"/>
        <w:gridCol w:w="4513"/>
        <w:gridCol w:w="1663"/>
      </w:tblGrid>
      <w:tr>
        <w:trPr>
          <w:tblHeader/>
        </w:trPr>
        <w:tc>
          <w:tcPr>
            <w:tcW w:type="dxa" w:w="2850"/>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Suite</w:t>
            </w:r>
          </w:p>
        </w:tc>
        <w:tc>
          <w:tcPr>
            <w:tcW w:type="dxa" w:w="4513"/>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What it proves</w:t>
            </w:r>
          </w:p>
        </w:tc>
        <w:tc>
          <w:tcPr>
            <w:tcW w:type="dxa" w:w="1663"/>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Result</w:t>
            </w:r>
          </w:p>
        </w:tc>
      </w:tr>
      <w:tr>
        <w:tc>
          <w:tcPr>
            <w:tcW w:type="dxa" w:w="285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libs/hydra, libs/hs_common (pytest)</w:t>
            </w:r>
          </w:p>
        </w:tc>
        <w:tc>
          <w:tcPr>
            <w:tcW w:type="dxa" w:w="451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classical methods identical to the owners' reference code; features; ONNX runtime; EMIT orthorectification; both EMIT MASK layouts</w:t>
            </w:r>
          </w:p>
        </w:tc>
        <w:tc>
          <w:tcPr>
            <w:tcW w:type="dxa" w:w="166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17 passed</w:t>
            </w:r>
          </w:p>
        </w:tc>
      </w:tr>
      <w:tr>
        <w:tc>
          <w:tcPr>
            <w:tcW w:type="dxa" w:w="285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preprocessing/tests</w:t>
            </w:r>
          </w:p>
        </w:tc>
        <w:tc>
          <w:tcPr>
            <w:tcW w:type="dxa" w:w="451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 Dask pipeline, Landsat calibration, contracts</w:t>
            </w:r>
          </w:p>
        </w:tc>
        <w:tc>
          <w:tcPr>
            <w:tcW w:type="dxa" w:w="166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57 passed</w:t>
            </w:r>
          </w:p>
        </w:tc>
      </w:tr>
      <w:tr>
        <w:tc>
          <w:tcPr>
            <w:tcW w:type="dxa" w:w="285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Go tests + go vet</w:t>
            </w:r>
          </w:p>
        </w:tc>
        <w:tc>
          <w:tcPr>
            <w:tcW w:type="dxa" w:w="451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Go structs match the message schemas</w:t>
            </w:r>
          </w:p>
        </w:tc>
        <w:tc>
          <w:tcPr>
            <w:tcW w:type="dxa" w:w="166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pass</w:t>
            </w:r>
          </w:p>
        </w:tc>
      </w:tr>
      <w:tr>
        <w:tc>
          <w:tcPr>
            <w:tcW w:type="dxa" w:w="285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frontend (vitest, oxlint)</w:t>
            </w:r>
          </w:p>
        </w:tc>
        <w:tc>
          <w:tcPr>
            <w:tcW w:type="dxa" w:w="451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formatting, layer helpers</w:t>
            </w:r>
          </w:p>
        </w:tc>
        <w:tc>
          <w:tcPr>
            <w:tcW w:type="dxa" w:w="166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5 passed</w:t>
            </w:r>
          </w:p>
        </w:tc>
      </w:tr>
      <w:tr>
        <w:tc>
          <w:tcPr>
            <w:tcW w:type="dxa" w:w="285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training gates + verify_maps</w:t>
            </w:r>
          </w:p>
        </w:tc>
        <w:tc>
          <w:tcPr>
            <w:tcW w:type="dxa" w:w="451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 model reproduces the classical maps</w:t>
            </w:r>
          </w:p>
        </w:tc>
        <w:tc>
          <w:tcPr>
            <w:tcW w:type="dxa" w:w="166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10/10 map checks; 10/11 gates</w:t>
            </w:r>
          </w:p>
        </w:tc>
      </w:tr>
      <w:tr>
        <w:tc>
          <w:tcPr>
            <w:tcW w:type="dxa" w:w="285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tests/e2e.py</w:t>
            </w:r>
          </w:p>
        </w:tc>
        <w:tc>
          <w:tcPr>
            <w:tcW w:type="dxa" w:w="451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full stack: auth, quotas, idempotency, reuse, IDOR, three maps per job, cancel</w:t>
            </w:r>
          </w:p>
        </w:tc>
        <w:tc>
          <w:tcPr>
            <w:tcW w:type="dxa" w:w="166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 failures</w:t>
            </w:r>
          </w:p>
        </w:tc>
      </w:tr>
      <w:tr>
        <w:tc>
          <w:tcPr>
            <w:tcW w:type="dxa" w:w="285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tests/ui_smoke.py (Playwright, CSP on)</w:t>
            </w:r>
          </w:p>
        </w:tc>
        <w:tc>
          <w:tcPr>
            <w:tcW w:type="dxa" w:w="451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the real UI: sign-up, job, live timeline, overlays, legends, charts, inspector, history, platform</w:t>
            </w:r>
          </w:p>
        </w:tc>
        <w:tc>
          <w:tcPr>
            <w:tcW w:type="dxa" w:w="166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16/16, no console errors</w:t>
            </w:r>
          </w:p>
        </w:tc>
      </w:tr>
      <w:tr>
        <w:tc>
          <w:tcPr>
            <w:tcW w:type="dxa" w:w="285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tests/security.py</w:t>
            </w:r>
          </w:p>
        </w:tc>
        <w:tc>
          <w:tcPr>
            <w:tcW w:type="dxa" w:w="451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63 attacks</w:t>
            </w:r>
          </w:p>
        </w:tc>
        <w:tc>
          <w:tcPr>
            <w:tcW w:type="dxa" w:w="166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 succeed</w:t>
            </w:r>
          </w:p>
        </w:tc>
      </w:tr>
      <w:tr>
        <w:tc>
          <w:tcPr>
            <w:tcW w:type="dxa" w:w="2850"/>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tests/load/k6.js</w:t>
            </w:r>
          </w:p>
        </w:tc>
        <w:tc>
          <w:tcPr>
            <w:tcW w:type="dxa" w:w="451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300 concurrent users</w:t>
            </w:r>
          </w:p>
        </w:tc>
        <w:tc>
          <w:tcPr>
            <w:tcW w:type="dxa" w:w="1663"/>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0 failures</w:t>
            </w:r>
          </w:p>
        </w:tc>
      </w:tr>
    </w:tbl>
    <w:p>
      <w:pPr>
        <w:spacing w:after="120"/>
      </w:pPr>
    </w:p>
    <w:p>
      <w:pPr>
        <w:pStyle w:val="Heading1"/>
        <w:pageBreakBefore/>
      </w:pPr>
      <w:r>
        <w:t xml:space="preserve">19. Limitations, novelty and future work</w:t>
      </w:r>
    </w:p>
    <w:p>
      <w:pPr>
        <w:pStyle w:val="Heading2"/>
      </w:pPr>
      <w:r>
        <w:t xml:space="preserve">19.1 Known limitations</w:t>
      </w:r>
    </w:p>
    <w:p>
      <w:pPr>
        <w:pStyle w:val="ListParagraph"/>
        <w:numPr>
          <w:ilvl w:val="0"/>
          <w:numId w:val="4"/>
        </w:numPr>
        <w:spacing w:after="60"/>
      </w:pPr>
      <w:r>
        <w:t xml:space="preserve">Mineral abundances on real EMIT differ from SMA by MAE 0.068–0.078 (gate 0.06): the network sees continuum-removed features, SMA sees raw reflectance. Class maps are unaffected (99.75–99.85 %).</w:t>
      </w:r>
    </w:p>
    <w:p>
      <w:pPr>
        <w:pStyle w:val="ListParagraph"/>
        <w:numPr>
          <w:ilvl w:val="0"/>
          <w:numId w:val="4"/>
        </w:numPr>
        <w:spacing w:after="60"/>
      </w:pPr>
      <w:r>
        <w:t xml:space="preserve">Mineral fit quality does not transfer to real EMIT (MAE 0.186 on the Fresno job); retrain with real-scene residuals before relying on it.</w:t>
      </w:r>
    </w:p>
    <w:p>
      <w:pPr>
        <w:pStyle w:val="ListParagraph"/>
        <w:numPr>
          <w:ilvl w:val="0"/>
          <w:numId w:val="4"/>
        </w:numPr>
        <w:spacing w:after="60"/>
      </w:pPr>
      <w:r>
        <w:t xml:space="preserve">Real-imagery validation so far: one real EMIT box (Fresno, 8,742 pixels), 2,000 real EMIT spectra and six real Landsat scenes; more regions and seasons are needed.</w:t>
      </w:r>
    </w:p>
    <w:p>
      <w:pPr>
        <w:pStyle w:val="ListParagraph"/>
        <w:numPr>
          <w:ilvl w:val="0"/>
          <w:numId w:val="4"/>
        </w:numPr>
        <w:spacing w:after="60"/>
      </w:pPr>
      <w:r>
        <w:t xml:space="preserve">The network reproduces its teachers; it does not measure anything the classical methods cannot.</w:t>
      </w:r>
    </w:p>
    <w:p>
      <w:pPr>
        <w:pStyle w:val="ListParagraph"/>
        <w:numPr>
          <w:ilvl w:val="0"/>
          <w:numId w:val="4"/>
        </w:numPr>
        <w:spacing w:after="60"/>
      </w:pPr>
      <w:r>
        <w:t xml:space="preserve">Thermal labels come from rules (the dataset has no labels).</w:t>
      </w:r>
    </w:p>
    <w:p>
      <w:pPr>
        <w:pStyle w:val="ListParagraph"/>
        <w:numPr>
          <w:ilvl w:val="0"/>
          <w:numId w:val="4"/>
        </w:numPr>
        <w:spacing w:after="60"/>
      </w:pPr>
      <w:r>
        <w:t xml:space="preserve">Synthetic test scenes are used for CI and load tests only; the UI uses real imagery only.</w:t>
      </w:r>
    </w:p>
    <w:p>
      <w:pPr>
        <w:pStyle w:val="Heading2"/>
      </w:pPr>
      <w:r>
        <w:t xml:space="preserve">19.2 Novelty</w:t>
      </w:r>
    </w:p>
    <w:p>
      <w:pPr>
        <w:spacing w:after="120" w:line="276"/>
      </w:pPr>
      <w:r>
        <w:t xml:space="preserve">Neural emulation of PROSAIL inversion is established (for example ESA SNAP's biophysical processor for Sentinel-2), and distillation is a standard technique. What this project contributes is the combination: </w:t>
      </w:r>
      <w:r>
        <w:rPr>
          <w:b/>
          <w:bCs/>
        </w:rPr>
        <w:t xml:space="preserve">one multi-task network covering minerals, crops and thermal across two sensors</w:t>
      </w:r>
      <w:r>
        <w:t xml:space="preserve">, a neural reproduction of SAM + SMA with explicit near-tie handling, and a production design where the classical methods remain as the continuous verifier (spec-hash lock, release gates, shadow checks).</w:t>
      </w:r>
    </w:p>
    <w:p>
      <w:pPr>
        <w:pStyle w:val="Heading2"/>
      </w:pPr>
      <w:r>
        <w:t xml:space="preserve">19.3 Next steps</w:t>
      </w:r>
    </w:p>
    <w:p>
      <w:pPr>
        <w:pStyle w:val="ListParagraph"/>
        <w:numPr>
          <w:ilvl w:val="0"/>
          <w:numId w:val="4"/>
        </w:numPr>
        <w:spacing w:after="60"/>
      </w:pPr>
      <w:r>
        <w:t xml:space="preserve">Ablation: three separate small MLPs vs the shared network (accuracy, size, speed).</w:t>
      </w:r>
    </w:p>
    <w:p>
      <w:pPr>
        <w:pStyle w:val="ListParagraph"/>
        <w:numPr>
          <w:ilvl w:val="0"/>
          <w:numId w:val="4"/>
        </w:numPr>
        <w:spacing w:after="60"/>
      </w:pPr>
      <w:r>
        <w:t xml:space="preserve">Add reflectance-level inputs to close the real-EMIT abundance gap; validate on more real scenes.</w:t>
      </w:r>
    </w:p>
    <w:p>
      <w:pPr>
        <w:pStyle w:val="ListParagraph"/>
        <w:numPr>
          <w:ilvl w:val="0"/>
          <w:numId w:val="4"/>
        </w:numPr>
        <w:spacing w:after="60"/>
      </w:pPr>
      <w:r>
        <w:t xml:space="preserve">Fine-tune on ground truth (NASA FIRMS fire detections for thermal, field data for crops) to exceed the teacher.</w:t>
      </w:r>
    </w:p>
    <w:p>
      <w:pPr>
        <w:pStyle w:val="ListParagraph"/>
        <w:numPr>
          <w:ilvl w:val="0"/>
          <w:numId w:val="4"/>
        </w:numPr>
        <w:spacing w:after="60"/>
      </w:pPr>
      <w:r>
        <w:t xml:space="preserve">Calibrate the confidence outputs (reliability diagrams).</w:t>
      </w:r>
    </w:p>
    <w:p>
      <w:pPr>
        <w:pStyle w:val="ListParagraph"/>
        <w:numPr>
          <w:ilvl w:val="0"/>
          <w:numId w:val="4"/>
        </w:numPr>
        <w:spacing w:after="60"/>
      </w:pPr>
      <w:r>
        <w:t xml:space="preserve">Serve maps through CloudFront signed URLs for lower latency in India.</w:t>
      </w:r>
    </w:p>
    <w:p>
      <w:pPr>
        <w:pStyle w:val="ListParagraph"/>
        <w:numPr>
          <w:ilvl w:val="0"/>
          <w:numId w:val="4"/>
        </w:numPr>
        <w:spacing w:after="60"/>
      </w:pPr>
      <w:r>
        <w:t xml:space="preserve">Frontend redesign decisions pending (branding, public demo, MapLibre + TiTiler, SSO).</w:t>
      </w:r>
    </w:p>
    <w:p>
      <w:pPr>
        <w:pStyle w:val="Heading1"/>
        <w:pageBreakBefore/>
      </w:pPr>
      <w:r>
        <w:t xml:space="preserve">20. How to run</w:t>
      </w:r>
    </w:p>
    <w:p>
      <w:pPr>
        <w:shd w:fill="F3F3F1" w:color="auto" w:val="clear"/>
        <w:spacing w:after="0"/>
      </w:pPr>
      <w:r>
        <w:rPr>
          <w:rFonts w:ascii="Consolas" w:cs="Consolas" w:eastAsia="Consolas" w:hAnsi="Consolas"/>
          <w:sz w:val="18"/>
          <w:szCs w:val="18"/>
        </w:rPr>
        <w:t xml:space="preserve">cd pre_production</w:t>
      </w:r>
    </w:p>
    <w:p>
      <w:pPr>
        <w:shd w:fill="F3F3F1" w:color="auto" w:val="clear"/>
        <w:spacing w:after="0"/>
      </w:pPr>
      <w:r>
        <w:rPr>
          <w:rFonts w:ascii="Consolas" w:cs="Consolas" w:eastAsia="Consolas" w:hAnsi="Consolas"/>
          <w:sz w:val="18"/>
          <w:szCs w:val="18"/>
        </w:rPr>
        <w:t xml:space="preserve">cp .env.example .env            # fill secrets (openssl rand -hex 32); EARTHDATA_TOKEN for real EMIT</w:t>
      </w:r>
    </w:p>
    <w:p>
      <w:pPr>
        <w:shd w:fill="F3F3F1" w:color="auto" w:val="clear"/>
        <w:spacing w:after="0"/>
      </w:pPr>
      <w:r>
        <w:rPr>
          <w:rFonts w:ascii="Consolas" w:cs="Consolas" w:eastAsia="Consolas" w:hAnsi="Consolas"/>
          <w:sz w:val="18"/>
          <w:szCs w:val="18"/>
        </w:rPr>
        <w:t xml:space="preserve">docker compose --profile local up -d --build</w:t>
      </w:r>
    </w:p>
    <w:p>
      <w:pPr>
        <w:shd w:fill="F3F3F1" w:color="auto" w:val="clear"/>
        <w:spacing w:after="0"/>
      </w:pPr>
      <w:r>
        <w:rPr>
          <w:rFonts w:ascii="Consolas" w:cs="Consolas" w:eastAsia="Consolas" w:hAnsi="Consolas"/>
          <w:sz w:val="18"/>
          <w:szCs w:val="18"/>
        </w:rPr>
        <w:t xml:space="preserve">open http://localhost:3000</w:t>
      </w:r>
    </w:p>
    <w:p>
      <w:pPr>
        <w:shd w:fill="F3F3F1" w:color="auto" w:val="clear"/>
        <w:spacing w:after="0"/>
      </w:pPr>
      <w:r>
        <w:rPr>
          <w:rFonts w:ascii="Consolas" w:cs="Consolas" w:eastAsia="Consolas" w:hAnsi="Consolas"/>
          <w:sz w:val="18"/>
          <w:szCs w:val="18"/>
        </w:rPr>
        <w:t xml:space="preserve"> </w:t>
      </w:r>
    </w:p>
    <w:p>
      <w:pPr>
        <w:shd w:fill="F3F3F1" w:color="auto" w:val="clear"/>
        <w:spacing w:after="0"/>
      </w:pPr>
      <w:r>
        <w:rPr>
          <w:rFonts w:ascii="Consolas" w:cs="Consolas" w:eastAsia="Consolas" w:hAnsi="Consolas"/>
          <w:sz w:val="18"/>
          <w:szCs w:val="18"/>
        </w:rPr>
        <w:t xml:space="preserve"># optional: --profile obs (Prometheus 127.0.0.1:9090, Grafana 127.0.0.1:3002), --profile batch (Dagster :3001)</w:t>
      </w:r>
    </w:p>
    <w:p>
      <w:pPr>
        <w:shd w:fill="F3F3F1" w:color="auto" w:val="clear"/>
        <w:spacing w:after="0"/>
      </w:pPr>
      <w:r>
        <w:rPr>
          <w:rFonts w:ascii="Consolas" w:cs="Consolas" w:eastAsia="Consolas" w:hAnsi="Consolas"/>
          <w:sz w:val="18"/>
          <w:szCs w:val="18"/>
        </w:rPr>
        <w:t xml:space="preserve">docker compose --profile local up -d --scale ml_inference=4 --scale preprocessing=4 --scale ingestion=4</w:t>
      </w:r>
    </w:p>
    <w:p>
      <w:pPr>
        <w:shd w:fill="F3F3F1" w:color="auto" w:val="clear"/>
        <w:spacing w:after="0"/>
      </w:pPr>
      <w:r>
        <w:rPr>
          <w:rFonts w:ascii="Consolas" w:cs="Consolas" w:eastAsia="Consolas" w:hAnsi="Consolas"/>
          <w:sz w:val="18"/>
          <w:szCs w:val="18"/>
        </w:rPr>
        <w:t xml:space="preserve"> </w:t>
      </w:r>
    </w:p>
    <w:p>
      <w:pPr>
        <w:shd w:fill="F3F3F1" w:color="auto" w:val="clear"/>
        <w:spacing w:after="0"/>
      </w:pPr>
      <w:r>
        <w:rPr>
          <w:rFonts w:ascii="Consolas" w:cs="Consolas" w:eastAsia="Consolas" w:hAnsi="Consolas"/>
          <w:sz w:val="18"/>
          <w:szCs w:val="18"/>
        </w:rPr>
        <w:t xml:space="preserve"># train and verify the model (venv: source /Users/aaronr/py311/bin/activate)</w:t>
      </w:r>
    </w:p>
    <w:p>
      <w:pPr>
        <w:shd w:fill="F3F3F1" w:color="auto" w:val="clear"/>
        <w:spacing w:after="0"/>
      </w:pPr>
      <w:r>
        <w:rPr>
          <w:rFonts w:ascii="Consolas" w:cs="Consolas" w:eastAsia="Consolas" w:hAnsi="Consolas"/>
          <w:sz w:val="18"/>
          <w:szCs w:val="18"/>
        </w:rPr>
        <w:t xml:space="preserve">cd training &amp;&amp; python -m datagen --out artifacts/data &amp;&amp; python -m train --arch mlp</w:t>
      </w:r>
    </w:p>
    <w:p>
      <w:pPr>
        <w:shd w:fill="F3F3F1" w:color="auto" w:val="clear"/>
        <w:spacing w:after="0"/>
      </w:pPr>
      <w:r>
        <w:rPr>
          <w:rFonts w:ascii="Consolas" w:cs="Consolas" w:eastAsia="Consolas" w:hAnsi="Consolas"/>
          <w:sz w:val="18"/>
          <w:szCs w:val="18"/>
        </w:rPr>
        <w:t xml:space="preserve">python -m verify_maps --model artifacts/models/v1 --data artifacts/data</w:t>
      </w:r>
    </w:p>
    <w:p>
      <w:pPr>
        <w:shd w:fill="F3F3F1" w:color="auto" w:val="clear"/>
        <w:spacing w:after="0"/>
      </w:pPr>
      <w:r>
        <w:rPr>
          <w:rFonts w:ascii="Consolas" w:cs="Consolas" w:eastAsia="Consolas" w:hAnsi="Consolas"/>
          <w:sz w:val="18"/>
          <w:szCs w:val="18"/>
        </w:rPr>
        <w:t xml:space="preserve"> </w:t>
      </w:r>
    </w:p>
    <w:p>
      <w:pPr>
        <w:shd w:fill="F3F3F1" w:color="auto" w:val="clear"/>
        <w:spacing w:after="0"/>
      </w:pPr>
      <w:r>
        <w:rPr>
          <w:rFonts w:ascii="Consolas" w:cs="Consolas" w:eastAsia="Consolas" w:hAnsi="Consolas"/>
          <w:sz w:val="18"/>
          <w:szCs w:val="18"/>
        </w:rPr>
        <w:t xml:space="preserve"># tests</w:t>
      </w:r>
    </w:p>
    <w:p>
      <w:pPr>
        <w:shd w:fill="F3F3F1" w:color="auto" w:val="clear"/>
        <w:spacing w:after="0"/>
      </w:pPr>
      <w:r>
        <w:rPr>
          <w:rFonts w:ascii="Consolas" w:cs="Consolas" w:eastAsia="Consolas" w:hAnsi="Consolas"/>
          <w:sz w:val="18"/>
          <w:szCs w:val="18"/>
        </w:rPr>
        <w:t xml:space="preserve">pytest libs/hydra/tests libs/hs_common/tests</w:t>
      </w:r>
    </w:p>
    <w:p>
      <w:pPr>
        <w:shd w:fill="F3F3F1" w:color="auto" w:val="clear"/>
        <w:spacing w:after="0"/>
      </w:pPr>
      <w:r>
        <w:rPr>
          <w:rFonts w:ascii="Consolas" w:cs="Consolas" w:eastAsia="Consolas" w:hAnsi="Consolas"/>
          <w:sz w:val="18"/>
          <w:szCs w:val="18"/>
        </w:rPr>
        <w:t xml:space="preserve">python tests/e2e.py --base http://localhost:3000 --jobs 3 --real-thermal</w:t>
      </w:r>
    </w:p>
    <w:p>
      <w:pPr>
        <w:shd w:fill="F3F3F1" w:color="auto" w:val="clear"/>
        <w:spacing w:after="0"/>
      </w:pPr>
      <w:r>
        <w:rPr>
          <w:rFonts w:ascii="Consolas" w:cs="Consolas" w:eastAsia="Consolas" w:hAnsi="Consolas"/>
          <w:sz w:val="18"/>
          <w:szCs w:val="18"/>
        </w:rPr>
        <w:t xml:space="preserve">python tests/security.py --base http://localhost:3000 --env .env</w:t>
      </w:r>
    </w:p>
    <w:p>
      <w:pPr>
        <w:pStyle w:val="Heading2"/>
      </w:pPr>
      <w:r>
        <w:t xml:space="preserve">Appendix A. REST API</w:t>
      </w:r>
    </w:p>
    <w:p>
      <w:pPr>
        <w:keepNext/>
        <w:spacing w:before="120" w:after="60"/>
      </w:pPr>
      <w:r>
        <w:rPr>
          <w:b/>
          <w:bCs/>
          <w:color w:val="52514E"/>
          <w:sz w:val="18"/>
          <w:szCs w:val="18"/>
        </w:rPr>
        <w:t xml:space="preserve">Table 28. </w:t>
      </w:r>
      <w:r>
        <w:rPr>
          <w:color w:val="52514E"/>
          <w:sz w:val="18"/>
          <w:szCs w:val="18"/>
        </w:rPr>
        <w:t xml:space="preserve">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47"/>
        <w:gridCol w:w="4879"/>
      </w:tblGrid>
      <w:tr>
        <w:trPr>
          <w:tblHeader/>
        </w:trPr>
        <w:tc>
          <w:tcPr>
            <w:tcW w:type="dxa" w:w="4147"/>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Method and path</w:t>
            </w:r>
          </w:p>
        </w:tc>
        <w:tc>
          <w:tcPr>
            <w:tcW w:type="dxa" w:w="4879"/>
            <w:tcBorders>
              <w:top w:val="single" w:color="D9D8D2" w:sz="4"/>
              <w:left w:val="single" w:color="D9D8D2" w:sz="4"/>
              <w:bottom w:val="single" w:color="D9D8D2" w:sz="4"/>
              <w:right w:val="single" w:color="D9D8D2" w:sz="4"/>
            </w:tcBorders>
            <w:shd w:fill="EEF3FA" w:color="auto" w:val="clear"/>
            <w:tcMar>
              <w:top w:type="dxa" w:w="60"/>
              <w:left w:type="dxa" w:w="100"/>
              <w:bottom w:type="dxa" w:w="60"/>
              <w:right w:type="dxa" w:w="100"/>
            </w:tcMar>
          </w:tcPr>
          <w:p>
            <w:pPr>
              <w:spacing w:after="0"/>
            </w:pPr>
            <w:r>
              <w:rPr>
                <w:b/>
                <w:bCs/>
                <w:sz w:val="18"/>
                <w:szCs w:val="18"/>
              </w:rPr>
              <w:t xml:space="preserve">Purpose</w:t>
            </w:r>
          </w:p>
        </w:tc>
      </w:tr>
      <w:tr>
        <w:tc>
          <w:tcPr>
            <w:tcW w:type="dxa" w:w="41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POST /api/auth/register, /login</w:t>
            </w:r>
          </w:p>
        </w:tc>
        <w:tc>
          <w:tcPr>
            <w:tcW w:type="dxa" w:w="48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create account / sign in (access token + refresh cookie)</w:t>
            </w:r>
          </w:p>
        </w:tc>
      </w:tr>
      <w:tr>
        <w:tc>
          <w:tcPr>
            <w:tcW w:type="dxa" w:w="41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POST /api/auth/refresh, /logout, /logout-all</w:t>
            </w:r>
          </w:p>
        </w:tc>
        <w:tc>
          <w:tcPr>
            <w:tcW w:type="dxa" w:w="48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rotate session; sign out; end every session</w:t>
            </w:r>
          </w:p>
        </w:tc>
      </w:tr>
      <w:tr>
        <w:tc>
          <w:tcPr>
            <w:tcW w:type="dxa" w:w="41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GET /api/me, /api/config, /api/model</w:t>
            </w:r>
          </w:p>
        </w:tc>
        <w:tc>
          <w:tcPr>
            <w:tcW w:type="dxa" w:w="48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current user; UI limits; active model and its verification</w:t>
            </w:r>
          </w:p>
        </w:tc>
      </w:tr>
      <w:tr>
        <w:tc>
          <w:tcPr>
            <w:tcW w:type="dxa" w:w="41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POST /api/jobs; GET /api/jobs, /api/jobs/:id</w:t>
            </w:r>
          </w:p>
        </w:tc>
        <w:tc>
          <w:tcPr>
            <w:tcW w:type="dxa" w:w="48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submit (Idempotency-Key); list; status</w:t>
            </w:r>
          </w:p>
        </w:tc>
      </w:tr>
      <w:tr>
        <w:tc>
          <w:tcPr>
            <w:tcW w:type="dxa" w:w="41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DELETE /api/jobs/:id</w:t>
            </w:r>
          </w:p>
        </w:tc>
        <w:tc>
          <w:tcPr>
            <w:tcW w:type="dxa" w:w="48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cancel</w:t>
            </w:r>
          </w:p>
        </w:tc>
      </w:tr>
      <w:tr>
        <w:tc>
          <w:tcPr>
            <w:tcW w:type="dxa" w:w="41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GET /api/jobs/:id/layers</w:t>
            </w:r>
          </w:p>
        </w:tc>
        <w:tc>
          <w:tcPr>
            <w:tcW w:type="dxa" w:w="48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map layers with presigned URLs</w:t>
            </w:r>
          </w:p>
        </w:tc>
      </w:tr>
      <w:tr>
        <w:tc>
          <w:tcPr>
            <w:tcW w:type="dxa" w:w="41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POST /api/jobs/:id/stream-ticket; GET /api/jobs/:id/events</w:t>
            </w:r>
          </w:p>
        </w:tc>
        <w:tc>
          <w:tcPr>
            <w:tcW w:type="dxa" w:w="48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one-time ticket; live Server-Sent Events</w:t>
            </w:r>
          </w:p>
        </w:tc>
      </w:tr>
      <w:tr>
        <w:tc>
          <w:tcPr>
            <w:tcW w:type="dxa" w:w="41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GET /api/catalog; GET /api/stats (admin)</w:t>
            </w:r>
          </w:p>
        </w:tc>
        <w:tc>
          <w:tcPr>
            <w:tcW w:type="dxa" w:w="48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available imagery; platform statistics</w:t>
            </w:r>
          </w:p>
        </w:tc>
      </w:tr>
      <w:tr>
        <w:tc>
          <w:tcPr>
            <w:tcW w:type="dxa" w:w="4147"/>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GET /health, /ready, /metrics</w:t>
            </w:r>
          </w:p>
        </w:tc>
        <w:tc>
          <w:tcPr>
            <w:tcW w:type="dxa" w:w="4879"/>
            <w:tcBorders>
              <w:top w:val="single" w:color="D9D8D2" w:sz="4"/>
              <w:left w:val="single" w:color="D9D8D2" w:sz="4"/>
              <w:bottom w:val="single" w:color="D9D8D2" w:sz="4"/>
              <w:right w:val="single" w:color="D9D8D2" w:sz="4"/>
            </w:tcBorders>
            <w:tcMar>
              <w:top w:type="dxa" w:w="60"/>
              <w:left w:type="dxa" w:w="100"/>
              <w:bottom w:type="dxa" w:w="60"/>
              <w:right w:type="dxa" w:w="100"/>
            </w:tcMar>
          </w:tcPr>
          <w:p>
            <w:pPr>
              <w:spacing w:after="0"/>
            </w:pPr>
            <w:r>
              <w:rPr>
                <w:sz w:val="18"/>
                <w:szCs w:val="18"/>
              </w:rPr>
              <w:t xml:space="preserve">probes and Prometheus metrics</w:t>
            </w:r>
          </w:p>
        </w:tc>
      </w:tr>
    </w:tbl>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98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984"/>
        <w:sz w:val="16"/>
        <w:szCs w:val="16"/>
      </w:rPr>
      <w:t xml:space="preserve">HydraNet Maps: end-to-end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Calibri" w:cs="Calibri" w:eastAsia="Calibri" w:hAnsi="Calibri"/>
      <w:b/>
      <w:bCs/>
      <w:color w:val="1F4E8C"/>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2A78D6"/>
      <w:sz w:val="26"/>
      <w:szCs w:val="26"/>
    </w:rPr>
  </w:style>
  <w:style w:type="paragraph" w:styleId="Heading3">
    <w:name w:val="Heading 3"/>
    <w:basedOn w:val="Normal"/>
    <w:next w:val="Normal"/>
    <w:qFormat/>
    <w:pPr>
      <w:spacing w:before="160" w:after="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9b6553fa48cbc760d2ef53a8dd176fe0331a0ed.png"/><Relationship Id="rId9" Type="http://schemas.openxmlformats.org/officeDocument/2006/relationships/image" Target="media/4ae981cbe789726bbd5d45ab298bdbc904d485ed.png"/><Relationship Id="rId10" Type="http://schemas.openxmlformats.org/officeDocument/2006/relationships/image" Target="media/e67c5774082f535682a32200b5162b6fd6ae3751.png"/><Relationship Id="rId11" Type="http://schemas.openxmlformats.org/officeDocument/2006/relationships/image" Target="media/c082b74d4fcd5f322ef458a52acb861cd3feb664.png"/><Relationship Id="rId12" Type="http://schemas.openxmlformats.org/officeDocument/2006/relationships/image" Target="media/e1ba9becb61d6705faa19db71e6d1be5b09c9053.png"/><Relationship Id="rId13" Type="http://schemas.openxmlformats.org/officeDocument/2006/relationships/image" Target="media/5addb2c5837904a6e3b26b56e7a34b1d64484d1d.png"/><Relationship Id="rId14" Type="http://schemas.openxmlformats.org/officeDocument/2006/relationships/image" Target="media/0b5bb94b6c311b520d1a3829609886dd1c40023f.png"/><Relationship Id="rId15" Type="http://schemas.openxmlformats.org/officeDocument/2006/relationships/image" Target="media/60316e57fb41a96a6c517312605c614e32bb6b2d.png"/><Relationship Id="rId16" Type="http://schemas.openxmlformats.org/officeDocument/2006/relationships/image" Target="media/5b4eb5ef7a3e9163127778b9ed6cedf3cb4544bc.png"/><Relationship Id="rId17" Type="http://schemas.openxmlformats.org/officeDocument/2006/relationships/image" Target="media/577a0f07621693f8212136f1ee5f255331fef896.png"/><Relationship Id="rId18" Type="http://schemas.openxmlformats.org/officeDocument/2006/relationships/image" Target="media/6b1bf44207b552474cf54b5ad4584dd20c30fb06.png"/><Relationship Id="rId19" Type="http://schemas.openxmlformats.org/officeDocument/2006/relationships/image" Target="media/b2924589feff731edec9d9ad3d116d84d0c34c94.png"/><Relationship Id="rId20" Type="http://schemas.openxmlformats.org/officeDocument/2006/relationships/image" Target="media/3ef82b7b93fb697df9e1c67deaaeea97c02848ea.png"/><Relationship Id="rId21" Type="http://schemas.openxmlformats.org/officeDocument/2006/relationships/image" Target="media/157dc3482d4d0c1be7a93b5e1f98dfaa67341e37.png"/><Relationship Id="rId22" Type="http://schemas.openxmlformats.org/officeDocument/2006/relationships/image" Target="media/d4cdffb0cfb16f93a853aa1830663e36166c5e5a.png"/><Relationship Id="rId23" Type="http://schemas.openxmlformats.org/officeDocument/2006/relationships/image" Target="media/d6494d1c337ae5740ea6d584905d23c230685344.png"/><Relationship Id="rId24" Type="http://schemas.openxmlformats.org/officeDocument/2006/relationships/image" Target="media/f4ec333ce0de542be9d3e939b3f8e9911608cf7a.png"/><Relationship Id="rId25" Type="http://schemas.openxmlformats.org/officeDocument/2006/relationships/image" Target="media/3988b1bfb827e36d4177fc78b7742c1e41778035.png"/><Relationship Id="rId26" Type="http://schemas.openxmlformats.org/officeDocument/2006/relationships/image" Target="media/bd0944039c5314a5be47405825df8f5bcf88be31.png"/><Relationship Id="rId27" Type="http://schemas.openxmlformats.org/officeDocument/2006/relationships/image" Target="media/d38ff664a97a7d010b7d1038c7c879b719518a92.png"/><Relationship Id="rId28" Type="http://schemas.openxmlformats.org/officeDocument/2006/relationships/image" Target="media/fcafabf6d0115d6213ebceb573e8625b632e3319.png"/><Relationship Id="rId29" Type="http://schemas.openxmlformats.org/officeDocument/2006/relationships/image" Target="media/dfaed2b0d495f6d92d271be08050f7e6ffb887ff.png"/><Relationship Id="rId30" Type="http://schemas.openxmlformats.org/officeDocument/2006/relationships/image" Target="media/6c181469077958295bd19be0a228f29869b115e3.png"/><Relationship Id="rId31" Type="http://schemas.openxmlformats.org/officeDocument/2006/relationships/image" Target="media/a0e2b0bffbf67b4fc2a9e28d345e41f6c05d84c3.png"/><Relationship Id="rId32" Type="http://schemas.openxmlformats.org/officeDocument/2006/relationships/image" Target="media/9c159599dcf0eb6e08ea62edc02122e2eab4ac36.png"/><Relationship Id="rId33" Type="http://schemas.openxmlformats.org/officeDocument/2006/relationships/image" Target="media/37a608a1ac3e2cf99eda15fbf3ca4485d5dae4e5.png"/><Relationship Id="rId34" Type="http://schemas.openxmlformats.org/officeDocument/2006/relationships/image" Target="media/7221af282aca2be1260c35f32a4e7f29a7ae547e.png"/><Relationship Id="rId35" Type="http://schemas.openxmlformats.org/officeDocument/2006/relationships/image" Target="media/eacce1b8b9bf315a19d21409228c9ec51d5a6216.png"/><Relationship Id="rId3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HydraNet Maps: end-to-end project document</dc:title>
  <dc:creator>Aaron R</dc:creator>
  <cp:lastModifiedBy>Un-named</cp:lastModifiedBy>
  <cp:revision>1</cp:revision>
  <dcterms:created xsi:type="dcterms:W3CDTF">2026-10-20T16:26:05.834Z</dcterms:created>
  <dcterms:modified xsi:type="dcterms:W3CDTF">2026-10-20T16:26:05.836Z</dcterms:modified>
</cp:coreProperties>
</file>

<file path=docProps/custom.xml><?xml version="1.0" encoding="utf-8"?>
<Properties xmlns="http://schemas.openxmlformats.org/officeDocument/2006/custom-properties" xmlns:vt="http://schemas.openxmlformats.org/officeDocument/2006/docPropsVTypes"/>
</file>