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pPr>
      <w:r>
        <w:rPr>
          <w:b/>
          <w:bCs/>
          <w:color w:val="1F4E8C"/>
          <w:sz w:val="64"/>
          <w:szCs w:val="64"/>
        </w:rPr>
        <w:t xml:space="preserve">HydraNet Maps</w:t>
      </w:r>
    </w:p>
    <w:p>
      <w:pPr>
        <w:spacing w:after="400"/>
      </w:pPr>
      <w:r>
        <w:rPr>
          <w:color w:val="333333"/>
          <w:sz w:val="32"/>
          <w:szCs w:val="32"/>
        </w:rPr>
        <w:t xml:space="preserve">End-to-end project document: hyperspectral and thermal mapping with one neural network</w:t>
      </w:r>
    </w:p>
    <w:p>
      <w:pPr>
        <w:spacing w:after="120" w:line="276"/>
      </w:pPr>
      <w:r>
        <w:t xml:space="preserve">Agriculture, mineral and thermal maps from NASA EMIT and Landsat 8/9, produced by one lightweight three-headed neural network (ONNX) that is trained and continuously verified to reproduce the classical remote-sensing methods, served by a production data platform (Kafka, Redis, PostgreSQL/PostGIS, MinIO / Amazon S3).</w:t>
      </w:r>
    </w:p>
    <w:p>
      <w:pPr>
        <w:spacing w:before="5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9"/>
        <w:gridCol w:w="6447"/>
      </w:tblGrid>
      <w:tr>
        <w:trPr>
          <w:tblHeader/>
        </w:trPr>
        <w:tc>
          <w:tcPr>
            <w:tcW w:type="dxa" w:w="2579"/>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Item</w:t>
            </w:r>
          </w:p>
        </w:tc>
        <w:tc>
          <w:tcPr>
            <w:tcW w:type="dxa" w:w="6447"/>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Value</w:t>
            </w:r>
          </w:p>
        </w:tc>
      </w:tr>
      <w:tr>
        <w:tc>
          <w:tcPr>
            <w:tcW w:type="dxa" w:w="257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Repository</w:t>
            </w:r>
          </w:p>
        </w:tc>
        <w:tc>
          <w:tcPr>
            <w:tcW w:type="dxa" w:w="644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github.com/aaron43210/remote_sensing_pipeline</w:t>
            </w:r>
          </w:p>
        </w:tc>
      </w:tr>
      <w:tr>
        <w:tc>
          <w:tcPr>
            <w:tcW w:type="dxa" w:w="257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Branch documented</w:t>
            </w:r>
          </w:p>
        </w:tc>
        <w:tc>
          <w:tcPr>
            <w:tcW w:type="dxa" w:w="644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pre-production (folder pre_production/)</w:t>
            </w:r>
          </w:p>
        </w:tc>
      </w:tr>
      <w:tr>
        <w:tc>
          <w:tcPr>
            <w:tcW w:type="dxa" w:w="257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Deployed model</w:t>
            </w:r>
          </w:p>
        </w:tc>
        <w:tc>
          <w:tcPr>
            <w:tcW w:type="dxa" w:w="644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HydraNet v1: MLP, 502,030 parameters, ONNX opset 17, 2.06 MB</w:t>
            </w:r>
          </w:p>
        </w:tc>
      </w:tr>
      <w:tr>
        <w:tc>
          <w:tcPr>
            <w:tcW w:type="dxa" w:w="257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Feature spec</w:t>
            </w:r>
          </w:p>
        </w:tc>
        <w:tc>
          <w:tcPr>
            <w:tcW w:type="dxa" w:w="644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530 mineral features, hash be8eb2b9cf99ce42</w:t>
            </w:r>
          </w:p>
        </w:tc>
      </w:tr>
      <w:tr>
        <w:tc>
          <w:tcPr>
            <w:tcW w:type="dxa" w:w="257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Document date</w:t>
            </w:r>
          </w:p>
        </w:tc>
        <w:tc>
          <w:tcPr>
            <w:tcW w:type="dxa" w:w="644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21 October 2026</w:t>
            </w:r>
          </w:p>
        </w:tc>
      </w:tr>
      <w:tr>
        <w:tc>
          <w:tcPr>
            <w:tcW w:type="dxa" w:w="257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Prepared by</w:t>
            </w:r>
          </w:p>
        </w:tc>
        <w:tc>
          <w:tcPr>
            <w:tcW w:type="dxa" w:w="644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Aaron R (platform, model, integration), with the preprocessing module by Ananthanarayanan B</w:t>
            </w:r>
          </w:p>
        </w:tc>
      </w:tr>
    </w:tbl>
    <w:p>
      <w:pPr>
        <w:spacing w:after="12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pPr>
      <w:r>
        <w:rPr>
          <w:color w:val="52514E"/>
          <w:sz w:val="18"/>
          <w:szCs w:val="18"/>
        </w:rPr>
        <w:t xml:space="preserve">(If the table of contents is empty, right-click it in Word and choose Update Field.)</w:t>
      </w:r>
    </w:p>
    <w:p>
      <w:pPr>
        <w:pStyle w:val="Heading1"/>
        <w:pageBreakBefore/>
      </w:pPr>
      <w:r>
        <w:t xml:space="preserve">1. Executive summary</w:t>
      </w:r>
    </w:p>
    <w:p>
      <w:pPr>
        <w:spacing w:after="120" w:line="276"/>
      </w:pPr>
      <w:r>
        <w:t xml:space="preserve">A user draws a box on a map and receives three families of maps: </w:t>
      </w:r>
      <w:r>
        <w:rPr>
          <w:b/>
          <w:bCs/>
        </w:rPr>
        <w:t xml:space="preserve">agriculture</w:t>
      </w:r>
      <w:r>
        <w:t xml:space="preserve"> (leaf chlorophyll Cab, carotenoids Car, water Cw, dry matter Cm, leaf area index LAI, leaf angle ALA, each with an uncertainty), </w:t>
      </w:r>
      <w:r>
        <w:rPr>
          <w:b/>
          <w:bCs/>
        </w:rPr>
        <w:t xml:space="preserve">minerals</w:t>
      </w:r>
      <w:r>
        <w:t xml:space="preserve"> (dominant of 12 USGS minerals or unknown, per-mineral abundance, fit quality) and </w:t>
      </w:r>
      <w:r>
        <w:rPr>
          <w:b/>
          <w:bCs/>
        </w:rPr>
        <w:t xml:space="preserve">thermal</w:t>
      </w:r>
      <w:r>
        <w:t xml:space="preserve"> (cold/normal/hot, urban-heat-island zones, local anomalies, hotspots). Imagery comes from NASA EMIT (285 bands, 60 m) and Landsat 8/9 (land surface temperature, 30 m). The map shows where EMIT data exists for the chosen dates before a box is drawn.</w:t>
      </w:r>
    </w:p>
    <w:p>
      <w:pPr>
        <w:spacing w:after="120" w:line="276"/>
      </w:pPr>
      <w:r>
        <w:t xml:space="preserve">One neural network, </w:t>
      </w:r>
      <w:r>
        <w:rPr>
          <w:b/>
          <w:bCs/>
        </w:rPr>
        <w:t xml:space="preserve">HydraNet</w:t>
      </w:r>
      <w:r>
        <w:t xml:space="preserve">, produces every map. It is trained with the classical methods as teachers, so it draws the same maps they draw, and every job re-checks a pixel sample against the classical method. Model v1 was retrained on a new dataset (USGS mixtures with real-world nuisances plus about 200,000 real EMIT pixels) and matches the classical methods on real imagery as closely as on test data.</w:t>
      </w:r>
    </w:p>
    <w:p>
      <w:pPr>
        <w:keepNext/>
        <w:spacing w:before="120" w:after="60"/>
      </w:pPr>
      <w:r>
        <w:rPr>
          <w:b/>
          <w:bCs/>
          <w:color w:val="52514E"/>
          <w:sz w:val="18"/>
          <w:szCs w:val="18"/>
        </w:rPr>
        <w:t xml:space="preserve">Table 1. </w:t>
      </w:r>
      <w:r>
        <w:rPr>
          <w:color w:val="52514E"/>
          <w:sz w:val="18"/>
          <w:szCs w:val="18"/>
        </w:rPr>
        <w:t xml:space="preserve">Headline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8"/>
        <w:gridCol w:w="4012"/>
        <w:gridCol w:w="2406"/>
      </w:tblGrid>
      <w:tr>
        <w:trPr>
          <w:tblHeader/>
        </w:trPr>
        <w:tc>
          <w:tcPr>
            <w:tcW w:type="dxa" w:w="2608"/>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Result</w:t>
            </w:r>
          </w:p>
        </w:tc>
        <w:tc>
          <w:tcPr>
            <w:tcW w:type="dxa" w:w="4012"/>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Value</w:t>
            </w:r>
          </w:p>
        </w:tc>
        <w:tc>
          <w:tcPr>
            <w:tcW w:type="dxa" w:w="2406"/>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Notes</w:t>
            </w:r>
          </w:p>
        </w:tc>
      </w:tr>
      <w:tr>
        <w:tc>
          <w:tcPr>
            <w:tcW w:type="dxa" w:w="260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Minerals on real EMIT never trained on</w:t>
            </w:r>
          </w:p>
        </w:tc>
        <w:tc>
          <w:tcPr>
            <w:tcW w:type="dxa" w:w="401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class 100.00 % / 99.99 %; abundance error 0.0029 / 0.0015; quality error 0.0041 / 0.0018</w:t>
            </w:r>
          </w:p>
        </w:tc>
        <w:tc>
          <w:tcPr>
            <w:tcW w:type="dxa" w:w="240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owner's real scene / held-out Death Valley scene; the prototype's abundance error was 0.078</w:t>
            </w:r>
          </w:p>
        </w:tc>
      </w:tr>
      <w:tr>
        <w:tc>
          <w:tcPr>
            <w:tcW w:type="dxa" w:w="260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Real jobs through the platform</w:t>
            </w:r>
          </w:p>
        </w:tc>
        <w:tc>
          <w:tcPr>
            <w:tcW w:type="dxa" w:w="401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minerals 99.99–100 % class on Fresno, Death Valley, Searles Lake; abundance error 0.0021–0.0036</w:t>
            </w:r>
          </w:p>
        </w:tc>
        <w:tc>
          <w:tcPr>
            <w:tcW w:type="dxa" w:w="240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every pixel compared with SAM + SMA</w:t>
            </w:r>
          </w:p>
        </w:tc>
      </w:tr>
      <w:tr>
        <w:tc>
          <w:tcPr>
            <w:tcW w:type="dxa" w:w="260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Agriculture vs PROSAIL LUT inversion</w:t>
            </w:r>
          </w:p>
        </w:tc>
        <w:tc>
          <w:tcPr>
            <w:tcW w:type="dxa" w:w="401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R² 0.970 (worst core trait); whole scenes Cab / Cw / LAI error 1.7 % / 1.5 % / 3.4 % of range</w:t>
            </w:r>
          </w:p>
        </w:tc>
        <w:tc>
          <w:tcPr>
            <w:tcW w:type="dxa" w:w="240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real Fresno farmland: 1.8 % / 2.1 % / 1.7 %</w:t>
            </w:r>
          </w:p>
        </w:tc>
      </w:tr>
      <w:tr>
        <w:tc>
          <w:tcPr>
            <w:tcW w:type="dxa" w:w="260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Thermal vs ThermalAnomalyDetector</w:t>
            </w:r>
          </w:p>
        </w:tc>
        <w:tc>
          <w:tcPr>
            <w:tcW w:type="dxa" w:w="401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 99.8 % overall; every map ≥ 98.8 % on each of 6 real Landsat scenes</w:t>
            </w:r>
          </w:p>
        </w:tc>
        <w:tc>
          <w:tcPr>
            <w:tcW w:type="dxa" w:w="240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per-scene floor 98 %</w:t>
            </w:r>
          </w:p>
        </w:tc>
      </w:tr>
      <w:tr>
        <w:tc>
          <w:tcPr>
            <w:tcW w:type="dxa" w:w="260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Speed (5 scenes, CPU)</w:t>
            </w:r>
          </w:p>
        </w:tc>
        <w:tc>
          <w:tcPr>
            <w:tcW w:type="dxa" w:w="401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minerals 10x, agriculture 7x faster than the classical methods</w:t>
            </w:r>
          </w:p>
        </w:tc>
        <w:tc>
          <w:tcPr>
            <w:tcW w:type="dxa" w:w="240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thermal rules are cheaper than the network</w:t>
            </w:r>
          </w:p>
        </w:tc>
      </w:tr>
      <w:tr>
        <w:tc>
          <w:tcPr>
            <w:tcW w:type="dxa" w:w="260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Model size</w:t>
            </w:r>
          </w:p>
        </w:tc>
        <w:tc>
          <w:tcPr>
            <w:tcW w:type="dxa" w:w="401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502,030 parameters, 2.06 MB</w:t>
            </w:r>
          </w:p>
        </w:tc>
        <w:tc>
          <w:tcPr>
            <w:tcW w:type="dxa" w:w="240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lightweight MLP only (the CNN had 1.19 M)</w:t>
            </w:r>
          </w:p>
        </w:tc>
      </w:tr>
      <w:tr>
        <w:tc>
          <w:tcPr>
            <w:tcW w:type="dxa" w:w="260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Load</w:t>
            </w:r>
          </w:p>
        </w:tc>
        <w:tc>
          <w:tcPr>
            <w:tcW w:type="dxa" w:w="401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300 concurrent users: 0 failed of 54,694 requests; API p95 4.1 ms</w:t>
            </w:r>
          </w:p>
        </w:tc>
        <w:tc>
          <w:tcPr>
            <w:tcW w:type="dxa" w:w="240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one laptop, all services in Docker</w:t>
            </w:r>
          </w:p>
        </w:tc>
      </w:tr>
      <w:tr>
        <w:tc>
          <w:tcPr>
            <w:tcW w:type="dxa" w:w="260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Security</w:t>
            </w:r>
          </w:p>
        </w:tc>
        <w:tc>
          <w:tcPr>
            <w:tcW w:type="dxa" w:w="401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63 attacks in the test suite, none succeed</w:t>
            </w:r>
          </w:p>
        </w:tc>
        <w:tc>
          <w:tcPr>
            <w:tcW w:type="dxa" w:w="240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JWT forgery, brute force, IDOR, CSRF, XSS, header spoofing</w:t>
            </w:r>
          </w:p>
        </w:tc>
      </w:tr>
    </w:tbl>
    <w:p>
      <w:pPr>
        <w:spacing w:after="120"/>
      </w:pPr>
    </w:p>
    <w:p>
      <w:pPr>
        <w:pStyle w:val="Heading1"/>
        <w:pageBreakBefore/>
      </w:pPr>
      <w:r>
        <w:t xml:space="preserve">2. Problem statement and objectives</w:t>
      </w:r>
    </w:p>
    <w:p>
      <w:pPr>
        <w:spacing w:after="120" w:line="276"/>
      </w:pPr>
      <w:r>
        <w:t xml:space="preserve">Hyperspectral sensors record hundreds of narrow bands per pixel. The established ways of turning spectra into maps are physically meaningful but slow and fragmented: spectral angle mapping (SAM) and spectral mixture analysis (SMA) for minerals, look-up-table (LUT) inversion of the PROSAIL radiative-transfer model for crop traits, and statistical rules for thermal anomalies. Each needs its own code and tuning, and their per-pixel searches scale poorly to many users.</w:t>
      </w:r>
    </w:p>
    <w:p>
      <w:pPr>
        <w:pStyle w:val="Heading3"/>
      </w:pPr>
      <w:r>
        <w:t xml:space="preserve">Objectives</w:t>
      </w:r>
    </w:p>
    <w:p>
      <w:pPr>
        <w:pStyle w:val="ListParagraph"/>
        <w:numPr>
          <w:ilvl w:val="0"/>
          <w:numId w:val="2"/>
        </w:numPr>
        <w:spacing w:after="60"/>
      </w:pPr>
      <w:r>
        <w:t xml:space="preserve">One neural network that predicts agriculture, mineral and thermal maps (three-in-one), trained on the project's MINERAL, AGRICULTURE and THERMAL datasets.</w:t>
      </w:r>
    </w:p>
    <w:p>
      <w:pPr>
        <w:pStyle w:val="ListParagraph"/>
        <w:numPr>
          <w:ilvl w:val="0"/>
          <w:numId w:val="2"/>
        </w:numPr>
        <w:spacing w:after="60"/>
      </w:pPr>
      <w:r>
        <w:t xml:space="preserve">It must produce the </w:t>
      </w:r>
      <w:r>
        <w:rPr>
          <w:b/>
          <w:bCs/>
        </w:rPr>
        <w:t xml:space="preserve">same maps as the classical methods</w:t>
      </w:r>
      <w:r>
        <w:t xml:space="preserve">: verified by gates before release and by shadow checks in production, on real imagery as well as test data.</w:t>
      </w:r>
    </w:p>
    <w:p>
      <w:pPr>
        <w:pStyle w:val="ListParagraph"/>
        <w:numPr>
          <w:ilvl w:val="0"/>
          <w:numId w:val="2"/>
        </w:numPr>
        <w:spacing w:after="60"/>
      </w:pPr>
      <w:r>
        <w:t xml:space="preserve">A lightweight, CPU-only model (MLP, no CNN) exported to ONNX.</w:t>
      </w:r>
    </w:p>
    <w:p>
      <w:pPr>
        <w:pStyle w:val="ListParagraph"/>
        <w:numPr>
          <w:ilvl w:val="0"/>
          <w:numId w:val="2"/>
        </w:numPr>
        <w:spacing w:after="60"/>
      </w:pPr>
      <w:r>
        <w:t xml:space="preserve">A production platform for many simultaneous users: queueing, retries, idempotency, caching, horizontal scaling.</w:t>
      </w:r>
    </w:p>
    <w:p>
      <w:pPr>
        <w:pStyle w:val="ListParagraph"/>
        <w:numPr>
          <w:ilvl w:val="0"/>
          <w:numId w:val="2"/>
        </w:numPr>
        <w:spacing w:after="60"/>
      </w:pPr>
      <w:r>
        <w:t xml:space="preserve">MinIO locally, Amazon S3 (or any S3-compatible store) in deployment, with no code changes.</w:t>
      </w:r>
    </w:p>
    <w:p>
      <w:pPr>
        <w:pStyle w:val="ListParagraph"/>
        <w:numPr>
          <w:ilvl w:val="0"/>
          <w:numId w:val="2"/>
        </w:numPr>
        <w:spacing w:after="60"/>
      </w:pPr>
      <w:r>
        <w:t xml:space="preserve">A standard, secure web front end wired to the backend.</w:t>
      </w:r>
    </w:p>
    <w:p>
      <w:pPr>
        <w:pStyle w:val="Heading1"/>
        <w:pageBreakBefore/>
      </w:pPr>
      <w:r>
        <w:t xml:space="preserve">3. Repository and the pre-production branch</w:t>
      </w:r>
    </w:p>
    <w:p>
      <w:pPr>
        <w:spacing w:after="120" w:line="276"/>
      </w:pPr>
      <w:r>
        <w:t xml:space="preserve">The repository is github.com/aaron43210/remote_sensing_pipeline. Team members worked on feature branches; </w:t>
      </w:r>
      <w:r>
        <w:rPr>
          <w:b/>
          <w:bCs/>
        </w:rPr>
        <w:t xml:space="preserve">pre-production</w:t>
      </w:r>
      <w:r>
        <w:t xml:space="preserve"> integrates the work into one runnable platform. The datasets live beside it (MINERAL/, AGRICULTURE/, THERMAL/) and are versioned in the data lake for CI.</w:t>
      </w:r>
    </w:p>
    <w:p>
      <w:pPr>
        <w:keepNext/>
        <w:spacing w:before="120" w:after="60"/>
      </w:pPr>
      <w:r>
        <w:rPr>
          <w:b/>
          <w:bCs/>
          <w:color w:val="52514E"/>
          <w:sz w:val="18"/>
          <w:szCs w:val="18"/>
        </w:rPr>
        <w:t xml:space="preserve">Table 2. </w:t>
      </w:r>
      <w:r>
        <w:rPr>
          <w:color w:val="52514E"/>
          <w:sz w:val="18"/>
          <w:szCs w:val="18"/>
        </w:rPr>
        <w:t xml:space="preserve">Branches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58"/>
        <w:gridCol w:w="6268"/>
      </w:tblGrid>
      <w:tr>
        <w:trPr>
          <w:tblHeader/>
        </w:trPr>
        <w:tc>
          <w:tcPr>
            <w:tcW w:type="dxa" w:w="2758"/>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Branch</w:t>
            </w:r>
          </w:p>
        </w:tc>
        <w:tc>
          <w:tcPr>
            <w:tcW w:type="dxa" w:w="6268"/>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Purpose</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base</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default branch (the original multi-service skeleton)</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pre-production</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this document: integrated platform, HydraNet, frontend, infrastructure</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feature/preprocessing</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Dask preprocessing module (Ananthanarayanan B), merged via PR #4</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MINERAL_ANALYSIS</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reference mineral service (SAM, SMA, continuum removal), vendored as the parity reference</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Priya_RTM_SERVICE</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PROSAIL / RTM inversion approach used for the agriculture teacher</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SPECTRAL_ANALYSIS_SERVICE, feature/thermal, development, aaron_dev</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earlier service and experiment branches</w:t>
            </w:r>
          </w:p>
        </w:tc>
      </w:tr>
    </w:tbl>
    <w:p>
      <w:pPr>
        <w:spacing w:after="120"/>
      </w:pPr>
    </w:p>
    <w:p>
      <w:pPr>
        <w:keepNext/>
        <w:spacing w:before="120" w:after="60"/>
      </w:pPr>
      <w:r>
        <w:rPr>
          <w:b/>
          <w:bCs/>
          <w:color w:val="52514E"/>
          <w:sz w:val="18"/>
          <w:szCs w:val="18"/>
        </w:rPr>
        <w:t xml:space="preserve">Table 3. </w:t>
      </w:r>
      <w:r>
        <w:rPr>
          <w:color w:val="52514E"/>
          <w:sz w:val="18"/>
          <w:szCs w:val="18"/>
        </w:rPr>
        <w:t xml:space="preserve">Folder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58"/>
        <w:gridCol w:w="6268"/>
      </w:tblGrid>
      <w:tr>
        <w:trPr>
          <w:tblHeader/>
        </w:trPr>
        <w:tc>
          <w:tcPr>
            <w:tcW w:type="dxa" w:w="2758"/>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Folder</w:t>
            </w:r>
          </w:p>
        </w:tc>
        <w:tc>
          <w:tcPr>
            <w:tcW w:type="dxa" w:w="6268"/>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Contents</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api_gateway/, orchestrator/, pkg/</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Go control plane: REST API, auth, admission control, EMIT coverage, transactional outbox, job state machine, watchdog</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ingestion/</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EMIT search (CMR, catalog fallback), Earthdata download, GLT orthorectification, cloud mask; Landsat STAC window reads</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preprocessing/</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Dask spectral cleaning (EMIT) and Landsat calibration, wired to Kafka</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ml_inference/</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HydraNet serving (ONNX Runtime), COG + PNG layers, STAC, shadow verification, model hot swap</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libs/hydra/</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feature specification, features, classical methods (teachers), runtime, maps; parity tests</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libs/hs_common/</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storage, Kafka worker, message contracts, status, metrics, geo outputs, data sources, imagery catalog</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training/</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real-scene harvesting, data generation, training, ONNX export, gates, map verification; artifacts/models/v1</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frontend/</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React 19 + Vite + Leaflet single-page app</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pipelines/</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Dagster batch assets (catalog, pre-staging, compaction, Gold tables, agreement report, backups)</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infra/</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MinIO (built from source), Kafka topics, Postgres, nginx, Prometheus, Grafana, Terraform (AWS)</w:t>
            </w:r>
          </w:p>
        </w:tc>
      </w:tr>
      <w:tr>
        <w:tc>
          <w:tcPr>
            <w:tcW w:type="dxa" w:w="275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contracts/, tests/, scripts/, tools/, docs/</w:t>
            </w:r>
          </w:p>
        </w:tc>
        <w:tc>
          <w:tcPr>
            <w:tcW w:type="dxa" w:w="626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JSON Schemas per topic; e2e, browser, security, load tests; ops scripts; init container; this document and its generator</w:t>
            </w:r>
          </w:p>
        </w:tc>
      </w:tr>
    </w:tbl>
    <w:p>
      <w:pPr>
        <w:spacing w:after="120"/>
      </w:pPr>
    </w:p>
    <w:p>
      <w:pPr>
        <w:pStyle w:val="Heading1"/>
        <w:pageBreakBefore/>
      </w:pPr>
      <w:r>
        <w:t xml:space="preserve">4. System architecture</w:t>
      </w:r>
    </w:p>
    <w:p>
      <w:pPr>
        <w:keepNext/>
        <w:spacing w:before="120" w:after="40"/>
        <w:jc w:val="center"/>
      </w:pPr>
      <w:r>
        <w:drawing>
          <wp:inline distT="0" distB="0" distL="0" distR="0">
            <wp:extent cx="5762625" cy="3305175"/>
            <wp:effectExtent t="0" r="0" b="0" l="0"/>
            <wp:docPr id="1" name="fig_architecture.png" descr="Platform architecture. Blue: Go services; green: Python workers; orange: Kafka; gray: state and storage." title="Platform architecture. Blue: Go services; green: Python workers; orange: Kafka; gray: state and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2514E"/>
          <w:sz w:val="18"/>
          <w:szCs w:val="18"/>
        </w:rPr>
        <w:t xml:space="preserve">Figure 1. </w:t>
      </w:r>
      <w:r>
        <w:rPr>
          <w:color w:val="52514E"/>
          <w:sz w:val="18"/>
          <w:szCs w:val="18"/>
        </w:rPr>
        <w:t xml:space="preserve">Platform architecture. Blue: Go services; green: Python workers; orange: Kafka; gray: state and storage.</w:t>
      </w:r>
    </w:p>
    <w:p>
      <w:pPr>
        <w:keepNext/>
        <w:spacing w:before="120" w:after="60"/>
      </w:pPr>
      <w:r>
        <w:rPr>
          <w:b/>
          <w:bCs/>
          <w:color w:val="52514E"/>
          <w:sz w:val="18"/>
          <w:szCs w:val="18"/>
        </w:rPr>
        <w:t xml:space="preserve">Table 4. </w:t>
      </w:r>
      <w:r>
        <w:rPr>
          <w:color w:val="52514E"/>
          <w:sz w:val="18"/>
          <w:szCs w:val="18"/>
        </w:rPr>
        <w:t xml:space="preserve">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38"/>
        <w:gridCol w:w="1900"/>
        <w:gridCol w:w="4988"/>
      </w:tblGrid>
      <w:tr>
        <w:trPr>
          <w:tblHeader/>
        </w:trPr>
        <w:tc>
          <w:tcPr>
            <w:tcW w:type="dxa" w:w="2138"/>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Component</w:t>
            </w:r>
          </w:p>
        </w:tc>
        <w:tc>
          <w:tcPr>
            <w:tcW w:type="dxa" w:w="1900"/>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Technology</w:t>
            </w:r>
          </w:p>
        </w:tc>
        <w:tc>
          <w:tcPr>
            <w:tcW w:type="dxa" w:w="4988"/>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Role</w:t>
            </w:r>
          </w:p>
        </w:tc>
      </w:tr>
      <w:tr>
        <w:tc>
          <w:tcPr>
            <w:tcW w:type="dxa" w:w="213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Edge</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nginx / CloudFront</w:t>
            </w:r>
          </w:p>
        </w:tc>
        <w:tc>
          <w:tcPr>
            <w:tcW w:type="dxa" w:w="498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TLS, static SPA, strict CSP and security headers, per-IP limit, overwrites the client-IP header</w:t>
            </w:r>
          </w:p>
        </w:tc>
      </w:tr>
      <w:tr>
        <w:tc>
          <w:tcPr>
            <w:tcW w:type="dxa" w:w="213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api_gateway</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Go 1.26, gin</w:t>
            </w:r>
          </w:p>
        </w:tc>
        <w:tc>
          <w:tcPr>
            <w:tcW w:type="dxa" w:w="498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auth (JWT + refresh cookies), job submission, validation, admission control, result reuse, EMIT coverage, presigned URLs, SSE</w:t>
            </w:r>
          </w:p>
        </w:tc>
      </w:tr>
      <w:tr>
        <w:tc>
          <w:tcPr>
            <w:tcW w:type="dxa" w:w="213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orchestrator</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Go</w:t>
            </w:r>
          </w:p>
        </w:tc>
        <w:tc>
          <w:tcPr>
            <w:tcW w:type="dxa" w:w="498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per-task state machine; watchdog for stages past their SLA; finishes coalesced jobs</w:t>
            </w:r>
          </w:p>
        </w:tc>
      </w:tr>
      <w:tr>
        <w:tc>
          <w:tcPr>
            <w:tcW w:type="dxa" w:w="213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ingestion</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Python</w:t>
            </w:r>
          </w:p>
        </w:tc>
        <w:tc>
          <w:tcPr>
            <w:tcW w:type="dxa" w:w="498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EMIT and Landsat acquisition; stages each EMIT granule once platform-wide; falls back to the catalog while NASA's search is down</w:t>
            </w:r>
          </w:p>
        </w:tc>
      </w:tr>
      <w:tr>
        <w:tc>
          <w:tcPr>
            <w:tcW w:type="dxa" w:w="213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preprocessing</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Python, Dask, Xarray</w:t>
            </w:r>
          </w:p>
        </w:tc>
        <w:tc>
          <w:tcPr>
            <w:tcW w:type="dxa" w:w="498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spectral cleaning of EMIT cubes; Landsat calibration and reprojection</w:t>
            </w:r>
          </w:p>
        </w:tc>
      </w:tr>
      <w:tr>
        <w:tc>
          <w:tcPr>
            <w:tcW w:type="dxa" w:w="213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ml_inference</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Python, ONNX Runtime</w:t>
            </w:r>
          </w:p>
        </w:tc>
        <w:tc>
          <w:tcPr>
            <w:tcW w:type="dxa" w:w="498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HydraNet inference, map layers, STAC, shadow verification, hot swap of promoted models</w:t>
            </w:r>
          </w:p>
        </w:tc>
      </w:tr>
      <w:tr>
        <w:tc>
          <w:tcPr>
            <w:tcW w:type="dxa" w:w="213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event_sink</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Python</w:t>
            </w:r>
          </w:p>
        </w:tc>
        <w:tc>
          <w:tcPr>
            <w:tcW w:type="dxa" w:w="498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every Kafka event to the Bronze lake as Parquet</w:t>
            </w:r>
          </w:p>
        </w:tc>
      </w:tr>
      <w:tr>
        <w:tc>
          <w:tcPr>
            <w:tcW w:type="dxa" w:w="213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Kafka / Redis / PostgreSQL + PostGIS</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p>
        </w:tc>
        <w:tc>
          <w:tcPr>
            <w:tcW w:type="dxa" w:w="498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event bus (8 topics, DLQ) / live status, idempotency, locks, limits / system of record incl. imagery catalog</w:t>
            </w:r>
          </w:p>
        </w:tc>
      </w:tr>
      <w:tr>
        <w:tc>
          <w:tcPr>
            <w:tcW w:type="dxa" w:w="213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Object storage</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MinIO / Amazon S3</w:t>
            </w:r>
          </w:p>
        </w:tc>
        <w:tc>
          <w:tcPr>
            <w:tcW w:type="dxa" w:w="498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data lake (bronze/silver/gold), models, maps</w:t>
            </w:r>
          </w:p>
        </w:tc>
      </w:tr>
      <w:tr>
        <w:tc>
          <w:tcPr>
            <w:tcW w:type="dxa" w:w="213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Dagster, Prometheus, Grafana</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p>
        </w:tc>
        <w:tc>
          <w:tcPr>
            <w:tcW w:type="dxa" w:w="498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batch pipelines; metrics and alerts</w:t>
            </w:r>
          </w:p>
        </w:tc>
      </w:tr>
    </w:tbl>
    <w:p>
      <w:pPr>
        <w:spacing w:after="120"/>
      </w:pPr>
    </w:p>
    <w:p>
      <w:pPr>
        <w:pStyle w:val="Heading2"/>
      </w:pPr>
      <w:r>
        <w:t xml:space="preserve">4.1 Life of a job</w:t>
      </w:r>
    </w:p>
    <w:p>
      <w:pPr>
        <w:keepNext/>
        <w:spacing w:before="120" w:after="40"/>
        <w:jc w:val="center"/>
      </w:pPr>
      <w:r>
        <w:drawing>
          <wp:inline distT="0" distB="0" distL="0" distR="0">
            <wp:extent cx="5762625" cy="1666875"/>
            <wp:effectExtent t="0" r="0" b="0" l="0"/>
            <wp:docPr id="1" name="fig_pipeline.png" descr="A job flows through Kafka topics; each stage reports progress on job.status." title="A job flows through Kafka topics; each stage reports progress on job.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666875"/>
                    </a:xfrm>
                    <a:prstGeom prst="rect">
                      <a:avLst/>
                    </a:prstGeom>
                  </pic:spPr>
                </pic:pic>
              </a:graphicData>
            </a:graphic>
          </wp:inline>
        </w:drawing>
      </w:r>
    </w:p>
    <w:p>
      <w:pPr>
        <w:spacing w:after="200"/>
        <w:jc w:val="center"/>
      </w:pPr>
      <w:r>
        <w:rPr>
          <w:b/>
          <w:bCs/>
          <w:color w:val="52514E"/>
          <w:sz w:val="18"/>
          <w:szCs w:val="18"/>
        </w:rPr>
        <w:t xml:space="preserve">Figure 2. </w:t>
      </w:r>
      <w:r>
        <w:rPr>
          <w:color w:val="52514E"/>
          <w:sz w:val="18"/>
          <w:szCs w:val="18"/>
        </w:rPr>
        <w:t xml:space="preserve">A job flows through Kafka topics; each stage reports progress on job.status.</w:t>
      </w:r>
    </w:p>
    <w:p>
      <w:pPr>
        <w:pStyle w:val="ListParagraph"/>
        <w:numPr>
          <w:ilvl w:val="0"/>
          <w:numId w:val="3"/>
        </w:numPr>
        <w:spacing w:after="60"/>
      </w:pPr>
      <w:r>
        <w:t xml:space="preserve">The browser POSTs box, tasks and dates with an Idempotency-Key. The gateway validates them, checks quotas, and reuses an identical finished job (same box, tasks, dates, model) or follows one in flight.</w:t>
      </w:r>
    </w:p>
    <w:p>
      <w:pPr>
        <w:pStyle w:val="ListParagraph"/>
        <w:numPr>
          <w:ilvl w:val="0"/>
          <w:numId w:val="3"/>
        </w:numPr>
        <w:spacing w:after="60"/>
      </w:pPr>
      <w:r>
        <w:t xml:space="preserve">The job and its ingest message are written in </w:t>
      </w:r>
      <w:r>
        <w:rPr>
          <w:b/>
          <w:bCs/>
        </w:rPr>
        <w:t xml:space="preserve">one transaction</w:t>
      </w:r>
      <w:r>
        <w:t xml:space="preserve"> (transactional outbox). The message carries the catalogued EMIT scenes covering the box, clearest first.</w:t>
      </w:r>
    </w:p>
    <w:p>
      <w:pPr>
        <w:pStyle w:val="ListParagraph"/>
        <w:numPr>
          <w:ilvl w:val="0"/>
          <w:numId w:val="3"/>
        </w:numPr>
        <w:spacing w:after="60"/>
      </w:pPr>
      <w:r>
        <w:t xml:space="preserve">Ingestion fetches imagery (NASA CMR first, the catalogued scenes if CMR is down), preprocessing cleans it, ml_inference runs HydraNet and writes the layers.</w:t>
      </w:r>
    </w:p>
    <w:p>
      <w:pPr>
        <w:pStyle w:val="ListParagraph"/>
        <w:numPr>
          <w:ilvl w:val="0"/>
          <w:numId w:val="3"/>
        </w:numPr>
        <w:spacing w:after="60"/>
      </w:pPr>
      <w:r>
        <w:t xml:space="preserve">Workers are idempotent, retry transient errors three times, and send permanent failures to the DLQ. A box without a usable scene ends as NO_DATA with a reason.</w:t>
      </w:r>
    </w:p>
    <w:p>
      <w:pPr>
        <w:pStyle w:val="ListParagraph"/>
        <w:numPr>
          <w:ilvl w:val="0"/>
          <w:numId w:val="3"/>
        </w:numPr>
        <w:spacing w:after="60"/>
      </w:pPr>
      <w:r>
        <w:t xml:space="preserve">The orchestrator finishes the job (DONE, PARTIAL, FAILED, TIMED_OUT, CANCELLED); the browser follows live over Server-Sent Events.</w:t>
      </w:r>
    </w:p>
    <w:p>
      <w:pPr>
        <w:pStyle w:val="Heading1"/>
        <w:pageBreakBefore/>
      </w:pPr>
      <w:r>
        <w:t xml:space="preserve">5. Data sources and acquisition</w:t>
      </w:r>
    </w:p>
    <w:p>
      <w:pPr>
        <w:keepNext/>
        <w:spacing w:before="120" w:after="60"/>
      </w:pPr>
      <w:r>
        <w:rPr>
          <w:b/>
          <w:bCs/>
          <w:color w:val="52514E"/>
          <w:sz w:val="18"/>
          <w:szCs w:val="18"/>
        </w:rPr>
        <w:t xml:space="preserve">Table 5. </w:t>
      </w:r>
      <w:r>
        <w:rPr>
          <w:color w:val="52514E"/>
          <w:sz w:val="18"/>
          <w:szCs w:val="18"/>
        </w:rPr>
        <w:t xml:space="preserve">Data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2"/>
        <w:gridCol w:w="3963"/>
        <w:gridCol w:w="2641"/>
      </w:tblGrid>
      <w:tr>
        <w:trPr>
          <w:tblHeader/>
        </w:trPr>
        <w:tc>
          <w:tcPr>
            <w:tcW w:type="dxa" w:w="2422"/>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Source</w:t>
            </w:r>
          </w:p>
        </w:tc>
        <w:tc>
          <w:tcPr>
            <w:tcW w:type="dxa" w:w="3963"/>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What</w:t>
            </w:r>
          </w:p>
        </w:tc>
        <w:tc>
          <w:tcPr>
            <w:tcW w:type="dxa" w:w="2641"/>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Access</w:t>
            </w:r>
          </w:p>
        </w:tc>
      </w:tr>
      <w:tr>
        <w:tc>
          <w:tcPr>
            <w:tcW w:type="dxa" w:w="242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NASA EMIT L2A RFL</w:t>
            </w:r>
          </w:p>
        </w:tc>
        <w:tc>
          <w:tcPr>
            <w:tcW w:type="dxa" w:w="396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surface reflectance, 285 bands 381–2493 nm, 60 m, swath with a geometry lookup table (GLT)</w:t>
            </w:r>
          </w:p>
        </w:tc>
        <w:tc>
          <w:tcPr>
            <w:tcW w:type="dxa" w:w="2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search: NASA CMR (public); download: Earthdata token</w:t>
            </w:r>
          </w:p>
        </w:tc>
      </w:tr>
      <w:tr>
        <w:tc>
          <w:tcPr>
            <w:tcW w:type="dxa" w:w="242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NASA EMIT L2A MASK</w:t>
            </w:r>
          </w:p>
        </w:tc>
        <w:tc>
          <w:tcPr>
            <w:tcW w:type="dxa" w:w="396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cloud, cirrus, water, dilated-cloud and (v003) SpecTf-Cloud flags</w:t>
            </w:r>
          </w:p>
        </w:tc>
        <w:tc>
          <w:tcPr>
            <w:tcW w:type="dxa" w:w="2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matched to the reflectance granule by acquisition time</w:t>
            </w:r>
          </w:p>
        </w:tc>
      </w:tr>
      <w:tr>
        <w:tc>
          <w:tcPr>
            <w:tcW w:type="dxa" w:w="242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Landsat 8/9 Collection 2 L2</w:t>
            </w:r>
          </w:p>
        </w:tc>
        <w:tc>
          <w:tcPr>
            <w:tcW w:type="dxa" w:w="396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ST_B10 surface temperature, QA_PIXEL, MTL, 30 m</w:t>
            </w:r>
          </w:p>
        </w:tc>
        <w:tc>
          <w:tcPr>
            <w:tcW w:type="dxa" w:w="2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Microsoft Planetary Computer STAC; only the box window of the COG is read</w:t>
            </w:r>
          </w:p>
        </w:tc>
      </w:tr>
      <w:tr>
        <w:tc>
          <w:tcPr>
            <w:tcW w:type="dxa" w:w="242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w:t>
            </w:r>
          </w:p>
        </w:tc>
        <w:tc>
          <w:tcPr>
            <w:tcW w:type="dxa" w:w="396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12 USGS library spectra; training_sample.csv and dataset_sample.csv (546 columns: 530 features + labels); specification PDF</w:t>
            </w:r>
          </w:p>
        </w:tc>
        <w:tc>
          <w:tcPr>
            <w:tcW w:type="dxa" w:w="2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project dataset</w:t>
            </w:r>
          </w:p>
        </w:tc>
      </w:tr>
      <w:tr>
        <w:tc>
          <w:tcPr>
            <w:tcW w:type="dxa" w:w="242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AGRICULTURE/</w:t>
            </w:r>
          </w:p>
        </w:tc>
        <w:tc>
          <w:tcPr>
            <w:tcW w:type="dxa" w:w="396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RTM_NN_TRAINING_DATASET_WAVELENGTHS.csv: 10,000 PROSAIL spectra with Cab, Car, Cw, Cm, LAI, ALA</w:t>
            </w:r>
          </w:p>
        </w:tc>
        <w:tc>
          <w:tcPr>
            <w:tcW w:type="dxa" w:w="2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project dataset</w:t>
            </w:r>
          </w:p>
        </w:tc>
      </w:tr>
      <w:tr>
        <w:tc>
          <w:tcPr>
            <w:tcW w:type="dxa" w:w="242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THERMAL/</w:t>
            </w:r>
          </w:p>
        </w:tc>
        <w:tc>
          <w:tcPr>
            <w:tcW w:type="dxa" w:w="396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thermal_training_model_ready.csv: 5,000 LST samples with 3×3 statistics</w:t>
            </w:r>
          </w:p>
        </w:tc>
        <w:tc>
          <w:tcPr>
            <w:tcW w:type="dxa" w:w="2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project dataset</w:t>
            </w:r>
          </w:p>
        </w:tc>
      </w:tr>
    </w:tbl>
    <w:p>
      <w:pPr>
        <w:spacing w:after="120"/>
      </w:pPr>
    </w:p>
    <w:p>
      <w:pPr>
        <w:pStyle w:val="Heading2"/>
      </w:pPr>
      <w:r>
        <w:t xml:space="preserve">5.1 Download-and-stage, coverage and outages</w:t>
      </w:r>
    </w:p>
    <w:p>
      <w:pPr>
        <w:spacing w:after="120" w:line="276"/>
      </w:pPr>
      <w:r>
        <w:t xml:space="preserve">EMIT files are 1.8–1.9 GB with no server-side subsetting, so each granule is </w:t>
      </w:r>
      <w:r>
        <w:rPr>
          <w:b/>
          <w:bCs/>
        </w:rPr>
        <w:t xml:space="preserve">downloaded once, staged in the Bronze lake</w:t>
      </w:r>
      <w:r>
        <w:t xml:space="preserve"> and cropped for every later job (a Redis lock prevents duplicate downloads). Landsat is read as Cloud-Optimized GeoTIFF windows. Every EMIT acquisition over the service region (3,687 since August 2022) is indexed with its footprint in PostGIS at start-up and daily by Dagster; the map dims everything without a usable scene for the chosen dates, and the request carries the covering scenes so jobs keep working while NASA's search service is unavailable.</w:t>
      </w:r>
    </w:p>
    <w:p>
      <w:pPr>
        <w:pBdr>
          <w:left w:val="single" w:color="2A78D6" w:sz="18" w:space="8"/>
        </w:pBdr>
        <w:spacing w:before="60" w:after="160"/>
        <w:ind w:left="200"/>
      </w:pPr>
      <w:r>
        <w:rPr>
          <w:b/>
          <w:bCs/>
        </w:rPr>
        <w:t xml:space="preserve">Cloud masks:</w:t>
      </w:r>
      <w:r>
        <w:t xml:space="preserve"> EMIT's MASK v003 changed the band order, and its legacy threshold flag marks bright ground (salt flats, playas) as cloud: a 0 %-cloud Death Valley scene had 0.7 % legacy-flagged pixels dilated to 100 % of the box. The ingestion selects flag bands by their names and uses the SpecTf-Cloud flag when the granule has it; a box that is more than 95 % cloud ends as NO_DATA with a message.</w:t>
      </w:r>
    </w:p>
    <w:p>
      <w:pPr>
        <w:pStyle w:val="Heading1"/>
        <w:pageBreakBefore/>
      </w:pPr>
      <w:r>
        <w:t xml:space="preserve">6. Data engineering</w:t>
      </w:r>
    </w:p>
    <w:p>
      <w:pPr>
        <w:keepNext/>
        <w:spacing w:before="120" w:after="60"/>
      </w:pPr>
      <w:r>
        <w:rPr>
          <w:b/>
          <w:bCs/>
          <w:color w:val="52514E"/>
          <w:sz w:val="18"/>
          <w:szCs w:val="18"/>
        </w:rPr>
        <w:t xml:space="preserve">Table 6. </w:t>
      </w:r>
      <w:r>
        <w:rPr>
          <w:color w:val="52514E"/>
          <w:sz w:val="18"/>
          <w:szCs w:val="18"/>
        </w:rPr>
        <w:t xml:space="preserve">Kafka topics (7-day retention unless noted)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1389"/>
        <w:gridCol w:w="4628"/>
      </w:tblGrid>
      <w:tr>
        <w:trPr>
          <w:tblHeader/>
        </w:trPr>
        <w:tc>
          <w:tcPr>
            <w:tcW w:type="dxa" w:w="3009"/>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Topic</w:t>
            </w:r>
          </w:p>
        </w:tc>
        <w:tc>
          <w:tcPr>
            <w:tcW w:type="dxa" w:w="1389"/>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Partitions</w:t>
            </w:r>
          </w:p>
        </w:tc>
        <w:tc>
          <w:tcPr>
            <w:tcW w:type="dxa" w:w="4628"/>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Producer → consumer</w:t>
            </w:r>
          </w:p>
        </w:tc>
      </w:tr>
      <w:tr>
        <w:tc>
          <w:tcPr>
            <w:tcW w:type="dxa" w:w="300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ingest.requests</w:t>
            </w:r>
          </w:p>
        </w:tc>
        <w:tc>
          <w:tcPr>
            <w:tcW w:type="dxa" w:w="138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12</w:t>
            </w:r>
          </w:p>
        </w:tc>
        <w:tc>
          <w:tcPr>
            <w:tcW w:type="dxa" w:w="462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gateway outbox → ingestion (carries emit_candidates from the catalog)</w:t>
            </w:r>
          </w:p>
        </w:tc>
      </w:tr>
      <w:tr>
        <w:tc>
          <w:tcPr>
            <w:tcW w:type="dxa" w:w="300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raw.hyperspectral / raw.thermal</w:t>
            </w:r>
          </w:p>
        </w:tc>
        <w:tc>
          <w:tcPr>
            <w:tcW w:type="dxa" w:w="138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12 / 6</w:t>
            </w:r>
          </w:p>
        </w:tc>
        <w:tc>
          <w:tcPr>
            <w:tcW w:type="dxa" w:w="462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ingestion → preprocessing</w:t>
            </w:r>
          </w:p>
        </w:tc>
      </w:tr>
      <w:tr>
        <w:tc>
          <w:tcPr>
            <w:tcW w:type="dxa" w:w="300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preprocessed.hyperspectral / .thermal</w:t>
            </w:r>
          </w:p>
        </w:tc>
        <w:tc>
          <w:tcPr>
            <w:tcW w:type="dxa" w:w="138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12 / 6</w:t>
            </w:r>
          </w:p>
        </w:tc>
        <w:tc>
          <w:tcPr>
            <w:tcW w:type="dxa" w:w="462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preprocessing → ml_inference</w:t>
            </w:r>
          </w:p>
        </w:tc>
      </w:tr>
      <w:tr>
        <w:tc>
          <w:tcPr>
            <w:tcW w:type="dxa" w:w="300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ml.results</w:t>
            </w:r>
          </w:p>
        </w:tc>
        <w:tc>
          <w:tcPr>
            <w:tcW w:type="dxa" w:w="138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6</w:t>
            </w:r>
          </w:p>
        </w:tc>
        <w:tc>
          <w:tcPr>
            <w:tcW w:type="dxa" w:w="462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ml_inference → orchestrator</w:t>
            </w:r>
          </w:p>
        </w:tc>
      </w:tr>
      <w:tr>
        <w:tc>
          <w:tcPr>
            <w:tcW w:type="dxa" w:w="300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job.status</w:t>
            </w:r>
          </w:p>
        </w:tc>
        <w:tc>
          <w:tcPr>
            <w:tcW w:type="dxa" w:w="138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12</w:t>
            </w:r>
          </w:p>
        </w:tc>
        <w:tc>
          <w:tcPr>
            <w:tcW w:type="dxa" w:w="462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every stage → orchestrator, event_sink</w:t>
            </w:r>
          </w:p>
        </w:tc>
      </w:tr>
      <w:tr>
        <w:tc>
          <w:tcPr>
            <w:tcW w:type="dxa" w:w="300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dlq</w:t>
            </w:r>
          </w:p>
        </w:tc>
        <w:tc>
          <w:tcPr>
            <w:tcW w:type="dxa" w:w="138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 (30 days)</w:t>
            </w:r>
          </w:p>
        </w:tc>
        <w:tc>
          <w:tcPr>
            <w:tcW w:type="dxa" w:w="462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workers after 3 retries → operators</w:t>
            </w:r>
          </w:p>
        </w:tc>
      </w:tr>
    </w:tbl>
    <w:p>
      <w:pPr>
        <w:spacing w:after="120"/>
      </w:pPr>
    </w:p>
    <w:p>
      <w:pPr>
        <w:spacing w:after="120" w:line="276"/>
      </w:pPr>
      <w:r>
        <w:t xml:space="preserve">Messages are JSON defined once as pydantic models; JSON Schemas are generated into contracts/ and a Go test checks the Go structs against them. Delivery is at-least-once with idempotent consumers; large data travels as object-storage keys.</w:t>
      </w:r>
    </w:p>
    <w:p>
      <w:pPr>
        <w:keepNext/>
        <w:spacing w:before="120" w:after="60"/>
      </w:pPr>
      <w:r>
        <w:rPr>
          <w:b/>
          <w:bCs/>
          <w:color w:val="52514E"/>
          <w:sz w:val="18"/>
          <w:szCs w:val="18"/>
        </w:rPr>
        <w:t xml:space="preserve">Table 7. </w:t>
      </w:r>
      <w:r>
        <w:rPr>
          <w:color w:val="52514E"/>
          <w:sz w:val="18"/>
          <w:szCs w:val="18"/>
        </w:rPr>
        <w:t xml:space="preserve">State and data lake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96"/>
        <w:gridCol w:w="6830"/>
      </w:tblGrid>
      <w:tr>
        <w:trPr>
          <w:tblHeader/>
        </w:trPr>
        <w:tc>
          <w:tcPr>
            <w:tcW w:type="dxa" w:w="2196"/>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Store</w:t>
            </w:r>
          </w:p>
        </w:tc>
        <w:tc>
          <w:tcPr>
            <w:tcW w:type="dxa" w:w="6830"/>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Holds</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Redis</w:t>
            </w:r>
          </w:p>
        </w:tc>
        <w:tc>
          <w:tcPr>
            <w:tcW w:type="dxa" w:w="683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live job status (pub/sub → SSE), idempotency keys, download locks, rate limits, token denylist</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PostgreSQL + PostGIS</w:t>
            </w:r>
          </w:p>
        </w:tc>
        <w:tc>
          <w:tcPr>
            <w:tcW w:type="dxa" w:w="683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users, refresh tokens, audit log; jobs, tasks, sources (bbox as geometry); layers, results; catalog_granules (EMIT footprints); model registry; outbox; data-quality results</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Bronze</w:t>
            </w:r>
          </w:p>
        </w:tc>
        <w:tc>
          <w:tcPr>
            <w:tcW w:type="dxa" w:w="683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staged EMIT granules (7 in this deployment); every Kafka event as Parquet</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Silver</w:t>
            </w:r>
          </w:p>
        </w:tc>
        <w:tc>
          <w:tcPr>
            <w:tcW w:type="dxa" w:w="683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per-job cubes: raw.zarr, reflectance.zarr, multiband.zarr, cloud mask, Landsat LST</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Gold</w:t>
            </w:r>
          </w:p>
        </w:tc>
        <w:tc>
          <w:tcPr>
            <w:tcW w:type="dxa" w:w="683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map layers (COG + PNG), STAC items, manifests, analytics tables, versioned training data</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Models</w:t>
            </w:r>
          </w:p>
        </w:tc>
        <w:tc>
          <w:tcPr>
            <w:tcW w:type="dxa" w:w="683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models/hydra/&lt;version&gt;/hydra.onnx, agri_lut.npz, model card, verification; active.json</w:t>
            </w:r>
          </w:p>
        </w:tc>
      </w:tr>
    </w:tbl>
    <w:p>
      <w:pPr>
        <w:spacing w:after="120"/>
      </w:pPr>
    </w:p>
    <w:p>
      <w:pPr>
        <w:keepNext/>
        <w:spacing w:before="120" w:after="60"/>
      </w:pPr>
      <w:r>
        <w:rPr>
          <w:b/>
          <w:bCs/>
          <w:color w:val="52514E"/>
          <w:sz w:val="18"/>
          <w:szCs w:val="18"/>
        </w:rPr>
        <w:t xml:space="preserve">Table 8. </w:t>
      </w:r>
      <w:r>
        <w:rPr>
          <w:color w:val="52514E"/>
          <w:sz w:val="18"/>
          <w:szCs w:val="18"/>
        </w:rPr>
        <w:t xml:space="preserve">Batch pipelines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71"/>
        <w:gridCol w:w="5855"/>
      </w:tblGrid>
      <w:tr>
        <w:trPr>
          <w:tblHeader/>
        </w:trPr>
        <w:tc>
          <w:tcPr>
            <w:tcW w:type="dxa" w:w="3171"/>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Dagster asset</w:t>
            </w:r>
          </w:p>
        </w:tc>
        <w:tc>
          <w:tcPr>
            <w:tcW w:type="dxa" w:w="5855"/>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What it does</w:t>
            </w:r>
          </w:p>
        </w:tc>
      </w:tr>
      <w:tr>
        <w:tc>
          <w:tcPr>
            <w:tcW w:type="dxa" w:w="317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imagery_catalog</w:t>
            </w:r>
          </w:p>
        </w:tc>
        <w:tc>
          <w:tcPr>
            <w:tcW w:type="dxa" w:w="585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EMIT footprints (and Landsat) over the region into PostGIS (the coverage map)</w:t>
            </w:r>
          </w:p>
        </w:tc>
      </w:tr>
      <w:tr>
        <w:tc>
          <w:tcPr>
            <w:tcW w:type="dxa" w:w="317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prestaged_granules</w:t>
            </w:r>
          </w:p>
        </w:tc>
        <w:tc>
          <w:tcPr>
            <w:tcW w:type="dxa" w:w="585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downloads the clearest recent EMIT granules into Bronze ahead of demand</w:t>
            </w:r>
          </w:p>
        </w:tc>
      </w:tr>
      <w:tr>
        <w:tc>
          <w:tcPr>
            <w:tcW w:type="dxa" w:w="317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events_compacted, gold_job_facts, gold_layer_stats</w:t>
            </w:r>
          </w:p>
        </w:tc>
        <w:tc>
          <w:tcPr>
            <w:tcW w:type="dxa" w:w="585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Parquet compaction; one row per job; per-layer statistics</w:t>
            </w:r>
          </w:p>
        </w:tc>
      </w:tr>
      <w:tr>
        <w:tc>
          <w:tcPr>
            <w:tcW w:type="dxa" w:w="317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model_agreement_report</w:t>
            </w:r>
          </w:p>
        </w:tc>
        <w:tc>
          <w:tcPr>
            <w:tcW w:type="dxa" w:w="585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HydraNet vs classical over 24 h on one scale (pixel share, 1 − nMAE); fails below the floor</w:t>
            </w:r>
          </w:p>
        </w:tc>
      </w:tr>
      <w:tr>
        <w:tc>
          <w:tcPr>
            <w:tcW w:type="dxa" w:w="317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db_housekeeping, pg_backup</w:t>
            </w:r>
          </w:p>
        </w:tc>
        <w:tc>
          <w:tcPr>
            <w:tcW w:type="dxa" w:w="585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pruning; nightly Postgres backup</w:t>
            </w:r>
          </w:p>
        </w:tc>
      </w:tr>
    </w:tbl>
    <w:p>
      <w:pPr>
        <w:spacing w:after="120"/>
      </w:pPr>
    </w:p>
    <w:p>
      <w:pPr>
        <w:pStyle w:val="Heading1"/>
        <w:pageBreakBefore/>
      </w:pPr>
      <w:r>
        <w:t xml:space="preserve">7. Preprocessing</w:t>
      </w:r>
    </w:p>
    <w:p>
      <w:pPr>
        <w:spacing w:after="120" w:line="276"/>
      </w:pPr>
      <w:r>
        <w:t xml:space="preserve">The EMIT preprocessing is the Dask module by Ananthanarayanan B: chunked, with scene statistics measured once so chunks have no seams. The same deployed code cleans the real EMIT pixels used for training (training/harvest_emit.py), so the network learns exactly the spectra it sees in production.</w:t>
      </w:r>
    </w:p>
    <w:p>
      <w:pPr>
        <w:keepNext/>
        <w:spacing w:before="120" w:after="60"/>
      </w:pPr>
      <w:r>
        <w:rPr>
          <w:b/>
          <w:bCs/>
          <w:color w:val="52514E"/>
          <w:sz w:val="18"/>
          <w:szCs w:val="18"/>
        </w:rPr>
        <w:t xml:space="preserve">Table 9. </w:t>
      </w:r>
      <w:r>
        <w:rPr>
          <w:color w:val="52514E"/>
          <w:sz w:val="18"/>
          <w:szCs w:val="18"/>
        </w:rPr>
        <w:t xml:space="preserve">EMIT preprocessing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59"/>
        <w:gridCol w:w="5367"/>
      </w:tblGrid>
      <w:tr>
        <w:trPr>
          <w:tblHeader/>
        </w:trPr>
        <w:tc>
          <w:tcPr>
            <w:tcW w:type="dxa" w:w="3659"/>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Step</w:t>
            </w:r>
          </w:p>
        </w:tc>
        <w:tc>
          <w:tcPr>
            <w:tcW w:type="dxa" w:w="5367"/>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Why</w:t>
            </w:r>
          </w:p>
        </w:tc>
      </w:tr>
      <w:tr>
        <w:tc>
          <w:tcPr>
            <w:tcW w:type="dxa" w:w="365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Quality gate on raw values</w:t>
            </w:r>
          </w:p>
        </w:tc>
        <w:tc>
          <w:tcPr>
            <w:tcW w:type="dxa" w:w="536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rejects scenes that are mostly no-data</w:t>
            </w:r>
          </w:p>
        </w:tc>
      </w:tr>
      <w:tr>
        <w:tc>
          <w:tcPr>
            <w:tcW w:type="dxa" w:w="365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Fill, NaN, inf → 0; integer reflectance ÷ 10000</w:t>
            </w:r>
          </w:p>
        </w:tc>
        <w:tc>
          <w:tcPr>
            <w:tcW w:type="dxa" w:w="536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auto-detected; EMIT L2A is already 0..1</w:t>
            </w:r>
          </w:p>
        </w:tc>
      </w:tr>
      <w:tr>
        <w:tc>
          <w:tcPr>
            <w:tcW w:type="dxa" w:w="365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Haze removal only for raw radiance</w:t>
            </w:r>
          </w:p>
        </w:tc>
        <w:tc>
          <w:tcPr>
            <w:tcW w:type="dxa" w:w="536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on EMIT surface reflectance it destroys signal, so it is skipped</w:t>
            </w:r>
          </w:p>
        </w:tc>
      </w:tr>
      <w:tr>
        <w:tc>
          <w:tcPr>
            <w:tcW w:type="dxa" w:w="365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Interpolate water-vapour and low-SNR bands</w:t>
            </w:r>
          </w:p>
        </w:tc>
        <w:tc>
          <w:tcPr>
            <w:tcW w:type="dxa" w:w="536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never deleted, so band positions never shift (39 bands on the real scenes)</w:t>
            </w:r>
          </w:p>
        </w:tc>
      </w:tr>
      <w:tr>
        <w:tc>
          <w:tcPr>
            <w:tcW w:type="dxa" w:w="365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Savitzky-Golay smoothing (7, 2), clip to [0, 1] last</w:t>
            </w:r>
          </w:p>
        </w:tc>
        <w:tc>
          <w:tcPr>
            <w:tcW w:type="dxa" w:w="536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keeps absorption depths; smoothing can ring below 0</w:t>
            </w:r>
          </w:p>
        </w:tc>
      </w:tr>
    </w:tbl>
    <w:p>
      <w:pPr>
        <w:spacing w:after="120"/>
      </w:pPr>
    </w:p>
    <w:p>
      <w:pPr>
        <w:spacing w:after="120" w:line="276"/>
      </w:pPr>
      <w:r>
        <w:t xml:space="preserve">Landsat: ST_B10 to °C with the scene's MTL calibration, clouds removed with QA_PIXEL, reprojection to EPSG:4326 (nearest neighbour).</w:t>
      </w:r>
    </w:p>
    <w:p>
      <w:pPr>
        <w:pStyle w:val="Heading1"/>
        <w:pageBreakBefore/>
      </w:pPr>
      <w:r>
        <w:t xml:space="preserve">8. The classical methods (teachers)</w:t>
      </w:r>
    </w:p>
    <w:p>
      <w:pPr>
        <w:spacing w:after="120" w:line="276"/>
      </w:pPr>
      <w:r>
        <w:t xml:space="preserve">These are the "normal ways" of making each map, in libs/hydra/classical, verified against the owners' reference code by parity tests. They also reproduce the owner's real-scene benchmark (dataset_sample.csv) exactly: class, abundances and quality.</w:t>
      </w:r>
    </w:p>
    <w:p>
      <w:pPr>
        <w:keepNext/>
        <w:spacing w:before="120" w:after="60"/>
      </w:pPr>
      <w:r>
        <w:rPr>
          <w:b/>
          <w:bCs/>
          <w:color w:val="52514E"/>
          <w:sz w:val="18"/>
          <w:szCs w:val="18"/>
        </w:rPr>
        <w:t xml:space="preserve">Table 10. </w:t>
      </w:r>
      <w:r>
        <w:rPr>
          <w:color w:val="52514E"/>
          <w:sz w:val="18"/>
          <w:szCs w:val="18"/>
        </w:rPr>
        <w:t xml:space="preserve">Teachers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96"/>
        <w:gridCol w:w="6830"/>
      </w:tblGrid>
      <w:tr>
        <w:trPr>
          <w:tblHeader/>
        </w:trPr>
        <w:tc>
          <w:tcPr>
            <w:tcW w:type="dxa" w:w="2196"/>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Map</w:t>
            </w:r>
          </w:p>
        </w:tc>
        <w:tc>
          <w:tcPr>
            <w:tcW w:type="dxa" w:w="6830"/>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Method and settings</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 class</w:t>
            </w:r>
          </w:p>
        </w:tc>
        <w:tc>
          <w:tcPr>
            <w:tcW w:type="dxa" w:w="683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SAM on continuum-removed spectra (upper convex hull) against 12 USGS minerals on 255 good EMIT bands; best angle &gt; 0.20 rad → unknown</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 abundance</w:t>
            </w:r>
          </w:p>
        </w:tc>
        <w:tc>
          <w:tcPr>
            <w:tcW w:type="dxa" w:w="683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fully constrained least squares (non-negative, sum-to-one row weighted 1,000)</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 quality</w:t>
            </w:r>
          </w:p>
        </w:tc>
        <w:tc>
          <w:tcPr>
            <w:tcW w:type="dxa" w:w="683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min(SAM angle and separation score, 1 − SMA RMSE / 0.10)</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Crop traits</w:t>
            </w:r>
          </w:p>
        </w:tc>
        <w:tc>
          <w:tcPr>
            <w:tcW w:type="dxa" w:w="683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PROSAIL (PROSPECT-5 + 4SAIL): N 1.5, hotspot 0.1, sun 30°, view 0°, psoil 0.5, rsoil 1.0, spherical leaves; 100,000-entry LUT, inverse-distance mean of k = 20 nearest; vegetated pixels (NDVI ≥ 0.25)</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Thermal</w:t>
            </w:r>
          </w:p>
        </w:tc>
        <w:tc>
          <w:tcPr>
            <w:tcW w:type="dxa" w:w="683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scene z &lt; −2 / &gt; +2; 11×11 local z &gt; 2; urban above p80, rural below p20; hotspots above p95 in regions ≥ 10 px</w:t>
            </w:r>
          </w:p>
        </w:tc>
      </w:tr>
    </w:tbl>
    <w:p>
      <w:pPr>
        <w:spacing w:after="120"/>
      </w:pPr>
    </w:p>
    <w:p>
      <w:pPr>
        <w:pStyle w:val="Heading1"/>
        <w:pageBreakBefore/>
      </w:pPr>
      <w:r>
        <w:t xml:space="preserve">9. HydraNet v1: the three-in-one network</w:t>
      </w:r>
    </w:p>
    <w:p>
      <w:pPr>
        <w:keepNext/>
        <w:spacing w:before="120" w:after="40"/>
        <w:jc w:val="center"/>
      </w:pPr>
      <w:r>
        <w:drawing>
          <wp:inline distT="0" distB="0" distL="0" distR="0">
            <wp:extent cx="5762625" cy="2790825"/>
            <wp:effectExtent t="0" r="0" b="0" l="0"/>
            <wp:docPr id="1" name="fig_hydranet.png" descr="HydraNet: three input stems, a shared trunk with a task embedding, and task heads." title="HydraNet: three input stems, a shared trunk with a task embedding, and task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790825"/>
                    </a:xfrm>
                    <a:prstGeom prst="rect">
                      <a:avLst/>
                    </a:prstGeom>
                  </pic:spPr>
                </pic:pic>
              </a:graphicData>
            </a:graphic>
          </wp:inline>
        </w:drawing>
      </w:r>
    </w:p>
    <w:p>
      <w:pPr>
        <w:spacing w:after="200"/>
        <w:jc w:val="center"/>
      </w:pPr>
      <w:r>
        <w:rPr>
          <w:b/>
          <w:bCs/>
          <w:color w:val="52514E"/>
          <w:sz w:val="18"/>
          <w:szCs w:val="18"/>
        </w:rPr>
        <w:t xml:space="preserve">Figure 3. </w:t>
      </w:r>
      <w:r>
        <w:rPr>
          <w:color w:val="52514E"/>
          <w:sz w:val="18"/>
          <w:szCs w:val="18"/>
        </w:rPr>
        <w:t xml:space="preserve">HydraNet: three input stems, a shared trunk with a task embedding, and task heads.</w:t>
      </w:r>
    </w:p>
    <w:p>
      <w:pPr>
        <w:keepNext/>
        <w:spacing w:before="120" w:after="60"/>
      </w:pPr>
      <w:r>
        <w:rPr>
          <w:b/>
          <w:bCs/>
          <w:color w:val="52514E"/>
          <w:sz w:val="18"/>
          <w:szCs w:val="18"/>
        </w:rPr>
        <w:t xml:space="preserve">Table 11. </w:t>
      </w:r>
      <w:r>
        <w:rPr>
          <w:color w:val="52514E"/>
          <w:sz w:val="18"/>
          <w:szCs w:val="18"/>
        </w:rPr>
        <w:t xml:space="preserve">Inputs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842"/>
        <w:gridCol w:w="6740"/>
      </w:tblGrid>
      <w:tr>
        <w:trPr>
          <w:tblHeader/>
        </w:trPr>
        <w:tc>
          <w:tcPr>
            <w:tcW w:type="dxa" w:w="1444"/>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Input</w:t>
            </w:r>
          </w:p>
        </w:tc>
        <w:tc>
          <w:tcPr>
            <w:tcW w:type="dxa" w:w="842"/>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Size</w:t>
            </w:r>
          </w:p>
        </w:tc>
        <w:tc>
          <w:tcPr>
            <w:tcW w:type="dxa" w:w="6740"/>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Features (identical to the MINERAL CSV columns 0–529)</w:t>
            </w:r>
          </w:p>
        </w:tc>
      </w:tr>
      <w:tr>
        <w:tc>
          <w:tcPr>
            <w:tcW w:type="dxa" w:w="144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x_agri</w:t>
            </w:r>
          </w:p>
        </w:tc>
        <w:tc>
          <w:tcPr>
            <w:tcW w:type="dxa" w:w="84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22</w:t>
            </w:r>
          </w:p>
        </w:tc>
        <w:tc>
          <w:tcPr>
            <w:tcW w:type="dxa" w:w="674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reflectance at the 22 PROSAIL wavelengths, interpolated from EMIT</w:t>
            </w:r>
          </w:p>
        </w:tc>
      </w:tr>
      <w:tr>
        <w:tc>
          <w:tcPr>
            <w:tcW w:type="dxa" w:w="144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x_mineral</w:t>
            </w:r>
          </w:p>
        </w:tc>
        <w:tc>
          <w:tcPr>
            <w:tcW w:type="dxa" w:w="84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530</w:t>
            </w:r>
          </w:p>
        </w:tc>
        <w:tc>
          <w:tcPr>
            <w:tcW w:type="dxa" w:w="674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255 continuum-removed + </w:t>
            </w:r>
            <w:r>
              <w:rPr>
                <w:sz w:val="18"/>
                <w:szCs w:val="18"/>
              </w:rPr>
              <w:t xml:space="preserve">255 raw reflectance</w:t>
            </w:r>
            <w:r>
              <w:rPr>
                <w:sz w:val="18"/>
                <w:szCs w:val="18"/>
              </w:rPr>
              <w:t xml:space="preserve"> + 7 absorption depths + 12 SAM angles + brightness</w:t>
            </w:r>
          </w:p>
        </w:tc>
      </w:tr>
      <w:tr>
        <w:tc>
          <w:tcPr>
            <w:tcW w:type="dxa" w:w="144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x_thermal</w:t>
            </w:r>
          </w:p>
        </w:tc>
        <w:tc>
          <w:tcPr>
            <w:tcW w:type="dxa" w:w="84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10</w:t>
            </w:r>
          </w:p>
        </w:tc>
        <w:tc>
          <w:tcPr>
            <w:tcW w:type="dxa" w:w="674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global z, distances to p95/p80/p20, local 11×11 z, 3×3 statistics, normalised LST, scene std</w:t>
            </w:r>
          </w:p>
        </w:tc>
      </w:tr>
    </w:tbl>
    <w:p>
      <w:pPr>
        <w:spacing w:after="120"/>
      </w:pPr>
    </w:p>
    <w:p>
      <w:pPr>
        <w:keepNext/>
        <w:spacing w:before="120" w:after="60"/>
      </w:pPr>
      <w:r>
        <w:rPr>
          <w:b/>
          <w:bCs/>
          <w:color w:val="52514E"/>
          <w:sz w:val="18"/>
          <w:szCs w:val="18"/>
        </w:rPr>
        <w:t xml:space="preserve">Table 12. </w:t>
      </w:r>
      <w:r>
        <w:rPr>
          <w:color w:val="52514E"/>
          <w:sz w:val="18"/>
          <w:szCs w:val="18"/>
        </w:rPr>
        <w:t xml:space="preserve">Layers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96"/>
        <w:gridCol w:w="6830"/>
      </w:tblGrid>
      <w:tr>
        <w:trPr>
          <w:tblHeader/>
        </w:trPr>
        <w:tc>
          <w:tcPr>
            <w:tcW w:type="dxa" w:w="2196"/>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Part</w:t>
            </w:r>
          </w:p>
        </w:tc>
        <w:tc>
          <w:tcPr>
            <w:tcW w:type="dxa" w:w="6830"/>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Layers</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 stem (MLP)</w:t>
            </w:r>
          </w:p>
        </w:tc>
        <w:tc>
          <w:tcPr>
            <w:tcW w:type="dxa" w:w="683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spectra (CR + raw, 510) → 128 → 96; scalars (20) + SAM decision structure (26) → 64; concat → 128</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Agriculture / thermal stems</w:t>
            </w:r>
          </w:p>
        </w:tc>
        <w:tc>
          <w:tcPr>
            <w:tcW w:type="dxa" w:w="683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MLP 22 → 256 → 128 / MLP 10 → 128 → 128</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Shared trunk</w:t>
            </w:r>
          </w:p>
        </w:tc>
        <w:tc>
          <w:tcPr>
            <w:tcW w:type="dxa" w:w="683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task embedding; 2 × residual block (LayerNorm, 128 → 256 → 128, GELU, dropout 0.05); LayerNorm</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Heads</w:t>
            </w:r>
          </w:p>
        </w:tc>
        <w:tc>
          <w:tcPr>
            <w:tcW w:type="dxa" w:w="683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agriculture 6 traits + uncertainty; mineral class (13, with SAM skip), abundance (12, softmax), quality; thermal 3 + 3 + 2</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Size</w:t>
            </w:r>
          </w:p>
        </w:tc>
        <w:tc>
          <w:tcPr>
            <w:tcW w:type="dxa" w:w="683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502,030 parameters, 2.06 MB ONNX; ONNX matches PyTorch within 1.1e-4</w:t>
            </w:r>
          </w:p>
        </w:tc>
      </w:tr>
    </w:tbl>
    <w:p>
      <w:pPr>
        <w:spacing w:after="120"/>
      </w:pPr>
    </w:p>
    <w:p>
      <w:pPr>
        <w:pBdr>
          <w:left w:val="single" w:color="2A78D6" w:sz="18" w:space="8"/>
        </w:pBdr>
        <w:spacing w:before="60" w:after="160"/>
        <w:ind w:left="200"/>
      </w:pPr>
      <w:r>
        <w:rPr>
          <w:b/>
          <w:bCs/>
        </w:rPr>
        <w:t xml:space="preserve">Safety lock:</w:t>
      </w:r>
      <w:r>
        <w:t xml:space="preserve"> the feature specification (bands, thresholds, library checksum, PROSAIL settings, feature layout) is hashed (be8eb2b9cf99ce42) into the ONNX metadata; the runtime refuses a model built for a different specification. During the switch from the prototype the running services refused the new model and kept serving the old one until the new images were rolled out: no downtime, and old code never ran a new model.</w:t>
      </w:r>
    </w:p>
    <w:p>
      <w:pPr>
        <w:keepNext/>
        <w:spacing w:before="120" w:after="40"/>
        <w:jc w:val="center"/>
      </w:pPr>
      <w:r>
        <w:drawing>
          <wp:inline distT="0" distB="0" distL="0" distR="0">
            <wp:extent cx="4752975" cy="1352550"/>
            <wp:effectExtent t="0" r="0" b="0" l="0"/>
            <wp:docPr id="1" name="chart_params.png" descr="Trainable parameters: the first CNN prototype, the MLP prototype, and the deployed MLP." title="Trainable parameters: the first CNN prototype, the MLP prototype, and the deployed ML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1352550"/>
                    </a:xfrm>
                    <a:prstGeom prst="rect">
                      <a:avLst/>
                    </a:prstGeom>
                  </pic:spPr>
                </pic:pic>
              </a:graphicData>
            </a:graphic>
          </wp:inline>
        </w:drawing>
      </w:r>
    </w:p>
    <w:p>
      <w:pPr>
        <w:spacing w:after="200"/>
        <w:jc w:val="center"/>
      </w:pPr>
      <w:r>
        <w:rPr>
          <w:b/>
          <w:bCs/>
          <w:color w:val="52514E"/>
          <w:sz w:val="18"/>
          <w:szCs w:val="18"/>
        </w:rPr>
        <w:t xml:space="preserve">Figure 4. </w:t>
      </w:r>
      <w:r>
        <w:rPr>
          <w:color w:val="52514E"/>
          <w:sz w:val="18"/>
          <w:szCs w:val="18"/>
        </w:rPr>
        <w:t xml:space="preserve">Trainable parameters: the first CNN prototype, the MLP prototype, and the deployed MLP.</w:t>
      </w:r>
    </w:p>
    <w:p>
      <w:pPr>
        <w:pStyle w:val="Heading1"/>
        <w:pageBreakBefore/>
      </w:pPr>
      <w:r>
        <w:t xml:space="preserve">10. Training data and training</w:t>
      </w:r>
    </w:p>
    <w:p>
      <w:pPr>
        <w:keepNext/>
        <w:spacing w:before="120" w:after="40"/>
        <w:jc w:val="center"/>
      </w:pPr>
      <w:r>
        <w:drawing>
          <wp:inline distT="0" distB="0" distL="0" distR="0">
            <wp:extent cx="5762625" cy="1924050"/>
            <wp:effectExtent t="0" r="0" b="0" l="0"/>
            <wp:docPr id="1" name="fig_training_flow.png" descr="Data flow: USGS library and real EMIT scenes, all labelled by the classical teachers." title="Data flow: USGS library and real EMIT scenes, all labelled by the classical teach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24050"/>
                    </a:xfrm>
                    <a:prstGeom prst="rect">
                      <a:avLst/>
                    </a:prstGeom>
                  </pic:spPr>
                </pic:pic>
              </a:graphicData>
            </a:graphic>
          </wp:inline>
        </w:drawing>
      </w:r>
    </w:p>
    <w:p>
      <w:pPr>
        <w:spacing w:after="200"/>
        <w:jc w:val="center"/>
      </w:pPr>
      <w:r>
        <w:rPr>
          <w:b/>
          <w:bCs/>
          <w:color w:val="52514E"/>
          <w:sz w:val="18"/>
          <w:szCs w:val="18"/>
        </w:rPr>
        <w:t xml:space="preserve">Figure 5. </w:t>
      </w:r>
      <w:r>
        <w:rPr>
          <w:color w:val="52514E"/>
          <w:sz w:val="18"/>
          <w:szCs w:val="18"/>
        </w:rPr>
        <w:t xml:space="preserve">Data flow: USGS library and real EMIT scenes, all labelled by the classical teachers.</w:t>
      </w:r>
    </w:p>
    <w:p>
      <w:pPr>
        <w:pStyle w:val="Heading2"/>
      </w:pPr>
      <w:r>
        <w:t xml:space="preserve">10.1 Why the mineral dataset was rebuilt</w:t>
      </w:r>
    </w:p>
    <w:p>
      <w:pPr>
        <w:spacing w:after="120" w:line="276"/>
      </w:pPr>
      <w:r>
        <w:t xml:space="preserve">The prototype matched SAM/SMA on synthetic data but not on real EMIT (abundance error 0.078, quality error up to 0.28 on real jobs). Controlled trials on the owner's real scene showed the cause was the </w:t>
      </w:r>
      <w:r>
        <w:rPr>
          <w:b/>
          <w:bCs/>
        </w:rPr>
        <w:t xml:space="preserve">dataset first, then the inputs</w:t>
      </w:r>
      <w:r>
        <w:t xml:space="preserve">, not the training (the prototype fitted its own data to 0.004):</w:t>
      </w:r>
    </w:p>
    <w:p>
      <w:pPr>
        <w:keepNext/>
        <w:spacing w:before="120" w:after="40"/>
        <w:jc w:val="center"/>
      </w:pPr>
      <w:r>
        <w:drawing>
          <wp:inline distT="0" distB="0" distL="0" distR="0">
            <wp:extent cx="5124450" cy="1447800"/>
            <wp:effectExtent t="0" r="0" b="0" l="0"/>
            <wp:docPr id="1" name="chart_ablation.png" descr="Abundance error on the owner's real scene: the prototype, new data with the old inputs, new data with raw reflectance." title="Abundance error on the owner's real scene: the prototype, new data with the old inputs, new data with raw reflec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1447800"/>
                    </a:xfrm>
                    <a:prstGeom prst="rect">
                      <a:avLst/>
                    </a:prstGeom>
                  </pic:spPr>
                </pic:pic>
              </a:graphicData>
            </a:graphic>
          </wp:inline>
        </w:drawing>
      </w:r>
    </w:p>
    <w:p>
      <w:pPr>
        <w:spacing w:after="200"/>
        <w:jc w:val="center"/>
      </w:pPr>
      <w:r>
        <w:rPr>
          <w:b/>
          <w:bCs/>
          <w:color w:val="52514E"/>
          <w:sz w:val="18"/>
          <w:szCs w:val="18"/>
        </w:rPr>
        <w:t xml:space="preserve">Figure 6. </w:t>
      </w:r>
      <w:r>
        <w:rPr>
          <w:color w:val="52514E"/>
          <w:sz w:val="18"/>
          <w:szCs w:val="18"/>
        </w:rPr>
        <w:t xml:space="preserve">Abundance error on the owner's real scene: the prototype, new data with the old inputs, new data with raw reflectance.</w:t>
      </w:r>
    </w:p>
    <w:p>
      <w:pPr>
        <w:keepNext/>
        <w:spacing w:before="120" w:after="60"/>
      </w:pPr>
      <w:r>
        <w:rPr>
          <w:b/>
          <w:bCs/>
          <w:color w:val="52514E"/>
          <w:sz w:val="18"/>
          <w:szCs w:val="18"/>
        </w:rPr>
        <w:t xml:space="preserve">Table 13. </w:t>
      </w:r>
      <w:r>
        <w:rPr>
          <w:color w:val="52514E"/>
          <w:sz w:val="18"/>
          <w:szCs w:val="18"/>
        </w:rPr>
        <w:t xml:space="preserve">Dataset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59"/>
        <w:gridCol w:w="5367"/>
      </w:tblGrid>
      <w:tr>
        <w:trPr>
          <w:tblHeader/>
        </w:trPr>
        <w:tc>
          <w:tcPr>
            <w:tcW w:type="dxa" w:w="3659"/>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Change</w:t>
            </w:r>
          </w:p>
        </w:tc>
        <w:tc>
          <w:tcPr>
            <w:tcW w:type="dxa" w:w="5367"/>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Reason</w:t>
            </w:r>
          </w:p>
        </w:tc>
      </w:tr>
      <w:tr>
        <w:tc>
          <w:tcPr>
            <w:tcW w:type="dxa" w:w="365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Dry vegetation (35 % of mixtures, 5–35 % cover) and soil moisture (30 %)</w:t>
            </w:r>
          </w:p>
        </w:tc>
        <w:tc>
          <w:tcPr>
            <w:tcW w:type="dxa" w:w="536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real pixels contain both; without them the network confuses them with mineral absorptions (MINERAL dataset specification §5)</w:t>
            </w:r>
          </w:p>
        </w:tc>
      </w:tr>
      <w:tr>
        <w:tc>
          <w:tcPr>
            <w:tcW w:type="dxa" w:w="365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Raw reflectance as input (530 features)</w:t>
            </w:r>
          </w:p>
        </w:tc>
        <w:tc>
          <w:tcPr>
            <w:tcW w:type="dxa" w:w="536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continuum removal discards the albedo and slope that SMA abundances and fit quality depend on</w:t>
            </w:r>
          </w:p>
        </w:tc>
      </w:tr>
      <w:tr>
        <w:tc>
          <w:tcPr>
            <w:tcW w:type="dxa" w:w="365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Real EMIT pixels from 5 scenes, cleaned by the production preprocessing</w:t>
            </w:r>
          </w:p>
        </w:tc>
        <w:tc>
          <w:tcPr>
            <w:tcW w:type="dxa" w:w="536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removes the synthetic-to-real gap; the network learns production spectra</w:t>
            </w:r>
          </w:p>
        </w:tc>
      </w:tr>
      <w:tr>
        <w:tc>
          <w:tcPr>
            <w:tcW w:type="dxa" w:w="365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Every label from the classical teacher</w:t>
            </w:r>
          </w:p>
        </w:tc>
        <w:tc>
          <w:tcPr>
            <w:tcW w:type="dxa" w:w="536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the updated training_sample.csv carries the simulation's mixing fractions and an SMA-only quality, while the benchmark and production use SAM + SMA + combined quality; its spectra are used, relabelled</w:t>
            </w:r>
          </w:p>
        </w:tc>
      </w:tr>
      <w:tr>
        <w:tc>
          <w:tcPr>
            <w:tcW w:type="dxa" w:w="365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 whole scene held out (Death Valley)</w:t>
            </w:r>
          </w:p>
        </w:tc>
        <w:tc>
          <w:tcPr>
            <w:tcW w:type="dxa" w:w="536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an honest test on a scene the network never saw</w:t>
            </w:r>
          </w:p>
        </w:tc>
      </w:tr>
    </w:tbl>
    <w:p>
      <w:pPr>
        <w:spacing w:after="120"/>
      </w:pPr>
    </w:p>
    <w:p>
      <w:pPr>
        <w:keepNext/>
        <w:spacing w:before="120" w:after="60"/>
      </w:pPr>
      <w:r>
        <w:rPr>
          <w:b/>
          <w:bCs/>
          <w:color w:val="52514E"/>
          <w:sz w:val="18"/>
          <w:szCs w:val="18"/>
        </w:rPr>
        <w:t xml:space="preserve">Table 14. </w:t>
      </w:r>
      <w:r>
        <w:rPr>
          <w:color w:val="52514E"/>
          <w:sz w:val="18"/>
          <w:szCs w:val="18"/>
        </w:rPr>
        <w:t xml:space="preserve">Training data (all labels from the classical teachers)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685"/>
        <w:gridCol w:w="5175"/>
      </w:tblGrid>
      <w:tr>
        <w:trPr>
          <w:tblHeader/>
        </w:trPr>
        <w:tc>
          <w:tcPr>
            <w:tcW w:type="dxa" w:w="2166"/>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Set</w:t>
            </w:r>
          </w:p>
        </w:tc>
        <w:tc>
          <w:tcPr>
            <w:tcW w:type="dxa" w:w="1685"/>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Size</w:t>
            </w:r>
          </w:p>
        </w:tc>
        <w:tc>
          <w:tcPr>
            <w:tcW w:type="dxa" w:w="5175"/>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Content</w:t>
            </w:r>
          </w:p>
        </w:tc>
      </w:tr>
      <w:tr>
        <w:tc>
          <w:tcPr>
            <w:tcW w:type="dxa" w:w="216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mineral_train / val</w:t>
            </w:r>
          </w:p>
        </w:tc>
        <w:tc>
          <w:tcPr>
            <w:tcW w:type="dxa" w:w="168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464,076</w:t>
            </w:r>
          </w:p>
        </w:tc>
        <w:tc>
          <w:tcPr>
            <w:tcW w:type="dxa" w:w="517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owner's USGS mixtures 62,400; USGS coverage, near-tie and nuisance mixtures 200,000; owner's sample spectra 2,000; real EMIT 199,676</w:t>
            </w:r>
          </w:p>
        </w:tc>
      </w:tr>
      <w:tr>
        <w:tc>
          <w:tcPr>
            <w:tcW w:type="dxa" w:w="216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mineral_real</w:t>
            </w:r>
          </w:p>
        </w:tc>
        <w:tc>
          <w:tcPr>
            <w:tcW w:type="dxa" w:w="168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2,000</w:t>
            </w:r>
          </w:p>
        </w:tc>
        <w:tc>
          <w:tcPr>
            <w:tcW w:type="dxa" w:w="517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the owner's real scene (dataset_sample.csv), evaluation only</w:t>
            </w:r>
          </w:p>
        </w:tc>
      </w:tr>
      <w:tr>
        <w:tc>
          <w:tcPr>
            <w:tcW w:type="dxa" w:w="216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mineral_real_holdout</w:t>
            </w:r>
          </w:p>
        </w:tc>
        <w:tc>
          <w:tcPr>
            <w:tcW w:type="dxa" w:w="168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38,651</w:t>
            </w:r>
          </w:p>
        </w:tc>
        <w:tc>
          <w:tcPr>
            <w:tcW w:type="dxa" w:w="517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Death Valley 2023-10-15, a scene never trained on</w:t>
            </w:r>
          </w:p>
        </w:tc>
      </w:tr>
      <w:tr>
        <w:tc>
          <w:tcPr>
            <w:tcW w:type="dxa" w:w="216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agri_lut / agri_train / agri_csv</w:t>
            </w:r>
          </w:p>
        </w:tc>
        <w:tc>
          <w:tcPr>
            <w:tcW w:type="dxa" w:w="168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100,000 / 200,000 / 10,000</w:t>
            </w:r>
          </w:p>
        </w:tc>
        <w:tc>
          <w:tcPr>
            <w:tcW w:type="dxa" w:w="517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PROSAIL LUT; PROSAIL spectra with soil, geometry and noise variation; the CSV rows</w:t>
            </w:r>
          </w:p>
        </w:tc>
      </w:tr>
      <w:tr>
        <w:tc>
          <w:tcPr>
            <w:tcW w:type="dxa" w:w="216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thermal_train / val</w:t>
            </w:r>
          </w:p>
        </w:tc>
        <w:tc>
          <w:tcPr>
            <w:tcW w:type="dxa" w:w="168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1,445,055 pixels</w:t>
            </w:r>
          </w:p>
        </w:tc>
        <w:tc>
          <w:tcPr>
            <w:tcW w:type="dxa" w:w="517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400 synthetic LST scenes</w:t>
            </w:r>
          </w:p>
        </w:tc>
      </w:tr>
    </w:tbl>
    <w:p>
      <w:pPr>
        <w:spacing w:after="120"/>
      </w:pPr>
    </w:p>
    <w:p>
      <w:pPr>
        <w:spacing w:after="120" w:line="276"/>
      </w:pPr>
      <w:r>
        <w:t xml:space="preserve">Real training scenes: EMIT_L2A_RFL_002_20230822T192555, EMIT_L2A_RFL_002_20230826T175048, EMIT_L2A_RFL_002_20230927T214607, EMIT_L2A_RFL_002_20231005T183438, EMIT_L2A_RFL_002_20231015T215209 (Fresno farmland, Mojave, Owens Lake, Searles Lake, Mountain Pass); held out: EMIT_L2A_RFL_002_20231015T215146.</w:t>
      </w:r>
    </w:p>
    <w:p>
      <w:pPr>
        <w:keepNext/>
        <w:spacing w:before="120" w:after="40"/>
        <w:jc w:val="center"/>
      </w:pPr>
      <w:r>
        <w:drawing>
          <wp:inline distT="0" distB="0" distL="0" distR="0">
            <wp:extent cx="5124450" cy="1238250"/>
            <wp:effectExtent t="0" r="0" b="0" l="0"/>
            <wp:docPr id="1" name="chart_sources.png" descr="Mineral training samples by source." title="Mineral training samples by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1238250"/>
                    </a:xfrm>
                    <a:prstGeom prst="rect">
                      <a:avLst/>
                    </a:prstGeom>
                  </pic:spPr>
                </pic:pic>
              </a:graphicData>
            </a:graphic>
          </wp:inline>
        </w:drawing>
      </w:r>
    </w:p>
    <w:p>
      <w:pPr>
        <w:spacing w:after="200"/>
        <w:jc w:val="center"/>
      </w:pPr>
      <w:r>
        <w:rPr>
          <w:b/>
          <w:bCs/>
          <w:color w:val="52514E"/>
          <w:sz w:val="18"/>
          <w:szCs w:val="18"/>
        </w:rPr>
        <w:t xml:space="preserve">Figure 7. </w:t>
      </w:r>
      <w:r>
        <w:rPr>
          <w:color w:val="52514E"/>
          <w:sz w:val="18"/>
          <w:szCs w:val="18"/>
        </w:rPr>
        <w:t xml:space="preserve">Mineral training samples by source.</w:t>
      </w:r>
    </w:p>
    <w:p>
      <w:pPr>
        <w:keepNext/>
        <w:spacing w:before="120" w:after="60"/>
      </w:pPr>
      <w:r>
        <w:rPr>
          <w:b/>
          <w:bCs/>
          <w:color w:val="52514E"/>
          <w:sz w:val="18"/>
          <w:szCs w:val="18"/>
        </w:rPr>
        <w:t xml:space="preserve">Table 15. </w:t>
      </w:r>
      <w:r>
        <w:rPr>
          <w:color w:val="52514E"/>
          <w:sz w:val="18"/>
          <w:szCs w:val="18"/>
        </w:rPr>
        <w:t xml:space="preserve">Training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9"/>
        <w:gridCol w:w="6587"/>
      </w:tblGrid>
      <w:tr>
        <w:trPr>
          <w:tblHeader/>
        </w:trPr>
        <w:tc>
          <w:tcPr>
            <w:tcW w:type="dxa" w:w="2439"/>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Setting</w:t>
            </w:r>
          </w:p>
        </w:tc>
        <w:tc>
          <w:tcPr>
            <w:tcW w:type="dxa" w:w="6587"/>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Value</w:t>
            </w:r>
          </w:p>
        </w:tc>
      </w:tr>
      <w:tr>
        <w:tc>
          <w:tcPr>
            <w:tcW w:type="dxa" w:w="243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Optimiser / schedule</w:t>
            </w:r>
          </w:p>
        </w:tc>
        <w:tc>
          <w:tcPr>
            <w:tcW w:type="dxa" w:w="658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AdamW (weight decay 1e-4), learning rate 0.002, one-cycle; 30,000 steps, batch 512 per task; seed 1</w:t>
            </w:r>
          </w:p>
        </w:tc>
      </w:tr>
      <w:tr>
        <w:tc>
          <w:tcPr>
            <w:tcW w:type="dxa" w:w="243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Losses</w:t>
            </w:r>
          </w:p>
        </w:tc>
        <w:tc>
          <w:tcPr>
            <w:tcW w:type="dxa" w:w="658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agriculture MSE + 0.25 × uncertainty; mineral cross-entropy + 20 × abundance MSE + 10 × quality MSE; thermal cross-entropies; learned task-uncertainty weights</w:t>
            </w:r>
          </w:p>
        </w:tc>
      </w:tr>
      <w:tr>
        <w:tc>
          <w:tcPr>
            <w:tcW w:type="dxa" w:w="243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Checkpoint</w:t>
            </w:r>
          </w:p>
        </w:tc>
        <w:tc>
          <w:tcPr>
            <w:tcW w:type="dxa" w:w="658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best validation score; the real test scenes never influence training or selection</w:t>
            </w:r>
          </w:p>
        </w:tc>
      </w:tr>
    </w:tbl>
    <w:p>
      <w:pPr>
        <w:spacing w:after="120"/>
      </w:pPr>
    </w:p>
    <w:p>
      <w:pPr>
        <w:keepNext/>
        <w:spacing w:before="120" w:after="40"/>
        <w:jc w:val="center"/>
      </w:pPr>
      <w:r>
        <w:drawing>
          <wp:inline distT="0" distB="0" distL="0" distR="0">
            <wp:extent cx="5124450" cy="2324100"/>
            <wp:effectExtent t="0" r="0" b="0" l="0"/>
            <wp:docPr id="1" name="chart_training.png" descr="Validation loss per task during training." title="Validation loss per task during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324100"/>
                    </a:xfrm>
                    <a:prstGeom prst="rect">
                      <a:avLst/>
                    </a:prstGeom>
                  </pic:spPr>
                </pic:pic>
              </a:graphicData>
            </a:graphic>
          </wp:inline>
        </w:drawing>
      </w:r>
    </w:p>
    <w:p>
      <w:pPr>
        <w:spacing w:after="200"/>
        <w:jc w:val="center"/>
      </w:pPr>
      <w:r>
        <w:rPr>
          <w:b/>
          <w:bCs/>
          <w:color w:val="52514E"/>
          <w:sz w:val="18"/>
          <w:szCs w:val="18"/>
        </w:rPr>
        <w:t xml:space="preserve">Figure 8. </w:t>
      </w:r>
      <w:r>
        <w:rPr>
          <w:color w:val="52514E"/>
          <w:sz w:val="18"/>
          <w:szCs w:val="18"/>
        </w:rPr>
        <w:t xml:space="preserve">Validation loss per task during training.</w:t>
      </w:r>
    </w:p>
    <w:p>
      <w:pPr>
        <w:pStyle w:val="Heading1"/>
        <w:pageBreakBefore/>
      </w:pPr>
      <w:r>
        <w:t xml:space="preserve">11. Results</w:t>
      </w:r>
    </w:p>
    <w:p>
      <w:pPr>
        <w:pStyle w:val="Heading2"/>
      </w:pPr>
      <w:r>
        <w:t xml:space="preserve">11.1 Release gates</w:t>
      </w:r>
    </w:p>
    <w:p>
      <w:pPr>
        <w:keepNext/>
        <w:spacing w:before="120" w:after="60"/>
      </w:pPr>
      <w:r>
        <w:rPr>
          <w:b/>
          <w:bCs/>
          <w:color w:val="52514E"/>
          <w:sz w:val="18"/>
          <w:szCs w:val="18"/>
        </w:rPr>
        <w:t xml:space="preserve">Table 16. </w:t>
      </w:r>
      <w:r>
        <w:rPr>
          <w:color w:val="52514E"/>
          <w:sz w:val="18"/>
          <w:szCs w:val="18"/>
        </w:rPr>
        <w:t xml:space="preserve">Gates checked on the ONNX outputs (all 15 pass)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50"/>
        <w:gridCol w:w="1641"/>
        <w:gridCol w:w="1504"/>
        <w:gridCol w:w="1231"/>
      </w:tblGrid>
      <w:tr>
        <w:trPr>
          <w:tblHeader/>
        </w:trPr>
        <w:tc>
          <w:tcPr>
            <w:tcW w:type="dxa" w:w="4650"/>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Gate</w:t>
            </w:r>
          </w:p>
        </w:tc>
        <w:tc>
          <w:tcPr>
            <w:tcW w:type="dxa" w:w="1641"/>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Value</w:t>
            </w:r>
          </w:p>
        </w:tc>
        <w:tc>
          <w:tcPr>
            <w:tcW w:type="dxa" w:w="1504"/>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Threshold</w:t>
            </w:r>
          </w:p>
        </w:tc>
        <w:tc>
          <w:tcPr>
            <w:tcW w:type="dxa" w:w="1231"/>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Result</w:t>
            </w:r>
          </w:p>
        </w:tc>
      </w:tr>
      <w:tr>
        <w:tc>
          <w:tcPr>
            <w:tcW w:type="dxa" w:w="46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mineral_val.class_agreement</w:t>
            </w:r>
          </w:p>
        </w:tc>
        <w:tc>
          <w:tcPr>
            <w:tcW w:type="dxa" w:w="1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0.99961</w:t>
            </w:r>
          </w:p>
        </w:tc>
        <w:tc>
          <w:tcPr>
            <w:tcW w:type="dxa" w:w="150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0.98</w:t>
            </w:r>
          </w:p>
        </w:tc>
        <w:tc>
          <w:tcPr>
            <w:tcW w:type="dxa" w:w="123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w:t>
            </w:r>
          </w:p>
        </w:tc>
      </w:tr>
      <w:tr>
        <w:tc>
          <w:tcPr>
            <w:tcW w:type="dxa" w:w="46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mineral_val.abundance_mae</w:t>
            </w:r>
          </w:p>
        </w:tc>
        <w:tc>
          <w:tcPr>
            <w:tcW w:type="dxa" w:w="1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0.00207</w:t>
            </w:r>
          </w:p>
        </w:tc>
        <w:tc>
          <w:tcPr>
            <w:tcW w:type="dxa" w:w="150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0.03</w:t>
            </w:r>
          </w:p>
        </w:tc>
        <w:tc>
          <w:tcPr>
            <w:tcW w:type="dxa" w:w="123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w:t>
            </w:r>
          </w:p>
        </w:tc>
      </w:tr>
      <w:tr>
        <w:tc>
          <w:tcPr>
            <w:tcW w:type="dxa" w:w="46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mineral_val.quality_mae</w:t>
            </w:r>
          </w:p>
        </w:tc>
        <w:tc>
          <w:tcPr>
            <w:tcW w:type="dxa" w:w="1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0.00261</w:t>
            </w:r>
          </w:p>
        </w:tc>
        <w:tc>
          <w:tcPr>
            <w:tcW w:type="dxa" w:w="150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0.03</w:t>
            </w:r>
          </w:p>
        </w:tc>
        <w:tc>
          <w:tcPr>
            <w:tcW w:type="dxa" w:w="123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w:t>
            </w:r>
          </w:p>
        </w:tc>
      </w:tr>
      <w:tr>
        <w:tc>
          <w:tcPr>
            <w:tcW w:type="dxa" w:w="46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mineral_real.class_agreement</w:t>
            </w:r>
          </w:p>
        </w:tc>
        <w:tc>
          <w:tcPr>
            <w:tcW w:type="dxa" w:w="1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1.00000</w:t>
            </w:r>
          </w:p>
        </w:tc>
        <w:tc>
          <w:tcPr>
            <w:tcW w:type="dxa" w:w="150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0.97</w:t>
            </w:r>
          </w:p>
        </w:tc>
        <w:tc>
          <w:tcPr>
            <w:tcW w:type="dxa" w:w="123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w:t>
            </w:r>
          </w:p>
        </w:tc>
      </w:tr>
      <w:tr>
        <w:tc>
          <w:tcPr>
            <w:tcW w:type="dxa" w:w="46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mineral_real.abundance_mae</w:t>
            </w:r>
          </w:p>
        </w:tc>
        <w:tc>
          <w:tcPr>
            <w:tcW w:type="dxa" w:w="1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0.00292</w:t>
            </w:r>
          </w:p>
        </w:tc>
        <w:tc>
          <w:tcPr>
            <w:tcW w:type="dxa" w:w="150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0.05</w:t>
            </w:r>
          </w:p>
        </w:tc>
        <w:tc>
          <w:tcPr>
            <w:tcW w:type="dxa" w:w="123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w:t>
            </w:r>
          </w:p>
        </w:tc>
      </w:tr>
      <w:tr>
        <w:tc>
          <w:tcPr>
            <w:tcW w:type="dxa" w:w="46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mineral_real.quality_mae</w:t>
            </w:r>
          </w:p>
        </w:tc>
        <w:tc>
          <w:tcPr>
            <w:tcW w:type="dxa" w:w="1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0.00410</w:t>
            </w:r>
          </w:p>
        </w:tc>
        <w:tc>
          <w:tcPr>
            <w:tcW w:type="dxa" w:w="150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0.05</w:t>
            </w:r>
          </w:p>
        </w:tc>
        <w:tc>
          <w:tcPr>
            <w:tcW w:type="dxa" w:w="123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w:t>
            </w:r>
          </w:p>
        </w:tc>
      </w:tr>
      <w:tr>
        <w:tc>
          <w:tcPr>
            <w:tcW w:type="dxa" w:w="46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mineral_real_holdout.class_agreement</w:t>
            </w:r>
          </w:p>
        </w:tc>
        <w:tc>
          <w:tcPr>
            <w:tcW w:type="dxa" w:w="1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0.99992</w:t>
            </w:r>
          </w:p>
        </w:tc>
        <w:tc>
          <w:tcPr>
            <w:tcW w:type="dxa" w:w="150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0.97</w:t>
            </w:r>
          </w:p>
        </w:tc>
        <w:tc>
          <w:tcPr>
            <w:tcW w:type="dxa" w:w="123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w:t>
            </w:r>
          </w:p>
        </w:tc>
      </w:tr>
      <w:tr>
        <w:tc>
          <w:tcPr>
            <w:tcW w:type="dxa" w:w="46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mineral_real_holdout.abundance_mae</w:t>
            </w:r>
          </w:p>
        </w:tc>
        <w:tc>
          <w:tcPr>
            <w:tcW w:type="dxa" w:w="1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0.00147</w:t>
            </w:r>
          </w:p>
        </w:tc>
        <w:tc>
          <w:tcPr>
            <w:tcW w:type="dxa" w:w="150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0.05</w:t>
            </w:r>
          </w:p>
        </w:tc>
        <w:tc>
          <w:tcPr>
            <w:tcW w:type="dxa" w:w="123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w:t>
            </w:r>
          </w:p>
        </w:tc>
      </w:tr>
      <w:tr>
        <w:tc>
          <w:tcPr>
            <w:tcW w:type="dxa" w:w="46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mineral_real_holdout.quality_mae</w:t>
            </w:r>
          </w:p>
        </w:tc>
        <w:tc>
          <w:tcPr>
            <w:tcW w:type="dxa" w:w="1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0.00177</w:t>
            </w:r>
          </w:p>
        </w:tc>
        <w:tc>
          <w:tcPr>
            <w:tcW w:type="dxa" w:w="150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0.05</w:t>
            </w:r>
          </w:p>
        </w:tc>
        <w:tc>
          <w:tcPr>
            <w:tcW w:type="dxa" w:w="123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w:t>
            </w:r>
          </w:p>
        </w:tc>
      </w:tr>
      <w:tr>
        <w:tc>
          <w:tcPr>
            <w:tcW w:type="dxa" w:w="46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agri_val.r2_min_core</w:t>
            </w:r>
          </w:p>
        </w:tc>
        <w:tc>
          <w:tcPr>
            <w:tcW w:type="dxa" w:w="1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0.97017</w:t>
            </w:r>
          </w:p>
        </w:tc>
        <w:tc>
          <w:tcPr>
            <w:tcW w:type="dxa" w:w="150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0.95</w:t>
            </w:r>
          </w:p>
        </w:tc>
        <w:tc>
          <w:tcPr>
            <w:tcW w:type="dxa" w:w="123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w:t>
            </w:r>
          </w:p>
        </w:tc>
      </w:tr>
      <w:tr>
        <w:tc>
          <w:tcPr>
            <w:tcW w:type="dxa" w:w="46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agri_csv.r2_min_core</w:t>
            </w:r>
          </w:p>
        </w:tc>
        <w:tc>
          <w:tcPr>
            <w:tcW w:type="dxa" w:w="1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0.97270</w:t>
            </w:r>
          </w:p>
        </w:tc>
        <w:tc>
          <w:tcPr>
            <w:tcW w:type="dxa" w:w="150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0.95</w:t>
            </w:r>
          </w:p>
        </w:tc>
        <w:tc>
          <w:tcPr>
            <w:tcW w:type="dxa" w:w="123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w:t>
            </w:r>
          </w:p>
        </w:tc>
      </w:tr>
      <w:tr>
        <w:tc>
          <w:tcPr>
            <w:tcW w:type="dxa" w:w="46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thermal_val.global_agreement</w:t>
            </w:r>
          </w:p>
        </w:tc>
        <w:tc>
          <w:tcPr>
            <w:tcW w:type="dxa" w:w="1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0.99957</w:t>
            </w:r>
          </w:p>
        </w:tc>
        <w:tc>
          <w:tcPr>
            <w:tcW w:type="dxa" w:w="150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0.99</w:t>
            </w:r>
          </w:p>
        </w:tc>
        <w:tc>
          <w:tcPr>
            <w:tcW w:type="dxa" w:w="123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w:t>
            </w:r>
          </w:p>
        </w:tc>
      </w:tr>
      <w:tr>
        <w:tc>
          <w:tcPr>
            <w:tcW w:type="dxa" w:w="46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thermal_val.uhi_agreement</w:t>
            </w:r>
          </w:p>
        </w:tc>
        <w:tc>
          <w:tcPr>
            <w:tcW w:type="dxa" w:w="1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0.99915</w:t>
            </w:r>
          </w:p>
        </w:tc>
        <w:tc>
          <w:tcPr>
            <w:tcW w:type="dxa" w:w="150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0.99</w:t>
            </w:r>
          </w:p>
        </w:tc>
        <w:tc>
          <w:tcPr>
            <w:tcW w:type="dxa" w:w="123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w:t>
            </w:r>
          </w:p>
        </w:tc>
      </w:tr>
      <w:tr>
        <w:tc>
          <w:tcPr>
            <w:tcW w:type="dxa" w:w="46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thermal_val.hot_agreement</w:t>
            </w:r>
          </w:p>
        </w:tc>
        <w:tc>
          <w:tcPr>
            <w:tcW w:type="dxa" w:w="1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0.99967</w:t>
            </w:r>
          </w:p>
        </w:tc>
        <w:tc>
          <w:tcPr>
            <w:tcW w:type="dxa" w:w="150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0.99</w:t>
            </w:r>
          </w:p>
        </w:tc>
        <w:tc>
          <w:tcPr>
            <w:tcW w:type="dxa" w:w="123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w:t>
            </w:r>
          </w:p>
        </w:tc>
      </w:tr>
      <w:tr>
        <w:tc>
          <w:tcPr>
            <w:tcW w:type="dxa" w:w="46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thermal_val.local_agreement</w:t>
            </w:r>
          </w:p>
        </w:tc>
        <w:tc>
          <w:tcPr>
            <w:tcW w:type="dxa" w:w="164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0.99987</w:t>
            </w:r>
          </w:p>
        </w:tc>
        <w:tc>
          <w:tcPr>
            <w:tcW w:type="dxa" w:w="150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0.99</w:t>
            </w:r>
          </w:p>
        </w:tc>
        <w:tc>
          <w:tcPr>
            <w:tcW w:type="dxa" w:w="123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w:t>
            </w:r>
          </w:p>
        </w:tc>
      </w:tr>
    </w:tbl>
    <w:p>
      <w:pPr>
        <w:spacing w:after="120"/>
      </w:pPr>
    </w:p>
    <w:p>
      <w:pPr>
        <w:keepNext/>
        <w:spacing w:before="120" w:after="40"/>
        <w:jc w:val="center"/>
      </w:pPr>
      <w:r>
        <w:drawing>
          <wp:inline distT="0" distB="0" distL="0" distR="0">
            <wp:extent cx="5667375" cy="1781175"/>
            <wp:effectExtent t="0" r="0" b="0" l="0"/>
            <wp:docPr id="1" name="chart_prototype_vs_model.png" descr="Minerals on real EMIT never trained on: the prototype vs v1 (dashed line: gate)." title="Minerals on real EMIT never trained on: the prototype vs v1 (dashed line: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1781175"/>
                    </a:xfrm>
                    <a:prstGeom prst="rect">
                      <a:avLst/>
                    </a:prstGeom>
                  </pic:spPr>
                </pic:pic>
              </a:graphicData>
            </a:graphic>
          </wp:inline>
        </w:drawing>
      </w:r>
    </w:p>
    <w:p>
      <w:pPr>
        <w:spacing w:after="200"/>
        <w:jc w:val="center"/>
      </w:pPr>
      <w:r>
        <w:rPr>
          <w:b/>
          <w:bCs/>
          <w:color w:val="52514E"/>
          <w:sz w:val="18"/>
          <w:szCs w:val="18"/>
        </w:rPr>
        <w:t xml:space="preserve">Figure 9. </w:t>
      </w:r>
      <w:r>
        <w:rPr>
          <w:color w:val="52514E"/>
          <w:sz w:val="18"/>
          <w:szCs w:val="18"/>
        </w:rPr>
        <w:t xml:space="preserve">Minerals on real EMIT never trained on: the prototype vs v1 (dashed line: gate).</w:t>
      </w:r>
    </w:p>
    <w:p>
      <w:pPr>
        <w:pStyle w:val="Heading2"/>
      </w:pPr>
      <w:r>
        <w:t xml:space="preserve">11.2 Whole-scene map verification</w:t>
      </w:r>
    </w:p>
    <w:p>
      <w:pPr>
        <w:keepNext/>
        <w:spacing w:before="120" w:after="40"/>
        <w:jc w:val="center"/>
      </w:pPr>
      <w:r>
        <w:drawing>
          <wp:inline distT="0" distB="0" distL="0" distR="0">
            <wp:extent cx="5305425" cy="2143125"/>
            <wp:effectExtent t="0" r="0" b="0" l="0"/>
            <wp:docPr id="1" name="chart_agreement.png" descr="Class maps: pixel agreement with the classical method (tick = gate), incl. the worst real Landsat scene." title="Class maps: pixel agreement with the classical method (tick = gate), incl. the worst real Landsat s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05425" cy="2143125"/>
                    </a:xfrm>
                    <a:prstGeom prst="rect">
                      <a:avLst/>
                    </a:prstGeom>
                  </pic:spPr>
                </pic:pic>
              </a:graphicData>
            </a:graphic>
          </wp:inline>
        </w:drawing>
      </w:r>
    </w:p>
    <w:p>
      <w:pPr>
        <w:spacing w:after="200"/>
        <w:jc w:val="center"/>
      </w:pPr>
      <w:r>
        <w:rPr>
          <w:b/>
          <w:bCs/>
          <w:color w:val="52514E"/>
          <w:sz w:val="18"/>
          <w:szCs w:val="18"/>
        </w:rPr>
        <w:t xml:space="preserve">Figure 10. </w:t>
      </w:r>
      <w:r>
        <w:rPr>
          <w:color w:val="52514E"/>
          <w:sz w:val="18"/>
          <w:szCs w:val="18"/>
        </w:rPr>
        <w:t xml:space="preserve">Class maps: pixel agreement with the classical method (tick = gate), incl. the worst real Landsat scene.</w:t>
      </w:r>
    </w:p>
    <w:p>
      <w:pPr>
        <w:keepNext/>
        <w:spacing w:before="120" w:after="40"/>
        <w:jc w:val="center"/>
      </w:pPr>
      <w:r>
        <w:drawing>
          <wp:inline distT="0" distB="0" distL="0" distR="0">
            <wp:extent cx="5305425" cy="1885950"/>
            <wp:effectExtent t="0" r="0" b="0" l="0"/>
            <wp:docPr id="1" name="chart_errors.png" descr="Continuous maps: error against the classical method (tick = gate)." title="Continuous maps: error against the classical method (tick =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05425" cy="1885950"/>
                    </a:xfrm>
                    <a:prstGeom prst="rect">
                      <a:avLst/>
                    </a:prstGeom>
                  </pic:spPr>
                </pic:pic>
              </a:graphicData>
            </a:graphic>
          </wp:inline>
        </w:drawing>
      </w:r>
    </w:p>
    <w:p>
      <w:pPr>
        <w:spacing w:after="200"/>
        <w:jc w:val="center"/>
      </w:pPr>
      <w:r>
        <w:rPr>
          <w:b/>
          <w:bCs/>
          <w:color w:val="52514E"/>
          <w:sz w:val="18"/>
          <w:szCs w:val="18"/>
        </w:rPr>
        <w:t xml:space="preserve">Figure 11. </w:t>
      </w:r>
      <w:r>
        <w:rPr>
          <w:color w:val="52514E"/>
          <w:sz w:val="18"/>
          <w:szCs w:val="18"/>
        </w:rPr>
        <w:t xml:space="preserve">Continuous maps: error against the classical method (tick = gate).</w:t>
      </w:r>
    </w:p>
    <w:p>
      <w:pPr>
        <w:keepNext/>
        <w:spacing w:before="120" w:after="40"/>
        <w:jc w:val="center"/>
      </w:pPr>
      <w:r>
        <w:drawing>
          <wp:inline distT="0" distB="0" distL="0" distR="0">
            <wp:extent cx="4933950" cy="1695450"/>
            <wp:effectExtent t="0" r="0" b="0" l="0"/>
            <wp:docPr id="1" name="chart_agri_r2.png" descr="Agriculture R² against the LUT inversion (validation set)." title="Agriculture R² against the LUT inversion (validation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1695450"/>
                    </a:xfrm>
                    <a:prstGeom prst="rect">
                      <a:avLst/>
                    </a:prstGeom>
                  </pic:spPr>
                </pic:pic>
              </a:graphicData>
            </a:graphic>
          </wp:inline>
        </w:drawing>
      </w:r>
    </w:p>
    <w:p>
      <w:pPr>
        <w:spacing w:after="200"/>
        <w:jc w:val="center"/>
      </w:pPr>
      <w:r>
        <w:rPr>
          <w:b/>
          <w:bCs/>
          <w:color w:val="52514E"/>
          <w:sz w:val="18"/>
          <w:szCs w:val="18"/>
        </w:rPr>
        <w:t xml:space="preserve">Figure 12. </w:t>
      </w:r>
      <w:r>
        <w:rPr>
          <w:color w:val="52514E"/>
          <w:sz w:val="18"/>
          <w:szCs w:val="18"/>
        </w:rPr>
        <w:t xml:space="preserve">Agriculture R² against the LUT inversion (validation set).</w:t>
      </w:r>
    </w:p>
    <w:p>
      <w:pPr>
        <w:pStyle w:val="Heading2"/>
      </w:pPr>
      <w:r>
        <w:t xml:space="preserve">11.3 Real Landsat scenes</w:t>
      </w:r>
    </w:p>
    <w:p>
      <w:pPr>
        <w:keepNext/>
        <w:spacing w:before="120" w:after="40"/>
        <w:jc w:val="center"/>
      </w:pPr>
      <w:r>
        <w:drawing>
          <wp:inline distT="0" distB="0" distL="0" distR="0">
            <wp:extent cx="5305425" cy="2324100"/>
            <wp:effectExtent t="0" r="0" b="0" l="0"/>
            <wp:docPr id="1" name="chart_landsat.png" descr="Agreement with the thermal rules on six real Landsat 8/9 scenes; every map must be ≥ 98 % on every scene." title="Agreement with the thermal rules on six real Landsat 8/9 scenes; every map must be ≥ 98 % on every s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05425" cy="2324100"/>
                    </a:xfrm>
                    <a:prstGeom prst="rect">
                      <a:avLst/>
                    </a:prstGeom>
                  </pic:spPr>
                </pic:pic>
              </a:graphicData>
            </a:graphic>
          </wp:inline>
        </w:drawing>
      </w:r>
    </w:p>
    <w:p>
      <w:pPr>
        <w:spacing w:after="200"/>
        <w:jc w:val="center"/>
      </w:pPr>
      <w:r>
        <w:rPr>
          <w:b/>
          <w:bCs/>
          <w:color w:val="52514E"/>
          <w:sz w:val="18"/>
          <w:szCs w:val="18"/>
        </w:rPr>
        <w:t xml:space="preserve">Figure 13. </w:t>
      </w:r>
      <w:r>
        <w:rPr>
          <w:color w:val="52514E"/>
          <w:sz w:val="18"/>
          <w:szCs w:val="18"/>
        </w:rPr>
        <w:t xml:space="preserve">Agreement with the thermal rules on six real Landsat 8/9 scenes; every map must be ≥ 98 % on every scene.</w:t>
      </w:r>
    </w:p>
    <w:p>
      <w:pPr>
        <w:keepNext/>
        <w:spacing w:before="120" w:after="60"/>
      </w:pPr>
      <w:r>
        <w:rPr>
          <w:b/>
          <w:bCs/>
          <w:color w:val="52514E"/>
          <w:sz w:val="18"/>
          <w:szCs w:val="18"/>
        </w:rPr>
        <w:t xml:space="preserve">Table 17. </w:t>
      </w:r>
      <w:r>
        <w:rPr>
          <w:color w:val="52514E"/>
          <w:sz w:val="18"/>
          <w:szCs w:val="18"/>
        </w:rPr>
        <w:t xml:space="preserve">Real Landsat scenes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85"/>
        <w:gridCol w:w="3610"/>
        <w:gridCol w:w="1444"/>
        <w:gridCol w:w="2287"/>
      </w:tblGrid>
      <w:tr>
        <w:trPr>
          <w:tblHeader/>
        </w:trPr>
        <w:tc>
          <w:tcPr>
            <w:tcW w:type="dxa" w:w="1685"/>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Scene</w:t>
            </w:r>
          </w:p>
        </w:tc>
        <w:tc>
          <w:tcPr>
            <w:tcW w:type="dxa" w:w="3610"/>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Landsat ID</w:t>
            </w:r>
          </w:p>
        </w:tc>
        <w:tc>
          <w:tcPr>
            <w:tcW w:type="dxa" w:w="1444"/>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Date</w:t>
            </w:r>
          </w:p>
        </w:tc>
        <w:tc>
          <w:tcPr>
            <w:tcW w:type="dxa" w:w="2287"/>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Heat-island intensity (NN / rules)</w:t>
            </w:r>
          </w:p>
        </w:tc>
      </w:tr>
      <w:tr>
        <w:tc>
          <w:tcPr>
            <w:tcW w:type="dxa" w:w="168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fresno city</w:t>
            </w:r>
          </w:p>
        </w:tc>
        <w:tc>
          <w:tcPr>
            <w:tcW w:type="dxa" w:w="361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LC08_L2SP_043034_20240930_02_T1</w:t>
            </w:r>
          </w:p>
        </w:tc>
        <w:tc>
          <w:tcPr>
            <w:tcW w:type="dxa" w:w="144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2024-09-30</w:t>
            </w:r>
          </w:p>
        </w:tc>
        <w:tc>
          <w:tcPr>
            <w:tcW w:type="dxa" w:w="228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5.7 / 5.7 °C</w:t>
            </w:r>
          </w:p>
        </w:tc>
      </w:tr>
      <w:tr>
        <w:tc>
          <w:tcPr>
            <w:tcW w:type="dxa" w:w="168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fresno winter</w:t>
            </w:r>
          </w:p>
        </w:tc>
        <w:tc>
          <w:tcPr>
            <w:tcW w:type="dxa" w:w="361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LC08_L2SP_042035_20240228_02_T1</w:t>
            </w:r>
          </w:p>
        </w:tc>
        <w:tc>
          <w:tcPr>
            <w:tcW w:type="dxa" w:w="144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2024-02-28</w:t>
            </w:r>
          </w:p>
        </w:tc>
        <w:tc>
          <w:tcPr>
            <w:tcW w:type="dxa" w:w="228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4.17 / 4.17 °C</w:t>
            </w:r>
          </w:p>
        </w:tc>
      </w:tr>
      <w:tr>
        <w:tc>
          <w:tcPr>
            <w:tcW w:type="dxa" w:w="168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bakersfield oil</w:t>
            </w:r>
          </w:p>
        </w:tc>
        <w:tc>
          <w:tcPr>
            <w:tcW w:type="dxa" w:w="361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LC09_L2SP_042035_20240830_02_T1</w:t>
            </w:r>
          </w:p>
        </w:tc>
        <w:tc>
          <w:tcPr>
            <w:tcW w:type="dxa" w:w="144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2024-08-30</w:t>
            </w:r>
          </w:p>
        </w:tc>
        <w:tc>
          <w:tcPr>
            <w:tcW w:type="dxa" w:w="228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7.8 / 7.81 °C</w:t>
            </w:r>
          </w:p>
        </w:tc>
      </w:tr>
      <w:tr>
        <w:tc>
          <w:tcPr>
            <w:tcW w:type="dxa" w:w="168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sacramento</w:t>
            </w:r>
          </w:p>
        </w:tc>
        <w:tc>
          <w:tcPr>
            <w:tcW w:type="dxa" w:w="361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LC09_L2SP_044033_20240929_02_T1</w:t>
            </w:r>
          </w:p>
        </w:tc>
        <w:tc>
          <w:tcPr>
            <w:tcW w:type="dxa" w:w="144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2024-09-29</w:t>
            </w:r>
          </w:p>
        </w:tc>
        <w:tc>
          <w:tcPr>
            <w:tcW w:type="dxa" w:w="228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7.81 / 7.82 °C</w:t>
            </w:r>
          </w:p>
        </w:tc>
      </w:tr>
      <w:tr>
        <w:tc>
          <w:tcPr>
            <w:tcW w:type="dxa" w:w="168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tulare farms</w:t>
            </w:r>
          </w:p>
        </w:tc>
        <w:tc>
          <w:tcPr>
            <w:tcW w:type="dxa" w:w="361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LC09_L2SP_042035_20240729_02_T1</w:t>
            </w:r>
          </w:p>
        </w:tc>
        <w:tc>
          <w:tcPr>
            <w:tcW w:type="dxa" w:w="144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2024-07-29</w:t>
            </w:r>
          </w:p>
        </w:tc>
        <w:tc>
          <w:tcPr>
            <w:tcW w:type="dxa" w:w="228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17.02 / 17.06 °C</w:t>
            </w:r>
          </w:p>
        </w:tc>
      </w:tr>
      <w:tr>
        <w:tc>
          <w:tcPr>
            <w:tcW w:type="dxa" w:w="168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modesto</w:t>
            </w:r>
          </w:p>
        </w:tc>
        <w:tc>
          <w:tcPr>
            <w:tcW w:type="dxa" w:w="361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LC08_L2SP_043034_20240930_02_T1</w:t>
            </w:r>
          </w:p>
        </w:tc>
        <w:tc>
          <w:tcPr>
            <w:tcW w:type="dxa" w:w="144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2024-09-30</w:t>
            </w:r>
          </w:p>
        </w:tc>
        <w:tc>
          <w:tcPr>
            <w:tcW w:type="dxa" w:w="228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6.73 / 6.74 °C</w:t>
            </w:r>
          </w:p>
        </w:tc>
      </w:tr>
    </w:tbl>
    <w:p>
      <w:pPr>
        <w:spacing w:after="120"/>
      </w:pPr>
    </w:p>
    <w:p>
      <w:pPr>
        <w:spacing w:after="120" w:line="276"/>
      </w:pPr>
      <w:r>
        <w:t xml:space="preserve">Tulare farms is the hardest scene: many pixels sit at the 95th-percentile hotspot threshold. A first candidate training run reached only 98.0 % there; it was rejected, and a per-scene floor of 98 % now guards every release.</w:t>
      </w:r>
    </w:p>
    <w:p>
      <w:pPr>
        <w:pStyle w:val="Heading2"/>
      </w:pPr>
      <w:r>
        <w:t xml:space="preserve">11.4 Real jobs through the whole platform</w:t>
      </w:r>
    </w:p>
    <w:p>
      <w:pPr>
        <w:spacing w:after="120" w:line="276"/>
      </w:pPr>
      <w:r>
        <w:t xml:space="preserve">Real jobs on 21 October 2026 with v1, every pixel compared with the classical methods. Fresno farmland (EMIT 2023-08-22, Landsat 2023-09-29), Death Valley (EMIT 2023-10-15, the held-out scene) and Searles Lake (EMIT 2023-10-05).</w:t>
      </w:r>
    </w:p>
    <w:p>
      <w:pPr>
        <w:keepNext/>
        <w:spacing w:before="120" w:after="60"/>
      </w:pPr>
      <w:r>
        <w:rPr>
          <w:b/>
          <w:bCs/>
          <w:color w:val="52514E"/>
          <w:sz w:val="18"/>
          <w:szCs w:val="18"/>
        </w:rPr>
        <w:t xml:space="preserve">Table 18. </w:t>
      </w:r>
      <w:r>
        <w:rPr>
          <w:color w:val="52514E"/>
          <w:sz w:val="18"/>
          <w:szCs w:val="18"/>
        </w:rPr>
        <w:t xml:space="preserve">Minerals on real EMIT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96"/>
        <w:gridCol w:w="1220"/>
        <w:gridCol w:w="1098"/>
        <w:gridCol w:w="1342"/>
        <w:gridCol w:w="1220"/>
        <w:gridCol w:w="1950"/>
      </w:tblGrid>
      <w:tr>
        <w:trPr>
          <w:tblHeader/>
        </w:trPr>
        <w:tc>
          <w:tcPr>
            <w:tcW w:type="dxa" w:w="2196"/>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Scene</w:t>
            </w:r>
          </w:p>
        </w:tc>
        <w:tc>
          <w:tcPr>
            <w:tcW w:type="dxa" w:w="1220"/>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Bare pixels</w:t>
            </w:r>
          </w:p>
        </w:tc>
        <w:tc>
          <w:tcPr>
            <w:tcW w:type="dxa" w:w="1098"/>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Class</w:t>
            </w:r>
          </w:p>
        </w:tc>
        <w:tc>
          <w:tcPr>
            <w:tcW w:type="dxa" w:w="1342"/>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Abundance MAE</w:t>
            </w:r>
          </w:p>
        </w:tc>
        <w:tc>
          <w:tcPr>
            <w:tcW w:type="dxa" w:w="1220"/>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Quality MAE</w:t>
            </w:r>
          </w:p>
        </w:tc>
        <w:tc>
          <w:tcPr>
            <w:tcW w:type="dxa" w:w="1950"/>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HydraNet / classical time</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Fresno farmland</w:t>
            </w:r>
          </w:p>
        </w:tc>
        <w:tc>
          <w:tcPr>
            <w:tcW w:type="dxa" w:w="122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2,016</w:t>
            </w:r>
          </w:p>
        </w:tc>
        <w:tc>
          <w:tcPr>
            <w:tcW w:type="dxa" w:w="109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100.00 %</w:t>
            </w:r>
          </w:p>
        </w:tc>
        <w:tc>
          <w:tcPr>
            <w:tcW w:type="dxa" w:w="134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0.0021</w:t>
            </w:r>
          </w:p>
        </w:tc>
        <w:tc>
          <w:tcPr>
            <w:tcW w:type="dxa" w:w="122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0.0016</w:t>
            </w:r>
          </w:p>
        </w:tc>
        <w:tc>
          <w:tcPr>
            <w:tcW w:type="dxa" w:w="19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0.0077 / 0.0799 s</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Death Valley (held out)</w:t>
            </w:r>
          </w:p>
        </w:tc>
        <w:tc>
          <w:tcPr>
            <w:tcW w:type="dxa" w:w="122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21,754</w:t>
            </w:r>
          </w:p>
        </w:tc>
        <w:tc>
          <w:tcPr>
            <w:tcW w:type="dxa" w:w="109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100.00 %</w:t>
            </w:r>
          </w:p>
        </w:tc>
        <w:tc>
          <w:tcPr>
            <w:tcW w:type="dxa" w:w="134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0.0024</w:t>
            </w:r>
          </w:p>
        </w:tc>
        <w:tc>
          <w:tcPr>
            <w:tcW w:type="dxa" w:w="122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0.0024</w:t>
            </w:r>
          </w:p>
        </w:tc>
        <w:tc>
          <w:tcPr>
            <w:tcW w:type="dxa" w:w="19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0.1063 / 1.4031 s</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Searles Lake</w:t>
            </w:r>
          </w:p>
        </w:tc>
        <w:tc>
          <w:tcPr>
            <w:tcW w:type="dxa" w:w="122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16,388</w:t>
            </w:r>
          </w:p>
        </w:tc>
        <w:tc>
          <w:tcPr>
            <w:tcW w:type="dxa" w:w="109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99.99 %</w:t>
            </w:r>
          </w:p>
        </w:tc>
        <w:tc>
          <w:tcPr>
            <w:tcW w:type="dxa" w:w="134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0.0036</w:t>
            </w:r>
          </w:p>
        </w:tc>
        <w:tc>
          <w:tcPr>
            <w:tcW w:type="dxa" w:w="122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0.0028</w:t>
            </w:r>
          </w:p>
        </w:tc>
        <w:tc>
          <w:tcPr>
            <w:tcW w:type="dxa" w:w="1950"/>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0.0687 / 0.8277 s</w:t>
            </w:r>
          </w:p>
        </w:tc>
      </w:tr>
    </w:tbl>
    <w:p>
      <w:pPr>
        <w:spacing w:after="120"/>
      </w:pPr>
    </w:p>
    <w:p>
      <w:pPr>
        <w:keepNext/>
        <w:spacing w:before="120" w:after="60"/>
      </w:pPr>
      <w:r>
        <w:rPr>
          <w:b/>
          <w:bCs/>
          <w:color w:val="52514E"/>
          <w:sz w:val="18"/>
          <w:szCs w:val="18"/>
        </w:rPr>
        <w:t xml:space="preserve">Table 19. </w:t>
      </w:r>
      <w:r>
        <w:rPr>
          <w:color w:val="52514E"/>
          <w:sz w:val="18"/>
          <w:szCs w:val="18"/>
        </w:rPr>
        <w:t xml:space="preserve">Agriculture on real EMIT: error as a share of each trait's range (gate 5 %)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96"/>
        <w:gridCol w:w="1464"/>
        <w:gridCol w:w="976"/>
        <w:gridCol w:w="976"/>
        <w:gridCol w:w="976"/>
        <w:gridCol w:w="2438"/>
      </w:tblGrid>
      <w:tr>
        <w:trPr>
          <w:tblHeader/>
        </w:trPr>
        <w:tc>
          <w:tcPr>
            <w:tcW w:type="dxa" w:w="2196"/>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Scene</w:t>
            </w:r>
          </w:p>
        </w:tc>
        <w:tc>
          <w:tcPr>
            <w:tcW w:type="dxa" w:w="1464"/>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Vegetated pixels</w:t>
            </w:r>
          </w:p>
        </w:tc>
        <w:tc>
          <w:tcPr>
            <w:tcW w:type="dxa" w:w="976"/>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Cab</w:t>
            </w:r>
          </w:p>
        </w:tc>
        <w:tc>
          <w:tcPr>
            <w:tcW w:type="dxa" w:w="976"/>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Cw</w:t>
            </w:r>
          </w:p>
        </w:tc>
        <w:tc>
          <w:tcPr>
            <w:tcW w:type="dxa" w:w="976"/>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LAI</w:t>
            </w:r>
          </w:p>
        </w:tc>
        <w:tc>
          <w:tcPr>
            <w:tcW w:type="dxa" w:w="2438"/>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Car / Cm / ALA</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Fresno farmland</w:t>
            </w:r>
          </w:p>
        </w:tc>
        <w:tc>
          <w:tcPr>
            <w:tcW w:type="dxa" w:w="146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6,725</w:t>
            </w:r>
          </w:p>
        </w:tc>
        <w:tc>
          <w:tcPr>
            <w:tcW w:type="dxa" w:w="97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1.8 %</w:t>
            </w:r>
          </w:p>
        </w:tc>
        <w:tc>
          <w:tcPr>
            <w:tcW w:type="dxa" w:w="97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2.1 %</w:t>
            </w:r>
          </w:p>
        </w:tc>
        <w:tc>
          <w:tcPr>
            <w:tcW w:type="dxa" w:w="97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1.7 %</w:t>
            </w:r>
          </w:p>
        </w:tc>
        <w:tc>
          <w:tcPr>
            <w:tcW w:type="dxa" w:w="243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4.1 % / 1.7 % / 2.8 %</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Death Valley scrub</w:t>
            </w:r>
          </w:p>
        </w:tc>
        <w:tc>
          <w:tcPr>
            <w:tcW w:type="dxa" w:w="146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254</w:t>
            </w:r>
          </w:p>
        </w:tc>
        <w:tc>
          <w:tcPr>
            <w:tcW w:type="dxa" w:w="97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1.5 %</w:t>
            </w:r>
          </w:p>
        </w:tc>
        <w:tc>
          <w:tcPr>
            <w:tcW w:type="dxa" w:w="97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2.5 %</w:t>
            </w:r>
          </w:p>
        </w:tc>
        <w:tc>
          <w:tcPr>
            <w:tcW w:type="dxa" w:w="97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1.3 %</w:t>
            </w:r>
          </w:p>
        </w:tc>
        <w:tc>
          <w:tcPr>
            <w:tcW w:type="dxa" w:w="243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4.5 % / 2.7 % / 2.9 %</w:t>
            </w:r>
          </w:p>
        </w:tc>
      </w:tr>
      <w:tr>
        <w:tc>
          <w:tcPr>
            <w:tcW w:type="dxa" w:w="219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Searles Lake margins</w:t>
            </w:r>
          </w:p>
        </w:tc>
        <w:tc>
          <w:tcPr>
            <w:tcW w:type="dxa" w:w="1464"/>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814</w:t>
            </w:r>
          </w:p>
        </w:tc>
        <w:tc>
          <w:tcPr>
            <w:tcW w:type="dxa" w:w="97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22.2 %</w:t>
            </w:r>
          </w:p>
        </w:tc>
        <w:tc>
          <w:tcPr>
            <w:tcW w:type="dxa" w:w="97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9.2 %</w:t>
            </w:r>
          </w:p>
        </w:tc>
        <w:tc>
          <w:tcPr>
            <w:tcW w:type="dxa" w:w="976"/>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3.6 %</w:t>
            </w:r>
          </w:p>
        </w:tc>
        <w:tc>
          <w:tcPr>
            <w:tcW w:type="dxa" w:w="2438"/>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4.6 % / 2.3 % / 0.6 %</w:t>
            </w:r>
          </w:p>
        </w:tc>
      </w:tr>
    </w:tbl>
    <w:p>
      <w:pPr>
        <w:spacing w:after="120"/>
      </w:pPr>
    </w:p>
    <w:p>
      <w:pPr>
        <w:pBdr>
          <w:left w:val="single" w:color="2A78D6" w:sz="18" w:space="8"/>
        </w:pBdr>
        <w:spacing w:before="60" w:after="160"/>
        <w:ind w:left="200"/>
      </w:pPr>
      <w:r>
        <w:rPr>
          <w:b/>
          <w:bCs/>
        </w:rPr>
        <w:t xml:space="preserve">Out of domain:</w:t>
      </w:r>
      <w:r>
        <w:t xml:space="preserve"> the "vegetation" pixels at the edge of the wet Searles salt lake (22 % water) are algal or brine surfaces, not crop canopies; there both PROSAIL inversion and the network extrapolate and disagree (Cab 22 % of range). On cropland and desert scrub every trait is within 1.3–4.5 %. See section 15.</w:t>
      </w:r>
    </w:p>
    <w:p>
      <w:pPr>
        <w:spacing w:after="120" w:line="276"/>
      </w:pPr>
      <w:r>
        <w:t xml:space="preserve">Thermal on the Fresno job: global 99.99 %, heat zones 99.95 %, local 99.99 %, hotspots 99.96 %; heat-island intensity 12.75 vs 12.76 °C.</w:t>
      </w:r>
    </w:p>
    <w:p>
      <w:pPr>
        <w:keepNext/>
        <w:spacing w:before="120" w:after="40"/>
        <w:jc w:val="center"/>
      </w:pPr>
      <w:r>
        <w:drawing>
          <wp:inline distT="0" distB="0" distL="0" distR="0">
            <wp:extent cx="5667375" cy="3228975"/>
            <wp:effectExtent t="0" r="0" b="0" l="0"/>
            <wp:docPr id="1" name="real_fresno_rgb.png" descr="Fresno: EMIT true colour and land-cover routing (vegetation → agriculture, bare → minerals)." title="Fresno: EMIT true colour and land-cover routing (vegetation → agriculture, bare → miner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67375" cy="3228975"/>
                    </a:xfrm>
                    <a:prstGeom prst="rect">
                      <a:avLst/>
                    </a:prstGeom>
                  </pic:spPr>
                </pic:pic>
              </a:graphicData>
            </a:graphic>
          </wp:inline>
        </w:drawing>
      </w:r>
    </w:p>
    <w:p>
      <w:pPr>
        <w:spacing w:after="200"/>
        <w:jc w:val="center"/>
      </w:pPr>
      <w:r>
        <w:rPr>
          <w:b/>
          <w:bCs/>
          <w:color w:val="52514E"/>
          <w:sz w:val="18"/>
          <w:szCs w:val="18"/>
        </w:rPr>
        <w:t xml:space="preserve">Figure 14. </w:t>
      </w:r>
      <w:r>
        <w:rPr>
          <w:color w:val="52514E"/>
          <w:sz w:val="18"/>
          <w:szCs w:val="18"/>
        </w:rPr>
        <w:t xml:space="preserve">Fresno: EMIT true colour and land-cover routing (vegetation → agriculture, bare → minerals).</w:t>
      </w:r>
    </w:p>
    <w:p>
      <w:pPr>
        <w:keepNext/>
        <w:spacing w:before="120" w:after="40"/>
        <w:jc w:val="center"/>
      </w:pPr>
      <w:r>
        <w:drawing>
          <wp:inline distT="0" distB="0" distL="0" distR="0">
            <wp:extent cx="5667375" cy="1704975"/>
            <wp:effectExtent t="0" r="0" b="0" l="0"/>
            <wp:docPr id="1" name="real_fresno_agri_LAI.png" descr="Fresno leaf area index: classical, HydraNet v1, difference." title="Fresno leaf area index: classical, HydraNet v1,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7375" cy="1704975"/>
                    </a:xfrm>
                    <a:prstGeom prst="rect">
                      <a:avLst/>
                    </a:prstGeom>
                  </pic:spPr>
                </pic:pic>
              </a:graphicData>
            </a:graphic>
          </wp:inline>
        </w:drawing>
      </w:r>
    </w:p>
    <w:p>
      <w:pPr>
        <w:spacing w:after="200"/>
        <w:jc w:val="center"/>
      </w:pPr>
      <w:r>
        <w:rPr>
          <w:b/>
          <w:bCs/>
          <w:color w:val="52514E"/>
          <w:sz w:val="18"/>
          <w:szCs w:val="18"/>
        </w:rPr>
        <w:t xml:space="preserve">Figure 15. </w:t>
      </w:r>
      <w:r>
        <w:rPr>
          <w:color w:val="52514E"/>
          <w:sz w:val="18"/>
          <w:szCs w:val="18"/>
        </w:rPr>
        <w:t xml:space="preserve">Fresno leaf area index: classical, HydraNet v1, difference.</w:t>
      </w:r>
    </w:p>
    <w:p>
      <w:pPr>
        <w:keepNext/>
        <w:spacing w:before="120" w:after="40"/>
        <w:jc w:val="center"/>
      </w:pPr>
      <w:r>
        <w:drawing>
          <wp:inline distT="0" distB="0" distL="0" distR="0">
            <wp:extent cx="5667375" cy="1762125"/>
            <wp:effectExtent t="0" r="0" b="0" l="0"/>
            <wp:docPr id="1" name="real_fresno_agri_scatter.png" descr="Fresno: every vegetated pixel, HydraNet against the classical inversion (dashed: identical)." title="Fresno: every vegetated pixel, HydraNet against the classical inversion (dashed: iden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1762125"/>
                    </a:xfrm>
                    <a:prstGeom prst="rect">
                      <a:avLst/>
                    </a:prstGeom>
                  </pic:spPr>
                </pic:pic>
              </a:graphicData>
            </a:graphic>
          </wp:inline>
        </w:drawing>
      </w:r>
    </w:p>
    <w:p>
      <w:pPr>
        <w:spacing w:after="200"/>
        <w:jc w:val="center"/>
      </w:pPr>
      <w:r>
        <w:rPr>
          <w:b/>
          <w:bCs/>
          <w:color w:val="52514E"/>
          <w:sz w:val="18"/>
          <w:szCs w:val="18"/>
        </w:rPr>
        <w:t xml:space="preserve">Figure 16. </w:t>
      </w:r>
      <w:r>
        <w:rPr>
          <w:color w:val="52514E"/>
          <w:sz w:val="18"/>
          <w:szCs w:val="18"/>
        </w:rPr>
        <w:t xml:space="preserve">Fresno: every vegetated pixel, HydraNet against the classical inversion (dashed: identical).</w:t>
      </w:r>
    </w:p>
    <w:p>
      <w:pPr>
        <w:keepNext/>
        <w:spacing w:before="120" w:after="40"/>
        <w:jc w:val="center"/>
      </w:pPr>
      <w:r>
        <w:drawing>
          <wp:inline distT="0" distB="0" distL="0" distR="0">
            <wp:extent cx="5667375" cy="1828800"/>
            <wp:effectExtent t="0" r="0" b="0" l="0"/>
            <wp:docPr id="1" name="real_fresno_mineral_class.png" descr="Fresno dominant mineral: SAM, HydraNet and where they differ." title="Fresno dominant mineral: SAM, HydraNet and where they di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67375" cy="1828800"/>
                    </a:xfrm>
                    <a:prstGeom prst="rect">
                      <a:avLst/>
                    </a:prstGeom>
                  </pic:spPr>
                </pic:pic>
              </a:graphicData>
            </a:graphic>
          </wp:inline>
        </w:drawing>
      </w:r>
    </w:p>
    <w:p>
      <w:pPr>
        <w:spacing w:after="200"/>
        <w:jc w:val="center"/>
      </w:pPr>
      <w:r>
        <w:rPr>
          <w:b/>
          <w:bCs/>
          <w:color w:val="52514E"/>
          <w:sz w:val="18"/>
          <w:szCs w:val="18"/>
        </w:rPr>
        <w:t xml:space="preserve">Figure 17. </w:t>
      </w:r>
      <w:r>
        <w:rPr>
          <w:color w:val="52514E"/>
          <w:sz w:val="18"/>
          <w:szCs w:val="18"/>
        </w:rPr>
        <w:t xml:space="preserve">Fresno dominant mineral: SAM, HydraNet and where they differ.</w:t>
      </w:r>
    </w:p>
    <w:p>
      <w:pPr>
        <w:keepNext/>
        <w:spacing w:before="120" w:after="40"/>
        <w:jc w:val="center"/>
      </w:pPr>
      <w:r>
        <w:drawing>
          <wp:inline distT="0" distB="0" distL="0" distR="0">
            <wp:extent cx="5667375" cy="3286125"/>
            <wp:effectExtent t="0" r="0" b="0" l="0"/>
            <wp:docPr id="1" name="real_deathvalley_rgb.png" descr="Death Valley (held-out scene): true colour and routing." title="Death Valley (held-out scene): true colour and ro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3286125"/>
                    </a:xfrm>
                    <a:prstGeom prst="rect">
                      <a:avLst/>
                    </a:prstGeom>
                  </pic:spPr>
                </pic:pic>
              </a:graphicData>
            </a:graphic>
          </wp:inline>
        </w:drawing>
      </w:r>
    </w:p>
    <w:p>
      <w:pPr>
        <w:spacing w:after="200"/>
        <w:jc w:val="center"/>
      </w:pPr>
      <w:r>
        <w:rPr>
          <w:b/>
          <w:bCs/>
          <w:color w:val="52514E"/>
          <w:sz w:val="18"/>
          <w:szCs w:val="18"/>
        </w:rPr>
        <w:t xml:space="preserve">Figure 18. </w:t>
      </w:r>
      <w:r>
        <w:rPr>
          <w:color w:val="52514E"/>
          <w:sz w:val="18"/>
          <w:szCs w:val="18"/>
        </w:rPr>
        <w:t xml:space="preserve">Death Valley (held-out scene): true colour and routing.</w:t>
      </w:r>
    </w:p>
    <w:p>
      <w:pPr>
        <w:keepNext/>
        <w:spacing w:before="120" w:after="40"/>
        <w:jc w:val="center"/>
      </w:pPr>
      <w:r>
        <w:drawing>
          <wp:inline distT="0" distB="0" distL="0" distR="0">
            <wp:extent cx="5667375" cy="1857375"/>
            <wp:effectExtent t="0" r="0" b="0" l="0"/>
            <wp:docPr id="1" name="real_deathvalley_mineral_class.png" descr="Death Valley dominant mineral: SAM, HydraNet and disagreement." title="Death Valley dominant mineral: SAM, HydraNet and disagre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67375" cy="1857375"/>
                    </a:xfrm>
                    <a:prstGeom prst="rect">
                      <a:avLst/>
                    </a:prstGeom>
                  </pic:spPr>
                </pic:pic>
              </a:graphicData>
            </a:graphic>
          </wp:inline>
        </w:drawing>
      </w:r>
    </w:p>
    <w:p>
      <w:pPr>
        <w:spacing w:after="200"/>
        <w:jc w:val="center"/>
      </w:pPr>
      <w:r>
        <w:rPr>
          <w:b/>
          <w:bCs/>
          <w:color w:val="52514E"/>
          <w:sz w:val="18"/>
          <w:szCs w:val="18"/>
        </w:rPr>
        <w:t xml:space="preserve">Figure 19. </w:t>
      </w:r>
      <w:r>
        <w:rPr>
          <w:color w:val="52514E"/>
          <w:sz w:val="18"/>
          <w:szCs w:val="18"/>
        </w:rPr>
        <w:t xml:space="preserve">Death Valley dominant mineral: SAM, HydraNet and disagreement.</w:t>
      </w:r>
    </w:p>
    <w:p>
      <w:pPr>
        <w:keepNext/>
        <w:spacing w:before="120" w:after="40"/>
        <w:jc w:val="center"/>
      </w:pPr>
      <w:r>
        <w:drawing>
          <wp:inline distT="0" distB="0" distL="0" distR="0">
            <wp:extent cx="5667375" cy="1704975"/>
            <wp:effectExtent t="0" r="0" b="0" l="0"/>
            <wp:docPr id="1" name="real_deathvalley_mineral_abundance.png" descr="Death Valley goethite abundance: SMA, HydraNet, difference." title="Death Valley goethite abundance: SMA, HydraNet,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67375" cy="1704975"/>
                    </a:xfrm>
                    <a:prstGeom prst="rect">
                      <a:avLst/>
                    </a:prstGeom>
                  </pic:spPr>
                </pic:pic>
              </a:graphicData>
            </a:graphic>
          </wp:inline>
        </w:drawing>
      </w:r>
    </w:p>
    <w:p>
      <w:pPr>
        <w:spacing w:after="200"/>
        <w:jc w:val="center"/>
      </w:pPr>
      <w:r>
        <w:rPr>
          <w:b/>
          <w:bCs/>
          <w:color w:val="52514E"/>
          <w:sz w:val="18"/>
          <w:szCs w:val="18"/>
        </w:rPr>
        <w:t xml:space="preserve">Figure 20. </w:t>
      </w:r>
      <w:r>
        <w:rPr>
          <w:color w:val="52514E"/>
          <w:sz w:val="18"/>
          <w:szCs w:val="18"/>
        </w:rPr>
        <w:t xml:space="preserve">Death Valley goethite abundance: SMA, HydraNet, difference.</w:t>
      </w:r>
    </w:p>
    <w:p>
      <w:pPr>
        <w:keepNext/>
        <w:spacing w:before="120" w:after="40"/>
        <w:jc w:val="center"/>
      </w:pPr>
      <w:r>
        <w:drawing>
          <wp:inline distT="0" distB="0" distL="0" distR="0">
            <wp:extent cx="5667375" cy="1704975"/>
            <wp:effectExtent t="0" r="0" b="0" l="0"/>
            <wp:docPr id="1" name="real_searles_mineral_abundance.png" descr="Searles Lake chlorite abundance: SMA, HydraNet, difference." title="Searles Lake chlorite abundance: SMA, HydraNet,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67375" cy="1704975"/>
                    </a:xfrm>
                    <a:prstGeom prst="rect">
                      <a:avLst/>
                    </a:prstGeom>
                  </pic:spPr>
                </pic:pic>
              </a:graphicData>
            </a:graphic>
          </wp:inline>
        </w:drawing>
      </w:r>
    </w:p>
    <w:p>
      <w:pPr>
        <w:spacing w:after="200"/>
        <w:jc w:val="center"/>
      </w:pPr>
      <w:r>
        <w:rPr>
          <w:b/>
          <w:bCs/>
          <w:color w:val="52514E"/>
          <w:sz w:val="18"/>
          <w:szCs w:val="18"/>
        </w:rPr>
        <w:t xml:space="preserve">Figure 21. </w:t>
      </w:r>
      <w:r>
        <w:rPr>
          <w:color w:val="52514E"/>
          <w:sz w:val="18"/>
          <w:szCs w:val="18"/>
        </w:rPr>
        <w:t xml:space="preserve">Searles Lake chlorite abundance: SMA, HydraNet, difference.</w:t>
      </w:r>
    </w:p>
    <w:p>
      <w:pPr>
        <w:keepNext/>
        <w:spacing w:before="120" w:after="40"/>
        <w:jc w:val="center"/>
      </w:pPr>
      <w:r>
        <w:drawing>
          <wp:inline distT="0" distB="0" distL="0" distR="0">
            <wp:extent cx="5667375" cy="2066925"/>
            <wp:effectExtent t="0" r="0" b="0" l="0"/>
            <wp:docPr id="1" name="real_fresno_thermal_uhi.png" descr="Fresno Landsat temperature and heat zones: rules vs HydraNet." title="Fresno Landsat temperature and heat zones: rules vs Hydra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67375" cy="2066925"/>
                    </a:xfrm>
                    <a:prstGeom prst="rect">
                      <a:avLst/>
                    </a:prstGeom>
                  </pic:spPr>
                </pic:pic>
              </a:graphicData>
            </a:graphic>
          </wp:inline>
        </w:drawing>
      </w:r>
    </w:p>
    <w:p>
      <w:pPr>
        <w:spacing w:after="200"/>
        <w:jc w:val="center"/>
      </w:pPr>
      <w:r>
        <w:rPr>
          <w:b/>
          <w:bCs/>
          <w:color w:val="52514E"/>
          <w:sz w:val="18"/>
          <w:szCs w:val="18"/>
        </w:rPr>
        <w:t xml:space="preserve">Figure 22. </w:t>
      </w:r>
      <w:r>
        <w:rPr>
          <w:color w:val="52514E"/>
          <w:sz w:val="18"/>
          <w:szCs w:val="18"/>
        </w:rPr>
        <w:t xml:space="preserve">Fresno Landsat temperature and heat zones: rules vs HydraNet.</w:t>
      </w:r>
    </w:p>
    <w:p>
      <w:pPr>
        <w:keepNext/>
        <w:spacing w:before="120" w:after="40"/>
        <w:jc w:val="center"/>
      </w:pPr>
      <w:r>
        <w:drawing>
          <wp:inline distT="0" distB="0" distL="0" distR="0">
            <wp:extent cx="5667375" cy="2733675"/>
            <wp:effectExtent t="0" r="0" b="0" l="0"/>
            <wp:docPr id="1" name="real_fresno_thermal_hotspots.png" descr="Hotspots: rules vs HydraNet." title="Hotspots: rules vs Hydra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67375" cy="2733675"/>
                    </a:xfrm>
                    <a:prstGeom prst="rect">
                      <a:avLst/>
                    </a:prstGeom>
                  </pic:spPr>
                </pic:pic>
              </a:graphicData>
            </a:graphic>
          </wp:inline>
        </w:drawing>
      </w:r>
    </w:p>
    <w:p>
      <w:pPr>
        <w:spacing w:after="200"/>
        <w:jc w:val="center"/>
      </w:pPr>
      <w:r>
        <w:rPr>
          <w:b/>
          <w:bCs/>
          <w:color w:val="52514E"/>
          <w:sz w:val="18"/>
          <w:szCs w:val="18"/>
        </w:rPr>
        <w:t xml:space="preserve">Figure 23. </w:t>
      </w:r>
      <w:r>
        <w:rPr>
          <w:color w:val="52514E"/>
          <w:sz w:val="18"/>
          <w:szCs w:val="18"/>
        </w:rPr>
        <w:t xml:space="preserve">Hotspots: rules vs HydraNet.</w:t>
      </w:r>
    </w:p>
    <w:p>
      <w:pPr>
        <w:pStyle w:val="Heading2"/>
      </w:pPr>
      <w:r>
        <w:t xml:space="preserve">11.5 Speed and size</w:t>
      </w:r>
    </w:p>
    <w:p>
      <w:pPr>
        <w:keepNext/>
        <w:spacing w:before="120" w:after="40"/>
        <w:jc w:val="center"/>
      </w:pPr>
      <w:r>
        <w:drawing>
          <wp:inline distT="0" distB="0" distL="0" distR="0">
            <wp:extent cx="5305425" cy="2009775"/>
            <wp:effectExtent t="0" r="0" b="0" l="0"/>
            <wp:docPr id="1" name="chart_speed.png" descr="Time for five scenes on one CPU, end to end." title="Time for five scenes on one CPU,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05425" cy="2009775"/>
                    </a:xfrm>
                    <a:prstGeom prst="rect">
                      <a:avLst/>
                    </a:prstGeom>
                  </pic:spPr>
                </pic:pic>
              </a:graphicData>
            </a:graphic>
          </wp:inline>
        </w:drawing>
      </w:r>
    </w:p>
    <w:p>
      <w:pPr>
        <w:spacing w:after="200"/>
        <w:jc w:val="center"/>
      </w:pPr>
      <w:r>
        <w:rPr>
          <w:b/>
          <w:bCs/>
          <w:color w:val="52514E"/>
          <w:sz w:val="18"/>
          <w:szCs w:val="18"/>
        </w:rPr>
        <w:t xml:space="preserve">Figure 24. </w:t>
      </w:r>
      <w:r>
        <w:rPr>
          <w:color w:val="52514E"/>
          <w:sz w:val="18"/>
          <w:szCs w:val="18"/>
        </w:rPr>
        <w:t xml:space="preserve">Time for five scenes on one CPU, end to end.</w:t>
      </w:r>
    </w:p>
    <w:p>
      <w:pPr>
        <w:spacing w:after="120" w:line="276"/>
      </w:pPr>
      <w:r>
        <w:t xml:space="preserve">Minerals 10× and agriculture 7× faster end to end (25× and 8× for the model step alone); on the real Death Valley box 0.09 s vs 1.0 s. For thermal the network is slower: it needs the same scene statistics as the rules, which are already cheap.</w:t>
      </w:r>
    </w:p>
    <w:p>
      <w:pPr>
        <w:pStyle w:val="Heading1"/>
        <w:pageBreakBefore/>
      </w:pPr>
      <w:r>
        <w:t xml:space="preserve">12. Classical methods vs HydraNet</w:t>
      </w:r>
    </w:p>
    <w:p>
      <w:pPr>
        <w:keepNext/>
        <w:spacing w:before="120" w:after="60"/>
      </w:pPr>
      <w:r>
        <w:rPr>
          <w:b/>
          <w:bCs/>
          <w:color w:val="52514E"/>
          <w:sz w:val="18"/>
          <w:szCs w:val="18"/>
        </w:rPr>
        <w:t xml:space="preserve">Table 20. </w:t>
      </w:r>
      <w:r>
        <w:rPr>
          <w:color w:val="52514E"/>
          <w:sz w:val="18"/>
          <w:szCs w:val="18"/>
        </w:rPr>
        <w:t xml:space="preserve">Side by side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52"/>
        <w:gridCol w:w="3293"/>
        <w:gridCol w:w="3781"/>
      </w:tblGrid>
      <w:tr>
        <w:trPr>
          <w:tblHeader/>
        </w:trPr>
        <w:tc>
          <w:tcPr>
            <w:tcW w:type="dxa" w:w="1952"/>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Aspect</w:t>
            </w:r>
          </w:p>
        </w:tc>
        <w:tc>
          <w:tcPr>
            <w:tcW w:type="dxa" w:w="3293"/>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Classical methods</w:t>
            </w:r>
          </w:p>
        </w:tc>
        <w:tc>
          <w:tcPr>
            <w:tcW w:type="dxa" w:w="3781"/>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HydraNet v1</w:t>
            </w:r>
          </w:p>
        </w:tc>
      </w:tr>
      <w:tr>
        <w:tc>
          <w:tcPr>
            <w:tcW w:type="dxa" w:w="195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What runs</w:t>
            </w:r>
          </w:p>
        </w:tc>
        <w:tc>
          <w:tcPr>
            <w:tcW w:type="dxa" w:w="329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SAM + NNLS unmixing, k-NN in a 100,000-entry LUT, thermal rules</w:t>
            </w:r>
          </w:p>
        </w:tc>
        <w:tc>
          <w:tcPr>
            <w:tcW w:type="dxa" w:w="378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one 2 MB ONNX file, three inputs, nine outputs</w:t>
            </w:r>
          </w:p>
        </w:tc>
      </w:tr>
      <w:tr>
        <w:tc>
          <w:tcPr>
            <w:tcW w:type="dxa" w:w="195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Accuracy</w:t>
            </w:r>
          </w:p>
        </w:tc>
        <w:tc>
          <w:tcPr>
            <w:tcW w:type="dxa" w:w="329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the reference</w:t>
            </w:r>
          </w:p>
        </w:tc>
        <w:tc>
          <w:tcPr>
            <w:tcW w:type="dxa" w:w="378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reproduces it on real EMIT: class 99.99–100 %, abundance error ≤ 0.004, crop traits 1.3–4.5 % on cropland</w:t>
            </w:r>
          </w:p>
        </w:tc>
      </w:tr>
      <w:tr>
        <w:tc>
          <w:tcPr>
            <w:tcW w:type="dxa" w:w="195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Speed (CPU)</w:t>
            </w:r>
          </w:p>
        </w:tc>
        <w:tc>
          <w:tcPr>
            <w:tcW w:type="dxa" w:w="329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per-pixel search and optimisation</w:t>
            </w:r>
          </w:p>
        </w:tc>
        <w:tc>
          <w:tcPr>
            <w:tcW w:type="dxa" w:w="378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minerals 10×, agriculture 7× faster; thermal slower</w:t>
            </w:r>
          </w:p>
        </w:tc>
      </w:tr>
      <w:tr>
        <w:tc>
          <w:tcPr>
            <w:tcW w:type="dxa" w:w="195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Scaling</w:t>
            </w:r>
          </w:p>
        </w:tc>
        <w:tc>
          <w:tcPr>
            <w:tcW w:type="dxa" w:w="329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cost grows with library and LUT size</w:t>
            </w:r>
          </w:p>
        </w:tc>
        <w:tc>
          <w:tcPr>
            <w:tcW w:type="dxa" w:w="378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fixed cost per pixel, batched; scales with workers</w:t>
            </w:r>
          </w:p>
        </w:tc>
      </w:tr>
      <w:tr>
        <w:tc>
          <w:tcPr>
            <w:tcW w:type="dxa" w:w="195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Uncertainty</w:t>
            </w:r>
          </w:p>
        </w:tc>
        <w:tc>
          <w:tcPr>
            <w:tcW w:type="dxa" w:w="329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LUT spread (agriculture)</w:t>
            </w:r>
          </w:p>
        </w:tc>
        <w:tc>
          <w:tcPr>
            <w:tcW w:type="dxa" w:w="378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per-pixel confidence (minerals) and std (agriculture)</w:t>
            </w:r>
          </w:p>
        </w:tc>
      </w:tr>
      <w:tr>
        <w:tc>
          <w:tcPr>
            <w:tcW w:type="dxa" w:w="195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Portability</w:t>
            </w:r>
          </w:p>
        </w:tc>
        <w:tc>
          <w:tcPr>
            <w:tcW w:type="dxa" w:w="329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Python/numba/scipy</w:t>
            </w:r>
          </w:p>
        </w:tc>
        <w:tc>
          <w:tcPr>
            <w:tcW w:type="dxa" w:w="378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ONNX Runtime on CPU, GPU, browser or edge</w:t>
            </w:r>
          </w:p>
        </w:tc>
      </w:tr>
      <w:tr>
        <w:tc>
          <w:tcPr>
            <w:tcW w:type="dxa" w:w="195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Can it beat the teacher?</w:t>
            </w:r>
          </w:p>
        </w:tc>
        <w:tc>
          <w:tcPr>
            <w:tcW w:type="dxa" w:w="329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w:t>
            </w:r>
          </w:p>
        </w:tc>
        <w:tc>
          <w:tcPr>
            <w:tcW w:type="dxa" w:w="378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not as trained (it learns the teacher); ground truth is the route (section 15)</w:t>
            </w:r>
          </w:p>
        </w:tc>
      </w:tr>
    </w:tbl>
    <w:p>
      <w:pPr>
        <w:spacing w:after="120"/>
      </w:pPr>
    </w:p>
    <w:p>
      <w:pPr>
        <w:pStyle w:val="ListParagraph"/>
        <w:numPr>
          <w:ilvl w:val="0"/>
          <w:numId w:val="4"/>
        </w:numPr>
        <w:spacing w:after="60"/>
      </w:pPr>
      <w:r>
        <w:rPr>
          <w:b/>
          <w:bCs/>
        </w:rPr>
        <w:t xml:space="preserve">Speed where it matters:</w:t>
      </w:r>
      <w:r>
        <w:t xml:space="preserve"> library search, unmixing and LUT search become one batched matrix pass.</w:t>
      </w:r>
    </w:p>
    <w:p>
      <w:pPr>
        <w:pStyle w:val="ListParagraph"/>
        <w:numPr>
          <w:ilvl w:val="0"/>
          <w:numId w:val="4"/>
        </w:numPr>
        <w:spacing w:after="60"/>
      </w:pPr>
      <w:r>
        <w:rPr>
          <w:b/>
          <w:bCs/>
        </w:rPr>
        <w:t xml:space="preserve">One verified artifact:</w:t>
      </w:r>
      <w:r>
        <w:t xml:space="preserve"> versioned, gated, hot-swapped and rolled back as a unit; the classical code stays as the verifier.</w:t>
      </w:r>
    </w:p>
    <w:p>
      <w:pPr>
        <w:pStyle w:val="ListParagraph"/>
        <w:numPr>
          <w:ilvl w:val="0"/>
          <w:numId w:val="4"/>
        </w:numPr>
        <w:spacing w:after="60"/>
      </w:pPr>
      <w:r>
        <w:rPr>
          <w:b/>
          <w:bCs/>
        </w:rPr>
        <w:t xml:space="preserve">Verified, not trusted:</w:t>
      </w:r>
      <w:r>
        <w:t xml:space="preserve"> release gates on two real scenes, whole-scene map checks, and shadow verification on every job with alerts.</w:t>
      </w:r>
    </w:p>
    <w:p>
      <w:pPr>
        <w:pStyle w:val="ListParagraph"/>
        <w:numPr>
          <w:ilvl w:val="0"/>
          <w:numId w:val="4"/>
        </w:numPr>
        <w:spacing w:after="60"/>
      </w:pPr>
      <w:r>
        <w:rPr>
          <w:b/>
          <w:bCs/>
        </w:rPr>
        <w:t xml:space="preserve">A base to improve:</w:t>
      </w:r>
      <w:r>
        <w:t xml:space="preserve"> unlike fixed rules, the network can be fine-tuned on field data or fire records.</w:t>
      </w:r>
    </w:p>
    <w:p>
      <w:pPr>
        <w:pStyle w:val="Heading1"/>
        <w:pageBreakBefore/>
      </w:pPr>
      <w:r>
        <w:t xml:space="preserve">13. Serving and the web application</w:t>
      </w:r>
    </w:p>
    <w:p>
      <w:pPr>
        <w:pStyle w:val="ListParagraph"/>
        <w:numPr>
          <w:ilvl w:val="0"/>
          <w:numId w:val="4"/>
        </w:numPr>
        <w:spacing w:after="60"/>
      </w:pPr>
      <w:r>
        <w:t xml:space="preserve">The model store downloads the active version and </w:t>
      </w:r>
      <w:r>
        <w:rPr>
          <w:b/>
          <w:bCs/>
        </w:rPr>
        <w:t xml:space="preserve">hot-swaps</w:t>
      </w:r>
      <w:r>
        <w:t xml:space="preserve"> it between messages; a model built for another feature spec is refused and the old one keeps serving.</w:t>
      </w:r>
    </w:p>
    <w:p>
      <w:pPr>
        <w:pStyle w:val="ListParagraph"/>
        <w:numPr>
          <w:ilvl w:val="0"/>
          <w:numId w:val="4"/>
        </w:numPr>
        <w:spacing w:after="60"/>
      </w:pPr>
      <w:r>
        <w:t xml:space="preserve">Layers are written as Cloud-Optimized GeoTIFF (exact values) and colour PNG, with a STAC item; maps reach the browser through 15-minute presigned URLs.</w:t>
      </w:r>
    </w:p>
    <w:p>
      <w:pPr>
        <w:pStyle w:val="ListParagraph"/>
        <w:numPr>
          <w:ilvl w:val="0"/>
          <w:numId w:val="4"/>
        </w:numPr>
        <w:spacing w:after="60"/>
      </w:pPr>
      <w:r>
        <w:rPr>
          <w:b/>
          <w:bCs/>
        </w:rPr>
        <w:t xml:space="preserve">Shadow verification:</w:t>
      </w:r>
      <w:r>
        <w:t xml:space="preserve"> a random sample of each job is re-run with the classical method. Classes are judged by pixel agreement, continuous maps by error as a share of the value's range (≤ 5 %); R² is shown for information only because it collapses on uniform areas (a LAI R² of 0.27 with only 3.7 % error was observed).</w:t>
      </w:r>
    </w:p>
    <w:p>
      <w:pPr>
        <w:pStyle w:val="ListParagraph"/>
        <w:numPr>
          <w:ilvl w:val="0"/>
          <w:numId w:val="4"/>
        </w:numPr>
        <w:spacing w:after="60"/>
      </w:pPr>
      <w:r>
        <w:t xml:space="preserve">Abundance layers are written only for minerals present (≥ 2 % mean abundance or ≥ 1 % of pixels); the layer menu separates Main maps from More detail.</w:t>
      </w:r>
    </w:p>
    <w:p>
      <w:pPr>
        <w:keepNext/>
        <w:spacing w:before="120" w:after="40"/>
        <w:jc w:val="center"/>
      </w:pPr>
      <w:r>
        <w:drawing>
          <wp:inline distT="0" distB="0" distL="0" distR="0">
            <wp:extent cx="5486400" cy="3276600"/>
            <wp:effectExtent t="0" r="0" b="0" l="0"/>
            <wp:docPr id="1" name="ui_login.png" descr="Sign-in page." title="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86400" cy="3276600"/>
                    </a:xfrm>
                    <a:prstGeom prst="rect">
                      <a:avLst/>
                    </a:prstGeom>
                  </pic:spPr>
                </pic:pic>
              </a:graphicData>
            </a:graphic>
          </wp:inline>
        </w:drawing>
      </w:r>
    </w:p>
    <w:p>
      <w:pPr>
        <w:spacing w:after="200"/>
        <w:jc w:val="center"/>
      </w:pPr>
      <w:r>
        <w:rPr>
          <w:b/>
          <w:bCs/>
          <w:color w:val="52514E"/>
          <w:sz w:val="18"/>
          <w:szCs w:val="18"/>
        </w:rPr>
        <w:t xml:space="preserve">Figure 25. </w:t>
      </w:r>
      <w:r>
        <w:rPr>
          <w:color w:val="52514E"/>
          <w:sz w:val="18"/>
          <w:szCs w:val="18"/>
        </w:rPr>
        <w:t xml:space="preserve">Sign-in page.</w:t>
      </w:r>
    </w:p>
    <w:p>
      <w:pPr>
        <w:keepNext/>
        <w:spacing w:before="120" w:after="40"/>
        <w:jc w:val="center"/>
      </w:pPr>
      <w:r>
        <w:drawing>
          <wp:inline distT="0" distB="0" distL="0" distR="0">
            <wp:extent cx="5486400" cy="3276600"/>
            <wp:effectExtent t="0" r="0" b="0" l="0"/>
            <wp:docPr id="1" name="ui_coverage.png" descr="EMIT coverage for the last 12 months: dimmed where no usable scene exists." title="EMIT coverage for the last 12 months: dimmed where no usable scene exi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3276600"/>
                    </a:xfrm>
                    <a:prstGeom prst="rect">
                      <a:avLst/>
                    </a:prstGeom>
                  </pic:spPr>
                </pic:pic>
              </a:graphicData>
            </a:graphic>
          </wp:inline>
        </w:drawing>
      </w:r>
    </w:p>
    <w:p>
      <w:pPr>
        <w:spacing w:after="200"/>
        <w:jc w:val="center"/>
      </w:pPr>
      <w:r>
        <w:rPr>
          <w:b/>
          <w:bCs/>
          <w:color w:val="52514E"/>
          <w:sz w:val="18"/>
          <w:szCs w:val="18"/>
        </w:rPr>
        <w:t xml:space="preserve">Figure 26. </w:t>
      </w:r>
      <w:r>
        <w:rPr>
          <w:color w:val="52514E"/>
          <w:sz w:val="18"/>
          <w:szCs w:val="18"/>
        </w:rPr>
        <w:t xml:space="preserve">EMIT coverage for the last 12 months: dimmed where no usable scene exists.</w:t>
      </w:r>
    </w:p>
    <w:p>
      <w:pPr>
        <w:keepNext/>
        <w:spacing w:before="120" w:after="40"/>
        <w:jc w:val="center"/>
      </w:pPr>
      <w:r>
        <w:drawing>
          <wp:inline distT="0" distB="0" distL="0" distR="0">
            <wp:extent cx="5486400" cy="3276600"/>
            <wp:effectExtent t="0" r="0" b="0" l="0"/>
            <wp:docPr id="1" name="ui_workspace.png" descr="A box inside the coverage: the form confirms a scene and says it is already downloaded." title="A box inside the coverage: the form confirms a scene and says it is already downlo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3276600"/>
                    </a:xfrm>
                    <a:prstGeom prst="rect">
                      <a:avLst/>
                    </a:prstGeom>
                  </pic:spPr>
                </pic:pic>
              </a:graphicData>
            </a:graphic>
          </wp:inline>
        </w:drawing>
      </w:r>
    </w:p>
    <w:p>
      <w:pPr>
        <w:spacing w:after="200"/>
        <w:jc w:val="center"/>
      </w:pPr>
      <w:r>
        <w:rPr>
          <w:b/>
          <w:bCs/>
          <w:color w:val="52514E"/>
          <w:sz w:val="18"/>
          <w:szCs w:val="18"/>
        </w:rPr>
        <w:t xml:space="preserve">Figure 27. </w:t>
      </w:r>
      <w:r>
        <w:rPr>
          <w:color w:val="52514E"/>
          <w:sz w:val="18"/>
          <w:szCs w:val="18"/>
        </w:rPr>
        <w:t xml:space="preserve">A box inside the coverage: the form confirms a scene and says it is already downloaded.</w:t>
      </w:r>
    </w:p>
    <w:p>
      <w:pPr>
        <w:keepNext/>
        <w:spacing w:before="120" w:after="40"/>
        <w:jc w:val="center"/>
      </w:pPr>
      <w:r>
        <w:drawing>
          <wp:inline distT="0" distB="0" distL="0" distR="0">
            <wp:extent cx="5486400" cy="3276600"/>
            <wp:effectExtent t="0" r="0" b="0" l="0"/>
            <wp:docPr id="1" name="ui_agriculture.png" descr="Real job: agriculture maps." title="Real job: agriculture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3276600"/>
                    </a:xfrm>
                    <a:prstGeom prst="rect">
                      <a:avLst/>
                    </a:prstGeom>
                  </pic:spPr>
                </pic:pic>
              </a:graphicData>
            </a:graphic>
          </wp:inline>
        </w:drawing>
      </w:r>
    </w:p>
    <w:p>
      <w:pPr>
        <w:spacing w:after="200"/>
        <w:jc w:val="center"/>
      </w:pPr>
      <w:r>
        <w:rPr>
          <w:b/>
          <w:bCs/>
          <w:color w:val="52514E"/>
          <w:sz w:val="18"/>
          <w:szCs w:val="18"/>
        </w:rPr>
        <w:t xml:space="preserve">Figure 28. </w:t>
      </w:r>
      <w:r>
        <w:rPr>
          <w:color w:val="52514E"/>
          <w:sz w:val="18"/>
          <w:szCs w:val="18"/>
        </w:rPr>
        <w:t xml:space="preserve">Real job: agriculture maps.</w:t>
      </w:r>
    </w:p>
    <w:p>
      <w:pPr>
        <w:keepNext/>
        <w:spacing w:before="120" w:after="40"/>
        <w:jc w:val="center"/>
      </w:pPr>
      <w:r>
        <w:drawing>
          <wp:inline distT="0" distB="0" distL="0" distR="0">
            <wp:extent cx="5486400" cy="10725150"/>
            <wp:effectExtent t="0" r="0" b="0" l="0"/>
            <wp:docPr id="1" name="ui_checks.png" descr="The check against the classical method, judged by error as a share of range." title="The check against the classical method, judged by error as a share of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86400" cy="10725150"/>
                    </a:xfrm>
                    <a:prstGeom prst="rect">
                      <a:avLst/>
                    </a:prstGeom>
                  </pic:spPr>
                </pic:pic>
              </a:graphicData>
            </a:graphic>
          </wp:inline>
        </w:drawing>
      </w:r>
    </w:p>
    <w:p>
      <w:pPr>
        <w:spacing w:after="200"/>
        <w:jc w:val="center"/>
      </w:pPr>
      <w:r>
        <w:rPr>
          <w:b/>
          <w:bCs/>
          <w:color w:val="52514E"/>
          <w:sz w:val="18"/>
          <w:szCs w:val="18"/>
        </w:rPr>
        <w:t xml:space="preserve">Figure 29. </w:t>
      </w:r>
      <w:r>
        <w:rPr>
          <w:color w:val="52514E"/>
          <w:sz w:val="18"/>
          <w:szCs w:val="18"/>
        </w:rPr>
        <w:t xml:space="preserve">The check against the classical method, judged by error as a share of range.</w:t>
      </w:r>
    </w:p>
    <w:p>
      <w:pPr>
        <w:keepNext/>
        <w:spacing w:before="120" w:after="40"/>
        <w:jc w:val="center"/>
      </w:pPr>
      <w:r>
        <w:drawing>
          <wp:inline distT="0" distB="0" distL="0" distR="0">
            <wp:extent cx="5486400" cy="3276600"/>
            <wp:effectExtent t="0" r="0" b="0" l="0"/>
            <wp:docPr id="1" name="ui_minerals.png" descr="Real job: dominant mineral." title="Real job: dominant mi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86400" cy="3276600"/>
                    </a:xfrm>
                    <a:prstGeom prst="rect">
                      <a:avLst/>
                    </a:prstGeom>
                  </pic:spPr>
                </pic:pic>
              </a:graphicData>
            </a:graphic>
          </wp:inline>
        </w:drawing>
      </w:r>
    </w:p>
    <w:p>
      <w:pPr>
        <w:spacing w:after="200"/>
        <w:jc w:val="center"/>
      </w:pPr>
      <w:r>
        <w:rPr>
          <w:b/>
          <w:bCs/>
          <w:color w:val="52514E"/>
          <w:sz w:val="18"/>
          <w:szCs w:val="18"/>
        </w:rPr>
        <w:t xml:space="preserve">Figure 30. </w:t>
      </w:r>
      <w:r>
        <w:rPr>
          <w:color w:val="52514E"/>
          <w:sz w:val="18"/>
          <w:szCs w:val="18"/>
        </w:rPr>
        <w:t xml:space="preserve">Real job: dominant mineral.</w:t>
      </w:r>
    </w:p>
    <w:p>
      <w:pPr>
        <w:keepNext/>
        <w:spacing w:before="120" w:after="40"/>
        <w:jc w:val="center"/>
      </w:pPr>
      <w:r>
        <w:drawing>
          <wp:inline distT="0" distB="0" distL="0" distR="0">
            <wp:extent cx="5486400" cy="3276600"/>
            <wp:effectExtent t="0" r="0" b="0" l="0"/>
            <wp:docPr id="1" name="ui_thermal.png" descr="Real job: thermal maps." title="Real job: thermal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276600"/>
                    </a:xfrm>
                    <a:prstGeom prst="rect">
                      <a:avLst/>
                    </a:prstGeom>
                  </pic:spPr>
                </pic:pic>
              </a:graphicData>
            </a:graphic>
          </wp:inline>
        </w:drawing>
      </w:r>
    </w:p>
    <w:p>
      <w:pPr>
        <w:spacing w:after="200"/>
        <w:jc w:val="center"/>
      </w:pPr>
      <w:r>
        <w:rPr>
          <w:b/>
          <w:bCs/>
          <w:color w:val="52514E"/>
          <w:sz w:val="18"/>
          <w:szCs w:val="18"/>
        </w:rPr>
        <w:t xml:space="preserve">Figure 31. </w:t>
      </w:r>
      <w:r>
        <w:rPr>
          <w:color w:val="52514E"/>
          <w:sz w:val="18"/>
          <w:szCs w:val="18"/>
        </w:rPr>
        <w:t xml:space="preserve">Real job: thermal maps.</w:t>
      </w:r>
    </w:p>
    <w:p>
      <w:pPr>
        <w:keepNext/>
        <w:spacing w:before="120" w:after="40"/>
        <w:jc w:val="center"/>
      </w:pPr>
      <w:r>
        <w:drawing>
          <wp:inline distT="0" distB="0" distL="0" distR="0">
            <wp:extent cx="5486400" cy="3276600"/>
            <wp:effectExtent t="0" r="0" b="0" l="0"/>
            <wp:docPr id="1" name="ui_inspector.png" descr="Pixel inspector." title="Pixel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486400" cy="3276600"/>
                    </a:xfrm>
                    <a:prstGeom prst="rect">
                      <a:avLst/>
                    </a:prstGeom>
                  </pic:spPr>
                </pic:pic>
              </a:graphicData>
            </a:graphic>
          </wp:inline>
        </w:drawing>
      </w:r>
    </w:p>
    <w:p>
      <w:pPr>
        <w:spacing w:after="200"/>
        <w:jc w:val="center"/>
      </w:pPr>
      <w:r>
        <w:rPr>
          <w:b/>
          <w:bCs/>
          <w:color w:val="52514E"/>
          <w:sz w:val="18"/>
          <w:szCs w:val="18"/>
        </w:rPr>
        <w:t xml:space="preserve">Figure 32. </w:t>
      </w:r>
      <w:r>
        <w:rPr>
          <w:color w:val="52514E"/>
          <w:sz w:val="18"/>
          <w:szCs w:val="18"/>
        </w:rPr>
        <w:t xml:space="preserve">Pixel inspector.</w:t>
      </w:r>
    </w:p>
    <w:p>
      <w:pPr>
        <w:keepNext/>
        <w:spacing w:before="120" w:after="40"/>
        <w:jc w:val="center"/>
      </w:pPr>
      <w:r>
        <w:drawing>
          <wp:inline distT="0" distB="0" distL="0" distR="0">
            <wp:extent cx="5486400" cy="3276600"/>
            <wp:effectExtent t="0" r="0" b="0" l="0"/>
            <wp:docPr id="1" name="ui_deathvalley.png" descr="Death Valley (held-out scene): minerals." title="Death Valley (held-out scene): miner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276600"/>
                    </a:xfrm>
                    <a:prstGeom prst="rect">
                      <a:avLst/>
                    </a:prstGeom>
                  </pic:spPr>
                </pic:pic>
              </a:graphicData>
            </a:graphic>
          </wp:inline>
        </w:drawing>
      </w:r>
    </w:p>
    <w:p>
      <w:pPr>
        <w:spacing w:after="200"/>
        <w:jc w:val="center"/>
      </w:pPr>
      <w:r>
        <w:rPr>
          <w:b/>
          <w:bCs/>
          <w:color w:val="52514E"/>
          <w:sz w:val="18"/>
          <w:szCs w:val="18"/>
        </w:rPr>
        <w:t xml:space="preserve">Figure 33. </w:t>
      </w:r>
      <w:r>
        <w:rPr>
          <w:color w:val="52514E"/>
          <w:sz w:val="18"/>
          <w:szCs w:val="18"/>
        </w:rPr>
        <w:t xml:space="preserve">Death Valley (held-out scene): minerals.</w:t>
      </w:r>
    </w:p>
    <w:p>
      <w:pPr>
        <w:keepNext/>
        <w:spacing w:before="120" w:after="40"/>
        <w:jc w:val="center"/>
      </w:pPr>
      <w:r>
        <w:drawing>
          <wp:inline distT="0" distB="0" distL="0" distR="0">
            <wp:extent cx="5486400" cy="3276600"/>
            <wp:effectExtent t="0" r="0" b="0" l="0"/>
            <wp:docPr id="1" name="ui_platform.png" descr="Platform page: the active model and all its gates." title="Platform page: the active model and all its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486400" cy="3276600"/>
                    </a:xfrm>
                    <a:prstGeom prst="rect">
                      <a:avLst/>
                    </a:prstGeom>
                  </pic:spPr>
                </pic:pic>
              </a:graphicData>
            </a:graphic>
          </wp:inline>
        </w:drawing>
      </w:r>
    </w:p>
    <w:p>
      <w:pPr>
        <w:spacing w:after="200"/>
        <w:jc w:val="center"/>
      </w:pPr>
      <w:r>
        <w:rPr>
          <w:b/>
          <w:bCs/>
          <w:color w:val="52514E"/>
          <w:sz w:val="18"/>
          <w:szCs w:val="18"/>
        </w:rPr>
        <w:t xml:space="preserve">Figure 34. </w:t>
      </w:r>
      <w:r>
        <w:rPr>
          <w:color w:val="52514E"/>
          <w:sz w:val="18"/>
          <w:szCs w:val="18"/>
        </w:rPr>
        <w:t xml:space="preserve">Platform page: the active model and all its gates.</w:t>
      </w:r>
    </w:p>
    <w:p>
      <w:pPr>
        <w:pStyle w:val="Heading1"/>
        <w:pageBreakBefore/>
      </w:pPr>
      <w:r>
        <w:t xml:space="preserve">14. Security, scale, deployment and testing</w:t>
      </w:r>
    </w:p>
    <w:p>
      <w:pPr>
        <w:keepNext/>
        <w:spacing w:before="120" w:after="60"/>
      </w:pPr>
      <w:r>
        <w:rPr>
          <w:b/>
          <w:bCs/>
          <w:color w:val="52514E"/>
          <w:sz w:val="18"/>
          <w:szCs w:val="18"/>
        </w:rPr>
        <w:t xml:space="preserve">Table 21. </w:t>
      </w:r>
      <w:r>
        <w:rPr>
          <w:color w:val="52514E"/>
          <w:sz w:val="18"/>
          <w:szCs w:val="18"/>
        </w:rPr>
        <w:t xml:space="preserve">Security (tests/security.py: 63 attacks, none succeed)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9"/>
        <w:gridCol w:w="6587"/>
      </w:tblGrid>
      <w:tr>
        <w:trPr>
          <w:tblHeader/>
        </w:trPr>
        <w:tc>
          <w:tcPr>
            <w:tcW w:type="dxa" w:w="2439"/>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Threat</w:t>
            </w:r>
          </w:p>
        </w:tc>
        <w:tc>
          <w:tcPr>
            <w:tcW w:type="dxa" w:w="6587"/>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Control</w:t>
            </w:r>
          </w:p>
        </w:tc>
      </w:tr>
      <w:tr>
        <w:tc>
          <w:tcPr>
            <w:tcW w:type="dxa" w:w="243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Password guessing</w:t>
            </w:r>
          </w:p>
        </w:tc>
        <w:tc>
          <w:tcPr>
            <w:tcW w:type="dxa" w:w="658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per-IP limit (20/min), per-account lockout (10 → 15 min), bcrypt cost 11, ≥ 10-character passwords</w:t>
            </w:r>
          </w:p>
        </w:tc>
      </w:tr>
      <w:tr>
        <w:tc>
          <w:tcPr>
            <w:tcW w:type="dxa" w:w="243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Fake client IP</w:t>
            </w:r>
          </w:p>
        </w:tc>
        <w:tc>
          <w:tcPr>
            <w:tcW w:type="dxa" w:w="658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nginx overwrites X-Real-IP with the TCP peer; X-Forwarded-For never trusted</w:t>
            </w:r>
          </w:p>
        </w:tc>
      </w:tr>
      <w:tr>
        <w:tc>
          <w:tcPr>
            <w:tcW w:type="dxa" w:w="243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Forged or stolen tokens</w:t>
            </w:r>
          </w:p>
        </w:tc>
        <w:tc>
          <w:tcPr>
            <w:tcW w:type="dxa" w:w="658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HS256 only with key ring; 15-minute access tokens in memory; rotating HttpOnly refresh cookies with reuse detection; single-use stream tickets</w:t>
            </w:r>
          </w:p>
        </w:tc>
      </w:tr>
      <w:tr>
        <w:tc>
          <w:tcPr>
            <w:tcW w:type="dxa" w:w="243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CSRF, IDOR, injection, XSS</w:t>
            </w:r>
          </w:p>
        </w:tc>
        <w:tc>
          <w:tcPr>
            <w:tcW w:type="dxa" w:w="658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SameSite=Strict + header + Origin; ownership checks (404); parameterised SQL; strict CSP and headers</w:t>
            </w:r>
          </w:p>
        </w:tc>
      </w:tr>
      <w:tr>
        <w:tc>
          <w:tcPr>
            <w:tcW w:type="dxa" w:w="243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Abuse, compromised container</w:t>
            </w:r>
          </w:p>
        </w:tc>
        <w:tc>
          <w:tcPr>
            <w:tcW w:type="dxa" w:w="658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body cap, admission control; non-root, no capabilities, read-only roots, internal services unpublished</w:t>
            </w:r>
          </w:p>
        </w:tc>
      </w:tr>
      <w:tr>
        <w:tc>
          <w:tcPr>
            <w:tcW w:type="dxa" w:w="2439"/>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Dependencies, secrets</w:t>
            </w:r>
          </w:p>
        </w:tc>
        <w:tc>
          <w:tcPr>
            <w:tcW w:type="dxa" w:w="6587"/>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govulncheck, pip-audit, npm audit, Trivy, gitleaks in CI; secrets in .env (local) / SSM (AWS)</w:t>
            </w:r>
          </w:p>
        </w:tc>
      </w:tr>
    </w:tbl>
    <w:p>
      <w:pPr>
        <w:spacing w:after="120"/>
      </w:pPr>
    </w:p>
    <w:p>
      <w:pPr>
        <w:keepNext/>
        <w:spacing w:before="120" w:after="60"/>
      </w:pPr>
      <w:r>
        <w:rPr>
          <w:b/>
          <w:bCs/>
          <w:color w:val="52514E"/>
          <w:sz w:val="18"/>
          <w:szCs w:val="18"/>
        </w:rPr>
        <w:t xml:space="preserve">Table 22. </w:t>
      </w:r>
      <w:r>
        <w:rPr>
          <w:color w:val="52514E"/>
          <w:sz w:val="18"/>
          <w:szCs w:val="18"/>
        </w:rPr>
        <w:t xml:space="preserve">Load (k6, one laptop)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3"/>
        <w:gridCol w:w="5123"/>
      </w:tblGrid>
      <w:tr>
        <w:trPr>
          <w:tblHeader/>
        </w:trPr>
        <w:tc>
          <w:tcPr>
            <w:tcW w:type="dxa" w:w="3903"/>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Load test</w:t>
            </w:r>
          </w:p>
        </w:tc>
        <w:tc>
          <w:tcPr>
            <w:tcW w:type="dxa" w:w="5123"/>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Result</w:t>
            </w:r>
          </w:p>
        </w:tc>
      </w:tr>
      <w:tr>
        <w:tc>
          <w:tcPr>
            <w:tcW w:type="dxa" w:w="390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300 concurrent users (register, submit, poll, layers)</w:t>
            </w:r>
          </w:p>
        </w:tc>
        <w:tc>
          <w:tcPr>
            <w:tcW w:type="dxa" w:w="512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 failed of 54,694 requests; API p95 4.1 ms, submit 7.4 ms, layers 5.9 ms</w:t>
            </w:r>
          </w:p>
        </w:tc>
      </w:tr>
      <w:tr>
        <w:tc>
          <w:tcPr>
            <w:tcW w:type="dxa" w:w="390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Distinct areas, 4 workers per stage</w:t>
            </w:r>
          </w:p>
        </w:tc>
        <w:tc>
          <w:tcPr>
            <w:tcW w:type="dxa" w:w="512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3.8 jobs/s (all three maps)</w:t>
            </w:r>
          </w:p>
        </w:tc>
      </w:tr>
    </w:tbl>
    <w:p>
      <w:pPr>
        <w:spacing w:after="120"/>
      </w:pPr>
    </w:p>
    <w:p>
      <w:pPr>
        <w:keepNext/>
        <w:spacing w:before="120" w:after="40"/>
        <w:jc w:val="center"/>
      </w:pPr>
      <w:r>
        <w:drawing>
          <wp:inline distT="0" distB="0" distL="0" distR="0">
            <wp:extent cx="5762625" cy="2181225"/>
            <wp:effectExtent t="0" r="0" b="0" l="0"/>
            <wp:docPr id="1" name="fig_aws.png" descr="AWS deployment (Terraform)." title="AWS deployment (Terra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62625" cy="2181225"/>
                    </a:xfrm>
                    <a:prstGeom prst="rect">
                      <a:avLst/>
                    </a:prstGeom>
                  </pic:spPr>
                </pic:pic>
              </a:graphicData>
            </a:graphic>
          </wp:inline>
        </w:drawing>
      </w:r>
    </w:p>
    <w:p>
      <w:pPr>
        <w:spacing w:after="200"/>
        <w:jc w:val="center"/>
      </w:pPr>
      <w:r>
        <w:rPr>
          <w:b/>
          <w:bCs/>
          <w:color w:val="52514E"/>
          <w:sz w:val="18"/>
          <w:szCs w:val="18"/>
        </w:rPr>
        <w:t xml:space="preserve">Figure 35. </w:t>
      </w:r>
      <w:r>
        <w:rPr>
          <w:color w:val="52514E"/>
          <w:sz w:val="18"/>
          <w:szCs w:val="18"/>
        </w:rPr>
        <w:t xml:space="preserve">AWS deployment (Terraform).</w:t>
      </w:r>
    </w:p>
    <w:p>
      <w:pPr>
        <w:spacing w:after="120" w:line="276"/>
      </w:pPr>
      <w:r>
        <w:t xml:space="preserve">us-west-2 (next to NASA's and USGS's data), one EC2 t4g.large running the compose stack, S3 data lake, CloudFront, ECR, SSM, Glue/Athena, budgets and night-time stop/start; GitHub Actions for CI, multi-arch releases, deployment over SSM with OIDC, and training. Moving to another S3-compatible store changes only the endpoint and keys.</w:t>
      </w:r>
    </w:p>
    <w:p>
      <w:pPr>
        <w:keepNext/>
        <w:spacing w:before="120" w:after="60"/>
      </w:pPr>
      <w:r>
        <w:rPr>
          <w:b/>
          <w:bCs/>
          <w:color w:val="52514E"/>
          <w:sz w:val="18"/>
          <w:szCs w:val="18"/>
        </w:rPr>
        <w:t xml:space="preserve">Table 23. </w:t>
      </w:r>
      <w:r>
        <w:rPr>
          <w:color w:val="52514E"/>
          <w:sz w:val="18"/>
          <w:szCs w:val="18"/>
        </w:rPr>
        <w:t xml:space="preserve">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13"/>
        <w:gridCol w:w="4751"/>
        <w:gridCol w:w="1662"/>
      </w:tblGrid>
      <w:tr>
        <w:trPr>
          <w:tblHeader/>
        </w:trPr>
        <w:tc>
          <w:tcPr>
            <w:tcW w:type="dxa" w:w="2613"/>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Suite</w:t>
            </w:r>
          </w:p>
        </w:tc>
        <w:tc>
          <w:tcPr>
            <w:tcW w:type="dxa" w:w="4751"/>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What it proves</w:t>
            </w:r>
          </w:p>
        </w:tc>
        <w:tc>
          <w:tcPr>
            <w:tcW w:type="dxa" w:w="1662"/>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Result</w:t>
            </w:r>
          </w:p>
        </w:tc>
      </w:tr>
      <w:tr>
        <w:tc>
          <w:tcPr>
            <w:tcW w:type="dxa" w:w="261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libs/hydra, libs/hs_common</w:t>
            </w:r>
          </w:p>
        </w:tc>
        <w:tc>
          <w:tcPr>
            <w:tcW w:type="dxa" w:w="475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classical methods = reference code; 530 features reproduce both MINERAL CSVs; teacher reproduces the real benchmark exactly; EMIT ortho and both mask layouts; ONNX runtime</w:t>
            </w:r>
          </w:p>
        </w:tc>
        <w:tc>
          <w:tcPr>
            <w:tcW w:type="dxa" w:w="166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22 passed</w:t>
            </w:r>
          </w:p>
        </w:tc>
      </w:tr>
      <w:tr>
        <w:tc>
          <w:tcPr>
            <w:tcW w:type="dxa" w:w="261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preprocessing/tests</w:t>
            </w:r>
          </w:p>
        </w:tc>
        <w:tc>
          <w:tcPr>
            <w:tcW w:type="dxa" w:w="475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Dask pipeline, Landsat calibration, contracts</w:t>
            </w:r>
          </w:p>
        </w:tc>
        <w:tc>
          <w:tcPr>
            <w:tcW w:type="dxa" w:w="166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57 passed</w:t>
            </w:r>
          </w:p>
        </w:tc>
      </w:tr>
      <w:tr>
        <w:tc>
          <w:tcPr>
            <w:tcW w:type="dxa" w:w="261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Go, frontend</w:t>
            </w:r>
          </w:p>
        </w:tc>
        <w:tc>
          <w:tcPr>
            <w:tcW w:type="dxa" w:w="475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contracts vs schemas; formatting, layers, coverage geometry</w:t>
            </w:r>
          </w:p>
        </w:tc>
        <w:tc>
          <w:tcPr>
            <w:tcW w:type="dxa" w:w="166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pass; 8 passed</w:t>
            </w:r>
          </w:p>
        </w:tc>
      </w:tr>
      <w:tr>
        <w:tc>
          <w:tcPr>
            <w:tcW w:type="dxa" w:w="261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training gates, verify_maps</w:t>
            </w:r>
          </w:p>
        </w:tc>
        <w:tc>
          <w:tcPr>
            <w:tcW w:type="dxa" w:w="475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the model reproduces the classical maps, incl. two real EMIT scenes and six real Landsat scenes</w:t>
            </w:r>
          </w:p>
        </w:tc>
        <w:tc>
          <w:tcPr>
            <w:tcW w:type="dxa" w:w="166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all 15 gates; all map checks</w:t>
            </w:r>
          </w:p>
        </w:tc>
      </w:tr>
      <w:tr>
        <w:tc>
          <w:tcPr>
            <w:tcW w:type="dxa" w:w="2613"/>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tests/e2e.py, ui_smoke.py, security.py, load</w:t>
            </w:r>
          </w:p>
        </w:tc>
        <w:tc>
          <w:tcPr>
            <w:tcW w:type="dxa" w:w="475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full stack, real browser with CSP, 63 attacks, 300 users</w:t>
            </w:r>
          </w:p>
        </w:tc>
        <w:tc>
          <w:tcPr>
            <w:tcW w:type="dxa" w:w="1662"/>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0 failures each</w:t>
            </w:r>
          </w:p>
        </w:tc>
      </w:tr>
    </w:tbl>
    <w:p>
      <w:pPr>
        <w:spacing w:after="120"/>
      </w:pPr>
    </w:p>
    <w:p>
      <w:pPr>
        <w:pStyle w:val="Heading1"/>
        <w:pageBreakBefore/>
      </w:pPr>
      <w:r>
        <w:t xml:space="preserve">15. Limitations, novelty and next steps</w:t>
      </w:r>
    </w:p>
    <w:p>
      <w:pPr>
        <w:pStyle w:val="ListParagraph"/>
        <w:numPr>
          <w:ilvl w:val="0"/>
          <w:numId w:val="4"/>
        </w:numPr>
        <w:spacing w:after="60"/>
      </w:pPr>
      <w:r>
        <w:t xml:space="preserve">Real-imagery validation covers 7 EMIT scenes in California and Central Valley farmland; other regions, seasons and sensors are not yet validated.</w:t>
      </w:r>
    </w:p>
    <w:p>
      <w:pPr>
        <w:pStyle w:val="ListParagraph"/>
        <w:numPr>
          <w:ilvl w:val="0"/>
          <w:numId w:val="4"/>
        </w:numPr>
        <w:spacing w:after="60"/>
      </w:pPr>
      <w:r>
        <w:t xml:space="preserve">Agriculture is meant for crops and natural canopies: on non-canopy 'vegetation' such as algal or brine surfaces at salt-lake edges, both PROSAIL inversion and the network are out of domain (Searles Lake: Cab error 22 % of range). Next step: flag pixels whose spectra are far from the PROSAIL training set.</w:t>
      </w:r>
    </w:p>
    <w:p>
      <w:pPr>
        <w:pStyle w:val="ListParagraph"/>
        <w:numPr>
          <w:ilvl w:val="0"/>
          <w:numId w:val="4"/>
        </w:numPr>
        <w:spacing w:after="60"/>
      </w:pPr>
      <w:r>
        <w:t xml:space="preserve">The network reproduces its teachers; it does not measure anything they cannot. Ground truth (field data, NASA FIRMS fire points) is the path to exceed them.</w:t>
      </w:r>
    </w:p>
    <w:p>
      <w:pPr>
        <w:pStyle w:val="ListParagraph"/>
        <w:numPr>
          <w:ilvl w:val="0"/>
          <w:numId w:val="4"/>
        </w:numPr>
        <w:spacing w:after="60"/>
      </w:pPr>
      <w:r>
        <w:t xml:space="preserve">Thermal: the hardest scene agrees 98.8 % on hotspots; labels are the detector's rules (the dataset has no labels).</w:t>
      </w:r>
    </w:p>
    <w:p>
      <w:pPr>
        <w:spacing w:after="120" w:line="276"/>
      </w:pPr>
      <w:r>
        <w:rPr>
          <w:b/>
          <w:bCs/>
        </w:rPr>
        <w:t xml:space="preserve">Novelty:</w:t>
      </w:r>
      <w:r>
        <w:t xml:space="preserve"> neural emulation of PROSAIL inversion is established (e.g. ESA SNAP for Sentinel-2) and distillation is a standard technique. The contribution here is the combination: one lightweight multi-task network for minerals, crops and thermal across two sensors; a neural reproduction of SAM + SMA that holds on real EMIT through real-pixel training with production preprocessing; and a production design where the classical methods remain the continuous verifier (spec-hash lock, release gates on held-out real scenes, shadow checks).</w:t>
      </w:r>
    </w:p>
    <w:p>
      <w:pPr>
        <w:pStyle w:val="Heading1"/>
        <w:pageBreakBefore/>
      </w:pPr>
      <w:r>
        <w:t xml:space="preserve">16. How to run</w:t>
      </w:r>
    </w:p>
    <w:p>
      <w:pPr>
        <w:shd w:fill="F3F3F1" w:color="auto" w:val="clear"/>
        <w:spacing w:after="0"/>
      </w:pPr>
      <w:r>
        <w:rPr>
          <w:rFonts w:ascii="Consolas" w:cs="Consolas" w:eastAsia="Consolas" w:hAnsi="Consolas"/>
          <w:sz w:val="17"/>
          <w:szCs w:val="17"/>
        </w:rPr>
        <w:t xml:space="preserve">cd pre_production &amp;&amp; cp .env.example .env     # secrets; EARTHDATA_TOKEN for real EMIT</w:t>
      </w:r>
    </w:p>
    <w:p>
      <w:pPr>
        <w:shd w:fill="F3F3F1" w:color="auto" w:val="clear"/>
        <w:spacing w:after="0"/>
      </w:pPr>
      <w:r>
        <w:rPr>
          <w:rFonts w:ascii="Consolas" w:cs="Consolas" w:eastAsia="Consolas" w:hAnsi="Consolas"/>
          <w:sz w:val="17"/>
          <w:szCs w:val="17"/>
        </w:rPr>
        <w:t xml:space="preserve">docker compose --profile local up -d --build    # http://localhost:3000</w:t>
      </w:r>
    </w:p>
    <w:p>
      <w:pPr>
        <w:shd w:fill="F3F3F1" w:color="auto" w:val="clear"/>
        <w:spacing w:after="0"/>
      </w:pPr>
      <w:r>
        <w:rPr>
          <w:rFonts w:ascii="Consolas" w:cs="Consolas" w:eastAsia="Consolas" w:hAnsi="Consolas"/>
          <w:sz w:val="17"/>
          <w:szCs w:val="17"/>
        </w:rPr>
        <w:t xml:space="preserve"> </w:t>
      </w:r>
    </w:p>
    <w:p>
      <w:pPr>
        <w:shd w:fill="F3F3F1" w:color="auto" w:val="clear"/>
        <w:spacing w:after="0"/>
      </w:pPr>
      <w:r>
        <w:rPr>
          <w:rFonts w:ascii="Consolas" w:cs="Consolas" w:eastAsia="Consolas" w:hAnsi="Consolas"/>
          <w:sz w:val="17"/>
          <w:szCs w:val="17"/>
        </w:rPr>
        <w:t xml:space="preserve"># retrain (training/README.md): harvest real scenes, generate data, train, verify, promote</w:t>
      </w:r>
    </w:p>
    <w:p>
      <w:pPr>
        <w:shd w:fill="F3F3F1" w:color="auto" w:val="clear"/>
        <w:spacing w:after="0"/>
      </w:pPr>
      <w:r>
        <w:rPr>
          <w:rFonts w:ascii="Consolas" w:cs="Consolas" w:eastAsia="Consolas" w:hAnsi="Consolas"/>
          <w:sz w:val="17"/>
          <w:szCs w:val="17"/>
        </w:rPr>
        <w:t xml:space="preserve">cd training &amp;&amp; python -m datagen --out artifacts/data &amp;&amp; python -m train</w:t>
      </w:r>
    </w:p>
    <w:p>
      <w:pPr>
        <w:shd w:fill="F3F3F1" w:color="auto" w:val="clear"/>
        <w:spacing w:after="0"/>
      </w:pPr>
      <w:r>
        <w:rPr>
          <w:rFonts w:ascii="Consolas" w:cs="Consolas" w:eastAsia="Consolas" w:hAnsi="Consolas"/>
          <w:sz w:val="17"/>
          <w:szCs w:val="17"/>
        </w:rPr>
        <w:t xml:space="preserve">python -m verify_maps --model artifacts/models/v1 --data artifacts/data</w:t>
      </w:r>
    </w:p>
    <w:p>
      <w:pPr>
        <w:shd w:fill="F3F3F1" w:color="auto" w:val="clear"/>
        <w:spacing w:after="0"/>
      </w:pPr>
      <w:r>
        <w:rPr>
          <w:rFonts w:ascii="Consolas" w:cs="Consolas" w:eastAsia="Consolas" w:hAnsi="Consolas"/>
          <w:sz w:val="17"/>
          <w:szCs w:val="17"/>
        </w:rPr>
        <w:t xml:space="preserve"> </w:t>
      </w:r>
    </w:p>
    <w:p>
      <w:pPr>
        <w:shd w:fill="F3F3F1" w:color="auto" w:val="clear"/>
        <w:spacing w:after="0"/>
      </w:pPr>
      <w:r>
        <w:rPr>
          <w:rFonts w:ascii="Consolas" w:cs="Consolas" w:eastAsia="Consolas" w:hAnsi="Consolas"/>
          <w:sz w:val="17"/>
          <w:szCs w:val="17"/>
        </w:rPr>
        <w:t xml:space="preserve"># tests</w:t>
      </w:r>
    </w:p>
    <w:p>
      <w:pPr>
        <w:shd w:fill="F3F3F1" w:color="auto" w:val="clear"/>
        <w:spacing w:after="0"/>
      </w:pPr>
      <w:r>
        <w:rPr>
          <w:rFonts w:ascii="Consolas" w:cs="Consolas" w:eastAsia="Consolas" w:hAnsi="Consolas"/>
          <w:sz w:val="17"/>
          <w:szCs w:val="17"/>
        </w:rPr>
        <w:t xml:space="preserve">pytest libs/hydra/tests libs/hs_common/tests</w:t>
      </w:r>
    </w:p>
    <w:p>
      <w:pPr>
        <w:shd w:fill="F3F3F1" w:color="auto" w:val="clear"/>
        <w:spacing w:after="0"/>
      </w:pPr>
      <w:r>
        <w:rPr>
          <w:rFonts w:ascii="Consolas" w:cs="Consolas" w:eastAsia="Consolas" w:hAnsi="Consolas"/>
          <w:sz w:val="17"/>
          <w:szCs w:val="17"/>
        </w:rPr>
        <w:t xml:space="preserve">python tests/e2e.py --base http://localhost:3000 --jobs 3 --real-thermal</w:t>
      </w:r>
    </w:p>
    <w:p>
      <w:pPr>
        <w:shd w:fill="F3F3F1" w:color="auto" w:val="clear"/>
        <w:spacing w:after="0"/>
      </w:pPr>
      <w:r>
        <w:rPr>
          <w:rFonts w:ascii="Consolas" w:cs="Consolas" w:eastAsia="Consolas" w:hAnsi="Consolas"/>
          <w:sz w:val="17"/>
          <w:szCs w:val="17"/>
        </w:rPr>
        <w:t xml:space="preserve">python tests/security.py --base http://localhost:3000 --env .env</w:t>
      </w:r>
    </w:p>
    <w:p>
      <w:pPr>
        <w:shd w:fill="F3F3F1" w:color="auto" w:val="clear"/>
        <w:spacing w:after="0"/>
      </w:pPr>
      <w:r>
        <w:rPr>
          <w:rFonts w:ascii="Consolas" w:cs="Consolas" w:eastAsia="Consolas" w:hAnsi="Consolas"/>
          <w:sz w:val="17"/>
          <w:szCs w:val="17"/>
        </w:rPr>
        <w:t xml:space="preserve"> </w:t>
      </w:r>
    </w:p>
    <w:p>
      <w:pPr>
        <w:shd w:fill="F3F3F1" w:color="auto" w:val="clear"/>
        <w:spacing w:after="0"/>
      </w:pPr>
      <w:r>
        <w:rPr>
          <w:rFonts w:ascii="Consolas" w:cs="Consolas" w:eastAsia="Consolas" w:hAnsi="Consolas"/>
          <w:sz w:val="17"/>
          <w:szCs w:val="17"/>
        </w:rPr>
        <w:t xml:space="preserve"># this document</w:t>
      </w:r>
    </w:p>
    <w:p>
      <w:pPr>
        <w:shd w:fill="F3F3F1" w:color="auto" w:val="clear"/>
        <w:spacing w:after="0"/>
      </w:pPr>
      <w:r>
        <w:rPr>
          <w:rFonts w:ascii="Consolas" w:cs="Consolas" w:eastAsia="Consolas" w:hAnsi="Consolas"/>
          <w:sz w:val="17"/>
          <w:szCs w:val="17"/>
        </w:rPr>
        <w:t xml:space="preserve">node docs/report/build_docx.js . training/artifacts/models/v1 docs/report/build docs/HydraNet_Project_Document.docx</w:t>
      </w:r>
    </w:p>
    <w:p>
      <w:pPr>
        <w:pStyle w:val="Heading2"/>
      </w:pPr>
      <w:r>
        <w:t xml:space="preserve">Appendix A. REST API</w:t>
      </w:r>
    </w:p>
    <w:p>
      <w:pPr>
        <w:keepNext/>
        <w:spacing w:before="120" w:after="60"/>
      </w:pPr>
      <w:r>
        <w:rPr>
          <w:b/>
          <w:bCs/>
          <w:color w:val="52514E"/>
          <w:sz w:val="18"/>
          <w:szCs w:val="18"/>
        </w:rPr>
        <w:t xml:space="preserve">Table 24. </w:t>
      </w:r>
      <w:r>
        <w:rPr>
          <w:color w:val="52514E"/>
          <w:sz w:val="18"/>
          <w:szCs w:val="18"/>
        </w:rPr>
        <w:t xml:space="preserve">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91"/>
        <w:gridCol w:w="4635"/>
      </w:tblGrid>
      <w:tr>
        <w:trPr>
          <w:tblHeader/>
        </w:trPr>
        <w:tc>
          <w:tcPr>
            <w:tcW w:type="dxa" w:w="4391"/>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Method and path</w:t>
            </w:r>
          </w:p>
        </w:tc>
        <w:tc>
          <w:tcPr>
            <w:tcW w:type="dxa" w:w="4635"/>
            <w:tcBorders>
              <w:top w:val="single" w:color="D9D8D2" w:sz="4"/>
              <w:left w:val="single" w:color="D9D8D2" w:sz="4"/>
              <w:bottom w:val="single" w:color="D9D8D2" w:sz="4"/>
              <w:right w:val="single" w:color="D9D8D2" w:sz="4"/>
            </w:tcBorders>
            <w:shd w:fill="EEF3FA" w:color="auto" w:val="clear"/>
            <w:tcMar>
              <w:top w:type="dxa" w:w="60"/>
              <w:left w:type="dxa" w:w="100"/>
              <w:bottom w:type="dxa" w:w="60"/>
              <w:right w:type="dxa" w:w="100"/>
            </w:tcMar>
          </w:tcPr>
          <w:p>
            <w:pPr>
              <w:spacing w:after="0"/>
            </w:pPr>
            <w:r>
              <w:rPr>
                <w:b/>
                <w:bCs/>
                <w:sz w:val="18"/>
                <w:szCs w:val="18"/>
              </w:rPr>
              <w:t xml:space="preserve">Purpose</w:t>
            </w:r>
          </w:p>
        </w:tc>
      </w:tr>
      <w:tr>
        <w:tc>
          <w:tcPr>
            <w:tcW w:type="dxa" w:w="439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POST /api/auth/register, /login, /refresh, /logout, /logout-all</w:t>
            </w:r>
          </w:p>
        </w:tc>
        <w:tc>
          <w:tcPr>
            <w:tcW w:type="dxa" w:w="463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accounts and sessions</w:t>
            </w:r>
          </w:p>
        </w:tc>
      </w:tr>
      <w:tr>
        <w:tc>
          <w:tcPr>
            <w:tcW w:type="dxa" w:w="439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GET /api/me, /api/config, /api/model</w:t>
            </w:r>
          </w:p>
        </w:tc>
        <w:tc>
          <w:tcPr>
            <w:tcW w:type="dxa" w:w="463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current user; UI limits; active model and its verification</w:t>
            </w:r>
          </w:p>
        </w:tc>
      </w:tr>
      <w:tr>
        <w:tc>
          <w:tcPr>
            <w:tcW w:type="dxa" w:w="439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GET /api/coverage?date_from&amp;date_to</w:t>
            </w:r>
          </w:p>
        </w:tc>
        <w:tc>
          <w:tcPr>
            <w:tcW w:type="dxa" w:w="463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EMIT footprints and the covered area for the map</w:t>
            </w:r>
          </w:p>
        </w:tc>
      </w:tr>
      <w:tr>
        <w:tc>
          <w:tcPr>
            <w:tcW w:type="dxa" w:w="439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POST /api/jobs; GET /api/jobs, /api/jobs/:id; DELETE /api/jobs/:id</w:t>
            </w:r>
          </w:p>
        </w:tc>
        <w:tc>
          <w:tcPr>
            <w:tcW w:type="dxa" w:w="463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submit (Idempotency-Key), list, status, cancel</w:t>
            </w:r>
          </w:p>
        </w:tc>
      </w:tr>
      <w:tr>
        <w:tc>
          <w:tcPr>
            <w:tcW w:type="dxa" w:w="439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GET /api/jobs/:id/layers; POST .../stream-ticket; GET .../events</w:t>
            </w:r>
          </w:p>
        </w:tc>
        <w:tc>
          <w:tcPr>
            <w:tcW w:type="dxa" w:w="463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maps with presigned URLs; live updates</w:t>
            </w:r>
          </w:p>
        </w:tc>
      </w:tr>
      <w:tr>
        <w:tc>
          <w:tcPr>
            <w:tcW w:type="dxa" w:w="4391"/>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GET /api/catalog, /api/stats (admin), /health, /ready, /metrics</w:t>
            </w:r>
          </w:p>
        </w:tc>
        <w:tc>
          <w:tcPr>
            <w:tcW w:type="dxa" w:w="4635"/>
            <w:tcBorders>
              <w:top w:val="single" w:color="D9D8D2" w:sz="4"/>
              <w:left w:val="single" w:color="D9D8D2" w:sz="4"/>
              <w:bottom w:val="single" w:color="D9D8D2" w:sz="4"/>
              <w:right w:val="single" w:color="D9D8D2" w:sz="4"/>
            </w:tcBorders>
            <w:tcMar>
              <w:top w:type="dxa" w:w="60"/>
              <w:left w:type="dxa" w:w="100"/>
              <w:bottom w:type="dxa" w:w="60"/>
              <w:right w:type="dxa" w:w="100"/>
            </w:tcMar>
          </w:tcPr>
          <w:p>
            <w:pPr>
              <w:spacing w:after="0"/>
            </w:pPr>
            <w:r>
              <w:rPr>
                <w:sz w:val="18"/>
                <w:szCs w:val="18"/>
              </w:rPr>
              <w:t xml:space="preserve">imagery index, statistics, probes</w:t>
            </w:r>
          </w:p>
        </w:tc>
      </w:tr>
    </w:tbl>
    <w:p>
      <w:pPr>
        <w:spacing w:after="12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8984"/>
        <w:sz w:val="16"/>
        <w:szCs w:val="16"/>
      </w:rPr>
      <w:t xml:space="preserve">HydraNet Maps: end-to-end project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60"/>
      <w:outlineLvl w:val="0"/>
    </w:pPr>
    <w:rPr>
      <w:b/>
      <w:bCs/>
      <w:color w:val="1F4E8C"/>
      <w:sz w:val="32"/>
      <w:szCs w:val="32"/>
    </w:rPr>
  </w:style>
  <w:style w:type="paragraph" w:styleId="Heading2">
    <w:name w:val="Heading 2"/>
    <w:basedOn w:val="Normal"/>
    <w:next w:val="Normal"/>
    <w:qFormat/>
    <w:pPr>
      <w:spacing w:before="240" w:after="120"/>
      <w:outlineLvl w:val="1"/>
    </w:pPr>
    <w:rPr>
      <w:b/>
      <w:bCs/>
      <w:color w:val="2A78D6"/>
      <w:sz w:val="26"/>
      <w:szCs w:val="26"/>
    </w:rPr>
  </w:style>
  <w:style w:type="paragraph" w:styleId="Heading3">
    <w:name w:val="Heading 3"/>
    <w:basedOn w:val="Normal"/>
    <w:next w:val="Normal"/>
    <w:qFormat/>
    <w:pPr>
      <w:spacing w:before="160" w:after="80"/>
      <w:outlineLvl w:val="2"/>
    </w:pPr>
    <w:rPr>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a3321e18bbcdc9f982c5ae9f5df93b09e8ebfda0.png"/><Relationship Id="rId9" Type="http://schemas.openxmlformats.org/officeDocument/2006/relationships/image" Target="media/2fa2f7a10fc3bd981c279095c278afd19ccb9991.png"/><Relationship Id="rId10" Type="http://schemas.openxmlformats.org/officeDocument/2006/relationships/image" Target="media/2c8373e903e624c73194eaf840de4b08381dd842.png"/><Relationship Id="rId11" Type="http://schemas.openxmlformats.org/officeDocument/2006/relationships/image" Target="media/17181df778f8081d5d494406227271255acc0cdd.png"/><Relationship Id="rId12" Type="http://schemas.openxmlformats.org/officeDocument/2006/relationships/image" Target="media/8000f3ec37d2afccdc217f8aa2ca880cad6f2c5c.png"/><Relationship Id="rId13" Type="http://schemas.openxmlformats.org/officeDocument/2006/relationships/image" Target="media/ddaf93aab1adbae33524fcc1c3c62aef9ef1e58c.png"/><Relationship Id="rId14" Type="http://schemas.openxmlformats.org/officeDocument/2006/relationships/image" Target="media/6243974565482121d5e12c7c950e2493df0dbffb.png"/><Relationship Id="rId15" Type="http://schemas.openxmlformats.org/officeDocument/2006/relationships/image" Target="media/5753c710fe15654b083a96ea1b292adeeb06e5f6.png"/><Relationship Id="rId16" Type="http://schemas.openxmlformats.org/officeDocument/2006/relationships/image" Target="media/22cbd771d15f90cf7297d2b604dad4557029dab4.png"/><Relationship Id="rId17" Type="http://schemas.openxmlformats.org/officeDocument/2006/relationships/image" Target="media/2c669db7aa3ca652cea457430c070206e615947b.png"/><Relationship Id="rId18" Type="http://schemas.openxmlformats.org/officeDocument/2006/relationships/image" Target="media/18d6fdccebb60d174060f9aaa33bd853c3a8a529.png"/><Relationship Id="rId19" Type="http://schemas.openxmlformats.org/officeDocument/2006/relationships/image" Target="media/8ad241dc3243d3614dbf9324ac91fe016e5a423d.png"/><Relationship Id="rId20" Type="http://schemas.openxmlformats.org/officeDocument/2006/relationships/image" Target="media/fc4b5491a7f3d5f8c38af570ec98cce15cb17380.png"/><Relationship Id="rId21" Type="http://schemas.openxmlformats.org/officeDocument/2006/relationships/image" Target="media/7018edf6cbf7469a406c5aa87d3d0311b19b5d41.png"/><Relationship Id="rId22" Type="http://schemas.openxmlformats.org/officeDocument/2006/relationships/image" Target="media/2039bc1056caa3ef05109db1fe6688e861c3ede0.png"/><Relationship Id="rId23" Type="http://schemas.openxmlformats.org/officeDocument/2006/relationships/image" Target="media/c5fdf70b183f19ec16deaca6d81bc74403101de7.png"/><Relationship Id="rId24" Type="http://schemas.openxmlformats.org/officeDocument/2006/relationships/image" Target="media/01b1526e8750e14832a4342ba59501e0aeb6d438.png"/><Relationship Id="rId25" Type="http://schemas.openxmlformats.org/officeDocument/2006/relationships/image" Target="media/1da68d0d0d137b9db89a0a1f6680dc9d8b77360c.png"/><Relationship Id="rId26" Type="http://schemas.openxmlformats.org/officeDocument/2006/relationships/image" Target="media/10abe1e61874490c07db66b3145ad966efd1fe08.png"/><Relationship Id="rId27" Type="http://schemas.openxmlformats.org/officeDocument/2006/relationships/image" Target="media/72a6048b64afb6f9b032043f18c7c0000d46a8b1.png"/><Relationship Id="rId28" Type="http://schemas.openxmlformats.org/officeDocument/2006/relationships/image" Target="media/2047919962379401a395ebf25c3bb198dcafe482.png"/><Relationship Id="rId29" Type="http://schemas.openxmlformats.org/officeDocument/2006/relationships/image" Target="media/8ad8122a0ee449e2031a694c649b5e40980b6718.png"/><Relationship Id="rId30" Type="http://schemas.openxmlformats.org/officeDocument/2006/relationships/image" Target="media/c38bf0ed4c28bba5b52672d2a5682f479a854d01.png"/><Relationship Id="rId31" Type="http://schemas.openxmlformats.org/officeDocument/2006/relationships/image" Target="media/4b20090384fbd66d936b8d73a17755bbe4b60791.png"/><Relationship Id="rId32" Type="http://schemas.openxmlformats.org/officeDocument/2006/relationships/image" Target="media/a931a79ce49d10a254c3a8cb70bc2093b3c5f347.png"/><Relationship Id="rId33" Type="http://schemas.openxmlformats.org/officeDocument/2006/relationships/image" Target="media/60491bf92e06977fe683d62447e0d77a9d450833.png"/><Relationship Id="rId34" Type="http://schemas.openxmlformats.org/officeDocument/2006/relationships/image" Target="media/ba440e0d1cb437ee4e832525ef671429deb51cc5.png"/><Relationship Id="rId35" Type="http://schemas.openxmlformats.org/officeDocument/2006/relationships/image" Target="media/560d4aefb7a643727a5c9bd778f3f12fdbe3cdae.png"/><Relationship Id="rId36" Type="http://schemas.openxmlformats.org/officeDocument/2006/relationships/image" Target="media/f4ff198f38383b4134456e8153b6e98f7817f07f.png"/><Relationship Id="rId37" Type="http://schemas.openxmlformats.org/officeDocument/2006/relationships/image" Target="media/20d236579beb585986a1dbb3b40a970a615029fc.png"/><Relationship Id="rId38" Type="http://schemas.openxmlformats.org/officeDocument/2006/relationships/image" Target="media/d2baed7ef92105f296a1ac803e0dc6fab9299115.png"/><Relationship Id="rId39" Type="http://schemas.openxmlformats.org/officeDocument/2006/relationships/image" Target="media/070d4bf30801b8eb63cdb213546989c38879d159.png"/><Relationship Id="rId40" Type="http://schemas.openxmlformats.org/officeDocument/2006/relationships/image" Target="media/f1d7ead8823135c407acaf5c8eee44625c56e98f.png"/><Relationship Id="rId41" Type="http://schemas.openxmlformats.org/officeDocument/2006/relationships/image" Target="media/0b0014faf0f98dbef29ec94405b0391de6f41500.png"/><Relationship Id="rId42" Type="http://schemas.openxmlformats.org/officeDocument/2006/relationships/image" Target="media/e653395333f760116dedb0eaf7f2b974bda322c4.png"/><Relationship Id="rId4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HydraNet Maps: end-to-end project document</dc:title>
  <dc:creator>Aaron R</dc:creator>
  <cp:lastModifiedBy>Un-named</cp:lastModifiedBy>
  <cp:revision>1</cp:revision>
  <dcterms:created xsi:type="dcterms:W3CDTF">2026-10-21T10:44:29.233Z</dcterms:created>
  <dcterms:modified xsi:type="dcterms:W3CDTF">2026-10-21T10:44:29.234Z</dcterms:modified>
</cp:coreProperties>
</file>

<file path=docProps/custom.xml><?xml version="1.0" encoding="utf-8"?>
<Properties xmlns="http://schemas.openxmlformats.org/officeDocument/2006/custom-properties" xmlns:vt="http://schemas.openxmlformats.org/officeDocument/2006/docPropsVTypes"/>
</file>