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Retail Restock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a simple UI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 will select the date and time they are at the venue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will select their name from a drop down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user selects the venue from a drop down menu.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will populate a list of items and display the par level for each item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user will enter the number of each item returned for the coffee beans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system will calculate the number of items that have been sold by taking the par level and taking away the number returned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items that don’t get returned, the user will enter the number remaining on the shelf and this will be used to calculate the number sold, similar to the process above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user will enter any additional comments and then press a complete button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will trigger an order to be created in Unleashed.  The order will be for the items that were sold and will be sent to the customer/venue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warehouse needs to be “retail warehouse” when creating the order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order can be completed automatically.  This will trigger an invoice to be sent to the customer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Any comments added by the team member will be added to Prospect CRM and a task will be created for the sales person to action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