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417320" cy="16723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l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672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left"/>
      </w:pPr>
      <w:r>
        <w:rPr>
          <w:b/>
          <w:color w:val="002244"/>
        </w:rPr>
        <w:t>Estudio de liquidez, obligaciones y CxC SOM</w:t>
      </w:r>
    </w:p>
    <w:p>
      <w:r>
        <w:rPr>
          <w:color w:val="505D73"/>
        </w:rPr>
        <w:t>Corte operativo: 14 de septiembre de 2026 | Proyección: septiembre a diciembre 2026 | Moneda de conversión: TC venta 453 / TC compra 439</w:t>
      </w:r>
    </w:p>
    <w:p>
      <w:pPr>
        <w:pStyle w:val="Heading1"/>
      </w:pPr>
      <w:r>
        <w:rPr>
          <w:color w:val="002244"/>
        </w:rPr>
        <w:t>Resumen ejecutivo</w:t>
      </w:r>
    </w:p>
    <w:p>
      <w:pPr>
        <w:pStyle w:val="ListBullet"/>
      </w:pPr>
      <w:r>
        <w:t>La obligación exacta del Excel para 2026-09 Q1 es CRC 5,897,437.57 y USD 4,972.66. Ya aparece pagado CRC 3,097,411.74 y USD 3,392.61.</w:t>
      </w:r>
    </w:p>
    <w:p>
      <w:pPr>
        <w:pStyle w:val="ListBullet"/>
      </w:pPr>
      <w:r>
        <w:t>Pendiente inmediato: CRC 2,800,025.83 y USD 1,580.05. Contra el saldo visible de bancos en CRC (CRC 1,212,794.26), queda una brecha operativa estimada de CRC 1,587,231.57 más USD 1,580.05, equivalente a USD 5,083.87.</w:t>
      </w:r>
    </w:p>
    <w:p>
      <w:pPr>
        <w:pStyle w:val="ListBullet"/>
      </w:pPr>
      <w:r>
        <w:t>CxC abierta en DB: USD 74,428.04. La cifra es suficiente en papel, pero el riesgo es de calendario: la caja de septiembre se presiona antes de que todos los clientes paguen.</w:t>
      </w:r>
    </w:p>
    <w:p>
      <w:pPr>
        <w:pStyle w:val="ListBullet"/>
      </w:pPr>
      <w:r>
        <w:t>La recomendación central es separar cuatro bolsillos: impuestos/CCSS, planilla y aguinaldo, tarjetas, y reserva FY27. Cada cobro debe alimentar esos bolsillos antes de autorizar gastos variables.</w:t>
      </w:r>
    </w:p>
    <w:p>
      <w:pPr>
        <w:pStyle w:val="Heading1"/>
      </w:pPr>
      <w:r>
        <w:rPr>
          <w:color w:val="002244"/>
        </w:rPr>
        <w:t>Situación actual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85"/>
        <w:gridCol w:w="7085"/>
      </w:tblGrid>
      <w:tr>
        <w:tc>
          <w:tcPr>
            <w:tcW w:type="dxa" w:w="5760"/>
            <w:vAlign w:val="center"/>
            <w:shd w:fill="0B4778"/>
          </w:tcPr>
          <w:p>
            <w:r/>
            <w:r>
              <w:rPr>
                <w:b/>
                <w:color w:val="FFFFFF"/>
                <w:sz w:val="16"/>
              </w:rPr>
              <w:t>Concepto</w:t>
            </w:r>
          </w:p>
        </w:tc>
        <w:tc>
          <w:tcPr>
            <w:tcW w:type="dxa" w:w="2880"/>
            <w:vAlign w:val="center"/>
            <w:shd w:fill="0B4778"/>
          </w:tcPr>
          <w:p>
            <w:r/>
            <w:r>
              <w:rPr>
                <w:b/>
                <w:color w:val="FFFFFF"/>
                <w:sz w:val="16"/>
              </w:rPr>
              <w:t>Monto</w:t>
            </w:r>
          </w:p>
        </w:tc>
      </w:tr>
      <w:tr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Saldo bancario CRC visible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CRC 1,212,794.26</w:t>
            </w:r>
          </w:p>
        </w:tc>
      </w:tr>
      <w:tr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Equivalente USD del saldo CRC a TC venta 453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USD 2,677.25</w:t>
            </w:r>
          </w:p>
        </w:tc>
      </w:tr>
      <w:tr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Pendiente CRC septiembre Q1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CRC 2,800,025.83</w:t>
            </w:r>
          </w:p>
        </w:tc>
      </w:tr>
      <w:tr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Pendiente USD septiembre Q1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USD 1,580.05</w:t>
            </w:r>
          </w:p>
        </w:tc>
      </w:tr>
      <w:tr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Brecha inmediata después de usar saldo CRC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CRC 1,587,231.57 + USD 1,580.05</w:t>
            </w:r>
          </w:p>
        </w:tc>
      </w:tr>
      <w:tr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CxC abierta total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USD 74,428.04</w:t>
            </w:r>
          </w:p>
        </w:tc>
      </w:tr>
    </w:tbl>
    <w:p>
      <w:r>
        <w:rPr>
          <w:i/>
          <w:color w:val="5A6577"/>
          <w:sz w:val="16"/>
        </w:rPr>
        <w:t>El análisis usa datos operativos extraídos del Excel de obligaciones y de la DB del ERP. Las proyecciones son gerenciales y deben actualizarse cuando cambie CxC, tarjetas, nómina o calendario de pagos.</w:t>
      </w:r>
    </w:p>
    <w:p>
      <w:r>
        <w:drawing>
          <wp:inline xmlns:a="http://schemas.openxmlformats.org/drawingml/2006/main" xmlns:pic="http://schemas.openxmlformats.org/drawingml/2006/picture">
            <wp:extent cx="6309360" cy="2313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ligaciones_pagado_pendien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13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02244"/>
        </w:rPr>
        <w:t>Obligaciones pendientes exactas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2"/>
        <w:gridCol w:w="2362"/>
        <w:gridCol w:w="2362"/>
        <w:gridCol w:w="2362"/>
        <w:gridCol w:w="2362"/>
        <w:gridCol w:w="2362"/>
      </w:tblGrid>
      <w:tr>
        <w:tc>
          <w:tcPr>
            <w:tcW w:type="dxa" w:w="2362"/>
            <w:vAlign w:val="center"/>
            <w:shd w:fill="0B4778"/>
          </w:tcPr>
          <w:p>
            <w:r/>
            <w:r>
              <w:rPr>
                <w:b/>
                <w:color w:val="FFFFFF"/>
                <w:sz w:val="14"/>
              </w:rPr>
              <w:t>Rubro</w:t>
            </w:r>
          </w:p>
        </w:tc>
        <w:tc>
          <w:tcPr>
            <w:tcW w:type="dxa" w:w="2362"/>
            <w:vAlign w:val="center"/>
            <w:shd w:fill="0B4778"/>
          </w:tcPr>
          <w:p>
            <w:r/>
            <w:r>
              <w:rPr>
                <w:b/>
                <w:color w:val="FFFFFF"/>
                <w:sz w:val="14"/>
              </w:rPr>
              <w:t>Beneficiario</w:t>
            </w:r>
          </w:p>
        </w:tc>
        <w:tc>
          <w:tcPr>
            <w:tcW w:type="dxa" w:w="2362"/>
            <w:vAlign w:val="center"/>
            <w:shd w:fill="0B4778"/>
          </w:tcPr>
          <w:p>
            <w:r/>
            <w:r>
              <w:rPr>
                <w:b/>
                <w:color w:val="FFFFFF"/>
                <w:sz w:val="14"/>
              </w:rPr>
              <w:t>Pendiente</w:t>
            </w:r>
          </w:p>
        </w:tc>
        <w:tc>
          <w:tcPr>
            <w:tcW w:type="dxa" w:w="2362"/>
            <w:vAlign w:val="center"/>
            <w:shd w:fill="0B4778"/>
          </w:tcPr>
          <w:p>
            <w:r/>
            <w:r>
              <w:rPr>
                <w:b/>
                <w:color w:val="FFFFFF"/>
                <w:sz w:val="14"/>
              </w:rPr>
              <w:t>Moneda</w:t>
            </w:r>
          </w:p>
        </w:tc>
        <w:tc>
          <w:tcPr>
            <w:tcW w:type="dxa" w:w="2362"/>
            <w:vAlign w:val="center"/>
            <w:shd w:fill="0B4778"/>
          </w:tcPr>
          <w:p>
            <w:r/>
            <w:r>
              <w:rPr>
                <w:b/>
                <w:color w:val="FFFFFF"/>
                <w:sz w:val="14"/>
              </w:rPr>
              <w:t>Fecha</w:t>
            </w:r>
          </w:p>
        </w:tc>
        <w:tc>
          <w:tcPr>
            <w:tcW w:type="dxa" w:w="2362"/>
            <w:vAlign w:val="center"/>
            <w:shd w:fill="0B4778"/>
          </w:tcPr>
          <w:p>
            <w:r/>
            <w:r>
              <w:rPr>
                <w:b/>
                <w:color w:val="FFFFFF"/>
                <w:sz w:val="14"/>
              </w:rPr>
              <w:t>Notas</w:t>
            </w:r>
          </w:p>
        </w:tc>
      </w:tr>
      <w:tr>
        <w:tc>
          <w:tcPr>
            <w:tcW w:type="dxa" w:w="2362"/>
            <w:vAlign w:val="center"/>
          </w:tcPr>
          <w:p>
            <w:r/>
            <w:r>
              <w:rPr>
                <w:b w:val="0"/>
                <w:sz w:val="14"/>
              </w:rPr>
              <w:t>Tarjetas de credito</w:t>
            </w:r>
          </w:p>
        </w:tc>
        <w:tc>
          <w:tcPr>
            <w:tcW w:type="dxa" w:w="2362"/>
            <w:vAlign w:val="center"/>
          </w:tcPr>
          <w:p>
            <w:r/>
            <w:r>
              <w:rPr>
                <w:b w:val="0"/>
                <w:sz w:val="14"/>
              </w:rPr>
              <w:t>BAC Pabel contado CRC 2026-08</w:t>
            </w:r>
          </w:p>
        </w:tc>
        <w:tc>
          <w:tcPr>
            <w:tcW w:type="dxa" w:w="2362"/>
            <w:vAlign w:val="center"/>
          </w:tcPr>
          <w:p>
            <w:r/>
            <w:r>
              <w:rPr>
                <w:b w:val="0"/>
                <w:sz w:val="14"/>
              </w:rPr>
              <w:t>CRC 695,353.83</w:t>
            </w:r>
          </w:p>
        </w:tc>
        <w:tc>
          <w:tcPr>
            <w:tcW w:type="dxa" w:w="2362"/>
            <w:vAlign w:val="center"/>
          </w:tcPr>
          <w:p>
            <w:r/>
            <w:r>
              <w:rPr>
                <w:b w:val="0"/>
                <w:sz w:val="14"/>
              </w:rPr>
              <w:t>CRC</w:t>
            </w:r>
          </w:p>
        </w:tc>
        <w:tc>
          <w:tcPr>
            <w:tcW w:type="dxa" w:w="2362"/>
            <w:vAlign w:val="center"/>
          </w:tcPr>
          <w:p>
            <w:r/>
            <w:r>
              <w:rPr>
                <w:b w:val="0"/>
                <w:sz w:val="14"/>
              </w:rPr>
              <w:t>2026-09-15</w:t>
            </w:r>
          </w:p>
        </w:tc>
        <w:tc>
          <w:tcPr>
            <w:tcW w:type="dxa" w:w="2362"/>
            <w:vAlign w:val="center"/>
          </w:tcPr>
          <w:p>
            <w:r/>
            <w:r>
              <w:rPr>
                <w:b w:val="0"/>
                <w:sz w:val="14"/>
              </w:rPr>
              <w:t>Tarjeta 1944</w:t>
            </w:r>
          </w:p>
        </w:tc>
      </w:tr>
      <w:tr>
        <w:tc>
          <w:tcPr>
            <w:tcW w:type="dxa" w:w="2362"/>
            <w:vAlign w:val="center"/>
          </w:tcPr>
          <w:p>
            <w:r/>
            <w:r>
              <w:rPr>
                <w:b w:val="0"/>
                <w:sz w:val="14"/>
              </w:rPr>
              <w:t>Otros</w:t>
            </w:r>
          </w:p>
        </w:tc>
        <w:tc>
          <w:tcPr>
            <w:tcW w:type="dxa" w:w="2362"/>
            <w:vAlign w:val="center"/>
          </w:tcPr>
          <w:p>
            <w:r/>
            <w:r>
              <w:rPr>
                <w:b w:val="0"/>
                <w:sz w:val="14"/>
              </w:rPr>
              <w:t>SHARON STACY BARQUERO OROCU</w:t>
            </w:r>
          </w:p>
        </w:tc>
        <w:tc>
          <w:tcPr>
            <w:tcW w:type="dxa" w:w="2362"/>
            <w:vAlign w:val="center"/>
          </w:tcPr>
          <w:p>
            <w:r/>
            <w:r>
              <w:rPr>
                <w:b w:val="0"/>
                <w:sz w:val="14"/>
              </w:rPr>
              <w:t>CRC 1,532,280.00</w:t>
            </w:r>
          </w:p>
        </w:tc>
        <w:tc>
          <w:tcPr>
            <w:tcW w:type="dxa" w:w="2362"/>
            <w:vAlign w:val="center"/>
          </w:tcPr>
          <w:p>
            <w:r/>
            <w:r>
              <w:rPr>
                <w:b w:val="0"/>
                <w:sz w:val="14"/>
              </w:rPr>
              <w:t>CRC</w:t>
            </w:r>
          </w:p>
        </w:tc>
        <w:tc>
          <w:tcPr>
            <w:tcW w:type="dxa" w:w="2362"/>
            <w:vAlign w:val="center"/>
          </w:tcPr>
          <w:p>
            <w:r/>
            <w:r>
              <w:rPr>
                <w:b w:val="0"/>
                <w:sz w:val="14"/>
              </w:rPr>
              <w:t>2026-09-15</w:t>
            </w:r>
          </w:p>
        </w:tc>
        <w:tc>
          <w:tcPr>
            <w:tcW w:type="dxa" w:w="2362"/>
            <w:vAlign w:val="center"/>
          </w:tcPr>
          <w:p>
            <w:r/>
            <w:r>
              <w:rPr>
                <w:b w:val="0"/>
                <w:sz w:val="14"/>
              </w:rPr>
              <w:t>Pago factura Magally 252</w:t>
            </w:r>
          </w:p>
        </w:tc>
      </w:tr>
      <w:tr>
        <w:tc>
          <w:tcPr>
            <w:tcW w:type="dxa" w:w="2362"/>
            <w:vAlign w:val="center"/>
          </w:tcPr>
          <w:p>
            <w:r/>
            <w:r>
              <w:rPr>
                <w:b w:val="0"/>
                <w:sz w:val="14"/>
              </w:rPr>
              <w:t>IVA</w:t>
            </w:r>
          </w:p>
        </w:tc>
        <w:tc>
          <w:tcPr>
            <w:tcW w:type="dxa" w:w="2362"/>
            <w:vAlign w:val="center"/>
          </w:tcPr>
          <w:p>
            <w:r/>
            <w:r>
              <w:rPr>
                <w:b w:val="0"/>
                <w:sz w:val="14"/>
              </w:rPr>
              <w:t>IVA atrasado MSL SRL Parte 1</w:t>
            </w:r>
          </w:p>
        </w:tc>
        <w:tc>
          <w:tcPr>
            <w:tcW w:type="dxa" w:w="2362"/>
            <w:vAlign w:val="center"/>
          </w:tcPr>
          <w:p>
            <w:r/>
            <w:r>
              <w:rPr>
                <w:b w:val="0"/>
                <w:sz w:val="14"/>
              </w:rPr>
              <w:t>CRC 572,392.00</w:t>
            </w:r>
          </w:p>
        </w:tc>
        <w:tc>
          <w:tcPr>
            <w:tcW w:type="dxa" w:w="2362"/>
            <w:vAlign w:val="center"/>
          </w:tcPr>
          <w:p>
            <w:r/>
            <w:r>
              <w:rPr>
                <w:b w:val="0"/>
                <w:sz w:val="14"/>
              </w:rPr>
              <w:t>CRC</w:t>
            </w:r>
          </w:p>
        </w:tc>
        <w:tc>
          <w:tcPr>
            <w:tcW w:type="dxa" w:w="2362"/>
            <w:vAlign w:val="center"/>
          </w:tcPr>
          <w:p>
            <w:r/>
            <w:r>
              <w:rPr>
                <w:b w:val="0"/>
                <w:sz w:val="14"/>
              </w:rPr>
              <w:t>2026-09-15</w:t>
            </w:r>
          </w:p>
        </w:tc>
        <w:tc>
          <w:tcPr>
            <w:tcW w:type="dxa" w:w="2362"/>
            <w:vAlign w:val="center"/>
          </w:tcPr>
          <w:p>
            <w:r/>
            <w:r>
              <w:rPr>
                <w:b w:val="0"/>
                <w:sz w:val="14"/>
              </w:rPr>
              <w:t>Pago de IVA 2026 tras ajustes parte 1</w:t>
            </w:r>
          </w:p>
        </w:tc>
      </w:tr>
      <w:tr>
        <w:tc>
          <w:tcPr>
            <w:tcW w:type="dxa" w:w="2362"/>
            <w:vAlign w:val="center"/>
          </w:tcPr>
          <w:p>
            <w:r/>
            <w:r>
              <w:rPr>
                <w:b w:val="0"/>
                <w:sz w:val="14"/>
              </w:rPr>
              <w:t>Alquiler</w:t>
            </w:r>
          </w:p>
        </w:tc>
        <w:tc>
          <w:tcPr>
            <w:tcW w:type="dxa" w:w="2362"/>
            <w:vAlign w:val="center"/>
          </w:tcPr>
          <w:p>
            <w:r/>
            <w:r>
              <w:rPr>
                <w:b w:val="0"/>
                <w:sz w:val="14"/>
              </w:rPr>
              <w:t>PRIME PROPERTIES SRL</w:t>
            </w:r>
          </w:p>
        </w:tc>
        <w:tc>
          <w:tcPr>
            <w:tcW w:type="dxa" w:w="2362"/>
            <w:vAlign w:val="center"/>
          </w:tcPr>
          <w:p>
            <w:r/>
            <w:r>
              <w:rPr>
                <w:b w:val="0"/>
                <w:sz w:val="14"/>
              </w:rPr>
              <w:t>USD 1,580.05</w:t>
            </w:r>
          </w:p>
        </w:tc>
        <w:tc>
          <w:tcPr>
            <w:tcW w:type="dxa" w:w="2362"/>
            <w:vAlign w:val="center"/>
          </w:tcPr>
          <w:p>
            <w:r/>
            <w:r>
              <w:rPr>
                <w:b w:val="0"/>
                <w:sz w:val="14"/>
              </w:rPr>
              <w:t>USD</w:t>
            </w:r>
          </w:p>
        </w:tc>
        <w:tc>
          <w:tcPr>
            <w:tcW w:type="dxa" w:w="2362"/>
            <w:vAlign w:val="center"/>
          </w:tcPr>
          <w:p>
            <w:r/>
            <w:r>
              <w:rPr>
                <w:b w:val="0"/>
                <w:sz w:val="14"/>
              </w:rPr>
              <w:t>2026-10-01</w:t>
            </w:r>
          </w:p>
        </w:tc>
        <w:tc>
          <w:tcPr>
            <w:tcW w:type="dxa" w:w="2362"/>
            <w:vAlign w:val="center"/>
          </w:tcPr>
          <w:p>
            <w:r/>
            <w:r>
              <w:rPr>
                <w:b w:val="0"/>
                <w:sz w:val="14"/>
              </w:rPr>
              <w:t>Aplicar pago a ITP #1357 | Ref: 50601092600310239815400100001010000006634101092634</w:t>
            </w:r>
          </w:p>
        </w:tc>
      </w:tr>
    </w:tbl>
    <w:p>
      <w:pPr>
        <w:pStyle w:val="Heading1"/>
      </w:pPr>
      <w:r>
        <w:rPr>
          <w:color w:val="002244"/>
        </w:rPr>
        <w:t>Cuentas por cobrar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85"/>
        <w:gridCol w:w="7085"/>
      </w:tblGrid>
      <w:tr>
        <w:tc>
          <w:tcPr>
            <w:tcW w:type="dxa" w:w="7085"/>
            <w:vAlign w:val="center"/>
            <w:shd w:fill="0B4778"/>
          </w:tcPr>
          <w:p>
            <w:r/>
            <w:r>
              <w:rPr>
                <w:b/>
                <w:color w:val="FFFFFF"/>
                <w:sz w:val="16"/>
              </w:rPr>
              <w:t>Compañía</w:t>
            </w:r>
          </w:p>
        </w:tc>
        <w:tc>
          <w:tcPr>
            <w:tcW w:type="dxa" w:w="7085"/>
            <w:vAlign w:val="center"/>
            <w:shd w:fill="0B4778"/>
          </w:tcPr>
          <w:p>
            <w:r/>
            <w:r>
              <w:rPr>
                <w:b/>
                <w:color w:val="FFFFFF"/>
                <w:sz w:val="16"/>
              </w:rPr>
              <w:t>CxC abierta</w:t>
            </w:r>
          </w:p>
        </w:tc>
      </w:tr>
      <w:tr>
        <w:tc>
          <w:tcPr>
            <w:tcW w:type="dxa" w:w="7085"/>
            <w:vAlign w:val="center"/>
          </w:tcPr>
          <w:p>
            <w:r/>
            <w:r>
              <w:rPr>
                <w:b w:val="0"/>
                <w:sz w:val="16"/>
              </w:rPr>
              <w:t>MCI-CR</w:t>
            </w:r>
          </w:p>
        </w:tc>
        <w:tc>
          <w:tcPr>
            <w:tcW w:type="dxa" w:w="7085"/>
            <w:vAlign w:val="center"/>
          </w:tcPr>
          <w:p>
            <w:r/>
            <w:r>
              <w:rPr>
                <w:b w:val="0"/>
                <w:sz w:val="16"/>
              </w:rPr>
              <w:t>USD 32,842.04</w:t>
            </w:r>
          </w:p>
        </w:tc>
      </w:tr>
      <w:tr>
        <w:tc>
          <w:tcPr>
            <w:tcW w:type="dxa" w:w="7085"/>
            <w:vAlign w:val="center"/>
          </w:tcPr>
          <w:p>
            <w:r/>
            <w:r>
              <w:rPr>
                <w:b w:val="0"/>
                <w:sz w:val="16"/>
              </w:rPr>
              <w:t>MSL-CR</w:t>
            </w:r>
          </w:p>
        </w:tc>
        <w:tc>
          <w:tcPr>
            <w:tcW w:type="dxa" w:w="7085"/>
            <w:vAlign w:val="center"/>
          </w:tcPr>
          <w:p>
            <w:r/>
            <w:r>
              <w:rPr>
                <w:b w:val="0"/>
                <w:sz w:val="16"/>
              </w:rPr>
              <w:t>USD 41,586.00</w:t>
            </w:r>
          </w:p>
        </w:tc>
      </w:tr>
      <w:tr>
        <w:tc>
          <w:tcPr>
            <w:tcW w:type="dxa" w:w="7085"/>
            <w:vAlign w:val="center"/>
          </w:tcPr>
          <w:p>
            <w:r/>
            <w:r>
              <w:rPr>
                <w:b w:val="0"/>
                <w:sz w:val="16"/>
              </w:rPr>
              <w:t>Total</w:t>
            </w:r>
          </w:p>
        </w:tc>
        <w:tc>
          <w:tcPr>
            <w:tcW w:type="dxa" w:w="7085"/>
            <w:vAlign w:val="center"/>
          </w:tcPr>
          <w:p>
            <w:r/>
            <w:r>
              <w:rPr>
                <w:b w:val="0"/>
                <w:sz w:val="16"/>
              </w:rPr>
              <w:t>USD 74,428.04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309360" cy="26919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xc_clie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919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85"/>
        <w:gridCol w:w="7085"/>
      </w:tblGrid>
      <w:tr>
        <w:tc>
          <w:tcPr>
            <w:tcW w:type="dxa" w:w="7085"/>
            <w:vAlign w:val="center"/>
            <w:shd w:fill="0B4778"/>
          </w:tcPr>
          <w:p>
            <w:r/>
            <w:r>
              <w:rPr>
                <w:b/>
                <w:color w:val="FFFFFF"/>
                <w:sz w:val="16"/>
              </w:rPr>
              <w:t>Mes de vencimiento</w:t>
            </w:r>
          </w:p>
        </w:tc>
        <w:tc>
          <w:tcPr>
            <w:tcW w:type="dxa" w:w="7085"/>
            <w:vAlign w:val="center"/>
            <w:shd w:fill="0B4778"/>
          </w:tcPr>
          <w:p>
            <w:r/>
            <w:r>
              <w:rPr>
                <w:b/>
                <w:color w:val="FFFFFF"/>
                <w:sz w:val="16"/>
              </w:rPr>
              <w:t>Monto CxC</w:t>
            </w:r>
          </w:p>
        </w:tc>
      </w:tr>
      <w:tr>
        <w:tc>
          <w:tcPr>
            <w:tcW w:type="dxa" w:w="7085"/>
            <w:vAlign w:val="center"/>
          </w:tcPr>
          <w:p>
            <w:r/>
            <w:r>
              <w:rPr>
                <w:b w:val="0"/>
                <w:sz w:val="16"/>
              </w:rPr>
              <w:t>2026-02</w:t>
            </w:r>
          </w:p>
        </w:tc>
        <w:tc>
          <w:tcPr>
            <w:tcW w:type="dxa" w:w="7085"/>
            <w:vAlign w:val="center"/>
          </w:tcPr>
          <w:p>
            <w:r/>
            <w:r>
              <w:rPr>
                <w:b w:val="0"/>
                <w:sz w:val="16"/>
              </w:rPr>
              <w:t>USD 10.00</w:t>
            </w:r>
          </w:p>
        </w:tc>
      </w:tr>
      <w:tr>
        <w:tc>
          <w:tcPr>
            <w:tcW w:type="dxa" w:w="7085"/>
            <w:vAlign w:val="center"/>
          </w:tcPr>
          <w:p>
            <w:r/>
            <w:r>
              <w:rPr>
                <w:b w:val="0"/>
                <w:sz w:val="16"/>
              </w:rPr>
              <w:t>2026-03</w:t>
            </w:r>
          </w:p>
        </w:tc>
        <w:tc>
          <w:tcPr>
            <w:tcW w:type="dxa" w:w="7085"/>
            <w:vAlign w:val="center"/>
          </w:tcPr>
          <w:p>
            <w:r/>
            <w:r>
              <w:rPr>
                <w:b w:val="0"/>
                <w:sz w:val="16"/>
              </w:rPr>
              <w:t>USD 1,130.00</w:t>
            </w:r>
          </w:p>
        </w:tc>
      </w:tr>
      <w:tr>
        <w:tc>
          <w:tcPr>
            <w:tcW w:type="dxa" w:w="7085"/>
            <w:vAlign w:val="center"/>
          </w:tcPr>
          <w:p>
            <w:r/>
            <w:r>
              <w:rPr>
                <w:b w:val="0"/>
                <w:sz w:val="16"/>
              </w:rPr>
              <w:t>2026-06</w:t>
            </w:r>
          </w:p>
        </w:tc>
        <w:tc>
          <w:tcPr>
            <w:tcW w:type="dxa" w:w="7085"/>
            <w:vAlign w:val="center"/>
          </w:tcPr>
          <w:p>
            <w:r/>
            <w:r>
              <w:rPr>
                <w:b w:val="0"/>
                <w:sz w:val="16"/>
              </w:rPr>
              <w:t>USD 2,600.00</w:t>
            </w:r>
          </w:p>
        </w:tc>
      </w:tr>
      <w:tr>
        <w:tc>
          <w:tcPr>
            <w:tcW w:type="dxa" w:w="7085"/>
            <w:vAlign w:val="center"/>
          </w:tcPr>
          <w:p>
            <w:r/>
            <w:r>
              <w:rPr>
                <w:b w:val="0"/>
                <w:sz w:val="16"/>
              </w:rPr>
              <w:t>2026-07</w:t>
            </w:r>
          </w:p>
        </w:tc>
        <w:tc>
          <w:tcPr>
            <w:tcW w:type="dxa" w:w="7085"/>
            <w:vAlign w:val="center"/>
          </w:tcPr>
          <w:p>
            <w:r/>
            <w:r>
              <w:rPr>
                <w:b w:val="0"/>
                <w:sz w:val="16"/>
              </w:rPr>
              <w:t>USD 6,465.00</w:t>
            </w:r>
          </w:p>
        </w:tc>
      </w:tr>
      <w:tr>
        <w:tc>
          <w:tcPr>
            <w:tcW w:type="dxa" w:w="7085"/>
            <w:vAlign w:val="center"/>
          </w:tcPr>
          <w:p>
            <w:r/>
            <w:r>
              <w:rPr>
                <w:b w:val="0"/>
                <w:sz w:val="16"/>
              </w:rPr>
              <w:t>2026-08</w:t>
            </w:r>
          </w:p>
        </w:tc>
        <w:tc>
          <w:tcPr>
            <w:tcW w:type="dxa" w:w="7085"/>
            <w:vAlign w:val="center"/>
          </w:tcPr>
          <w:p>
            <w:r/>
            <w:r>
              <w:rPr>
                <w:b w:val="0"/>
                <w:sz w:val="16"/>
              </w:rPr>
              <w:t>USD 3,016.00</w:t>
            </w:r>
          </w:p>
        </w:tc>
      </w:tr>
      <w:tr>
        <w:tc>
          <w:tcPr>
            <w:tcW w:type="dxa" w:w="7085"/>
            <w:vAlign w:val="center"/>
          </w:tcPr>
          <w:p>
            <w:r/>
            <w:r>
              <w:rPr>
                <w:b w:val="0"/>
                <w:sz w:val="16"/>
              </w:rPr>
              <w:t>2026-09</w:t>
            </w:r>
          </w:p>
        </w:tc>
        <w:tc>
          <w:tcPr>
            <w:tcW w:type="dxa" w:w="7085"/>
            <w:vAlign w:val="center"/>
          </w:tcPr>
          <w:p>
            <w:r/>
            <w:r>
              <w:rPr>
                <w:b w:val="0"/>
                <w:sz w:val="16"/>
              </w:rPr>
              <w:t>USD 30,620.60</w:t>
            </w:r>
          </w:p>
        </w:tc>
      </w:tr>
      <w:tr>
        <w:tc>
          <w:tcPr>
            <w:tcW w:type="dxa" w:w="7085"/>
            <w:vAlign w:val="center"/>
          </w:tcPr>
          <w:p>
            <w:r/>
            <w:r>
              <w:rPr>
                <w:b w:val="0"/>
                <w:sz w:val="16"/>
              </w:rPr>
              <w:t>2026-10</w:t>
            </w:r>
          </w:p>
        </w:tc>
        <w:tc>
          <w:tcPr>
            <w:tcW w:type="dxa" w:w="7085"/>
            <w:vAlign w:val="center"/>
          </w:tcPr>
          <w:p>
            <w:r/>
            <w:r>
              <w:rPr>
                <w:b w:val="0"/>
                <w:sz w:val="16"/>
              </w:rPr>
              <w:t>USD 30,586.44</w:t>
            </w:r>
          </w:p>
        </w:tc>
      </w:tr>
    </w:tbl>
    <w:p>
      <w:r>
        <w:rPr>
          <w:i/>
          <w:color w:val="5A6577"/>
          <w:sz w:val="16"/>
        </w:rPr>
        <w:t>La CxC vencida o cercana a vencimiento debe manejarse con seguimiento semanal por cliente. El saldo alto no elimina la necesidad de caja si el cobro cae después de la fecha de pago.</w:t>
      </w:r>
    </w:p>
    <w:p>
      <w:pPr>
        <w:pStyle w:val="Heading1"/>
      </w:pPr>
      <w:r>
        <w:rPr>
          <w:color w:val="002244"/>
        </w:rPr>
        <w:t>Facturación reciente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85"/>
        <w:gridCol w:w="7085"/>
      </w:tblGrid>
      <w:tr>
        <w:tc>
          <w:tcPr>
            <w:tcW w:type="dxa" w:w="7085"/>
            <w:vAlign w:val="center"/>
            <w:shd w:fill="0B4778"/>
          </w:tcPr>
          <w:p>
            <w:r/>
            <w:r>
              <w:rPr>
                <w:b/>
                <w:color w:val="FFFFFF"/>
                <w:sz w:val="16"/>
              </w:rPr>
              <w:t>Mes</w:t>
            </w:r>
          </w:p>
        </w:tc>
        <w:tc>
          <w:tcPr>
            <w:tcW w:type="dxa" w:w="7085"/>
            <w:vAlign w:val="center"/>
            <w:shd w:fill="0B4778"/>
          </w:tcPr>
          <w:p>
            <w:r/>
            <w:r>
              <w:rPr>
                <w:b/>
                <w:color w:val="FFFFFF"/>
                <w:sz w:val="16"/>
              </w:rPr>
              <w:t>Facturación registrada</w:t>
            </w:r>
          </w:p>
        </w:tc>
      </w:tr>
      <w:tr>
        <w:tc>
          <w:tcPr>
            <w:tcW w:type="dxa" w:w="7085"/>
            <w:vAlign w:val="center"/>
          </w:tcPr>
          <w:p>
            <w:r/>
            <w:r>
              <w:rPr>
                <w:b w:val="0"/>
                <w:sz w:val="16"/>
              </w:rPr>
              <w:t>2026-08</w:t>
            </w:r>
          </w:p>
        </w:tc>
        <w:tc>
          <w:tcPr>
            <w:tcW w:type="dxa" w:w="7085"/>
            <w:vAlign w:val="center"/>
          </w:tcPr>
          <w:p>
            <w:r/>
            <w:r>
              <w:rPr>
                <w:b w:val="0"/>
                <w:sz w:val="16"/>
              </w:rPr>
              <w:t>USD 32,620.60</w:t>
            </w:r>
          </w:p>
        </w:tc>
      </w:tr>
      <w:tr>
        <w:tc>
          <w:tcPr>
            <w:tcW w:type="dxa" w:w="7085"/>
            <w:vAlign w:val="center"/>
          </w:tcPr>
          <w:p>
            <w:r/>
            <w:r>
              <w:rPr>
                <w:b w:val="0"/>
                <w:sz w:val="16"/>
              </w:rPr>
              <w:t>2026-09</w:t>
            </w:r>
          </w:p>
        </w:tc>
        <w:tc>
          <w:tcPr>
            <w:tcW w:type="dxa" w:w="7085"/>
            <w:vAlign w:val="center"/>
          </w:tcPr>
          <w:p>
            <w:r/>
            <w:r>
              <w:rPr>
                <w:b w:val="0"/>
                <w:sz w:val="16"/>
              </w:rPr>
              <w:t>USD 37,021.72</w:t>
            </w:r>
          </w:p>
        </w:tc>
      </w:tr>
    </w:tbl>
    <w:p>
      <w:r>
        <w:t>Lectura: agosto y septiembre muestran recuperación comercial, especialmente por MCI. Para que esto resuelva caja debe convertirse en cobro antes de las quincenas críticas.</w:t>
      </w:r>
    </w:p>
    <w:p>
      <w:pPr>
        <w:pStyle w:val="Heading1"/>
      </w:pPr>
      <w:r>
        <w:rPr>
          <w:color w:val="002244"/>
        </w:rPr>
        <w:t>Proyección septiembre-diciembre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4"/>
        <w:gridCol w:w="2834"/>
        <w:gridCol w:w="2834"/>
        <w:gridCol w:w="2834"/>
        <w:gridCol w:w="2834"/>
      </w:tblGrid>
      <w:tr>
        <w:tc>
          <w:tcPr>
            <w:tcW w:type="dxa" w:w="2834"/>
            <w:vAlign w:val="center"/>
            <w:shd w:fill="0B4778"/>
          </w:tcPr>
          <w:p>
            <w:r/>
            <w:r>
              <w:rPr>
                <w:b/>
                <w:color w:val="FFFFFF"/>
                <w:sz w:val="14"/>
              </w:rPr>
              <w:t>Periodo</w:t>
            </w:r>
          </w:p>
        </w:tc>
        <w:tc>
          <w:tcPr>
            <w:tcW w:type="dxa" w:w="2834"/>
            <w:vAlign w:val="center"/>
            <w:shd w:fill="0B4778"/>
          </w:tcPr>
          <w:p>
            <w:r/>
            <w:r>
              <w:rPr>
                <w:b/>
                <w:color w:val="FFFFFF"/>
                <w:sz w:val="14"/>
              </w:rPr>
              <w:t>CRC</w:t>
            </w:r>
          </w:p>
        </w:tc>
        <w:tc>
          <w:tcPr>
            <w:tcW w:type="dxa" w:w="2834"/>
            <w:vAlign w:val="center"/>
            <w:shd w:fill="0B4778"/>
          </w:tcPr>
          <w:p>
            <w:r/>
            <w:r>
              <w:rPr>
                <w:b/>
                <w:color w:val="FFFFFF"/>
                <w:sz w:val="14"/>
              </w:rPr>
              <w:t>USD</w:t>
            </w:r>
          </w:p>
        </w:tc>
        <w:tc>
          <w:tcPr>
            <w:tcW w:type="dxa" w:w="2834"/>
            <w:vAlign w:val="center"/>
            <w:shd w:fill="0B4778"/>
          </w:tcPr>
          <w:p>
            <w:r/>
            <w:r>
              <w:rPr>
                <w:b/>
                <w:color w:val="FFFFFF"/>
                <w:sz w:val="14"/>
              </w:rPr>
              <w:t>Equiv. USD</w:t>
            </w:r>
          </w:p>
        </w:tc>
        <w:tc>
          <w:tcPr>
            <w:tcW w:type="dxa" w:w="2834"/>
            <w:vAlign w:val="center"/>
            <w:shd w:fill="0B4778"/>
          </w:tcPr>
          <w:p>
            <w:r/>
            <w:r>
              <w:rPr>
                <w:b/>
                <w:color w:val="FFFFFF"/>
                <w:sz w:val="14"/>
              </w:rPr>
              <w:t>Comentario</w:t>
            </w:r>
          </w:p>
        </w:tc>
      </w:tr>
      <w:tr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2026-09 Q1 pendiente</w:t>
            </w:r>
          </w:p>
        </w:tc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CRC 2,800,025.83</w:t>
            </w:r>
          </w:p>
        </w:tc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USD 1,580.05</w:t>
            </w:r>
          </w:p>
        </w:tc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USD 7,761.12</w:t>
            </w:r>
          </w:p>
        </w:tc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Pendiente exacto del Excel de obligaciones.</w:t>
            </w:r>
          </w:p>
        </w:tc>
      </w:tr>
      <w:tr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2026-09 Q2</w:t>
            </w:r>
          </w:p>
        </w:tc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CRC 456,996.25</w:t>
            </w:r>
          </w:p>
        </w:tc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USD 0.00</w:t>
            </w:r>
          </w:p>
        </w:tc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USD 1,008.82</w:t>
            </w:r>
          </w:p>
        </w:tc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Proyección base; tarjetas bajan 30% en noviembre y 50% en diciembre.</w:t>
            </w:r>
          </w:p>
        </w:tc>
      </w:tr>
      <w:tr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2026-10 Q1</w:t>
            </w:r>
          </w:p>
        </w:tc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CRC 3,490,203.57</w:t>
            </w:r>
          </w:p>
        </w:tc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USD 4,972.66</w:t>
            </w:r>
          </w:p>
        </w:tc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USD 12,677.30</w:t>
            </w:r>
          </w:p>
        </w:tc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Proyección base; tarjetas bajan 30% en noviembre y 50% en diciembre.</w:t>
            </w:r>
          </w:p>
        </w:tc>
      </w:tr>
      <w:tr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2026-10 Q2</w:t>
            </w:r>
          </w:p>
        </w:tc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CRC 456,996.25</w:t>
            </w:r>
          </w:p>
        </w:tc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USD 0.00</w:t>
            </w:r>
          </w:p>
        </w:tc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USD 1,008.82</w:t>
            </w:r>
          </w:p>
        </w:tc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Proyección base; tarjetas bajan 30% en noviembre y 50% en diciembre.</w:t>
            </w:r>
          </w:p>
        </w:tc>
      </w:tr>
      <w:tr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2026-11 Q1</w:t>
            </w:r>
          </w:p>
        </w:tc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CRC 3,198,236.19</w:t>
            </w:r>
          </w:p>
        </w:tc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USD 3,954.88</w:t>
            </w:r>
          </w:p>
        </w:tc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USD 11,015.00</w:t>
            </w:r>
          </w:p>
        </w:tc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Proyección base; tarjetas bajan 30% en noviembre y 50% en diciembre.</w:t>
            </w:r>
          </w:p>
        </w:tc>
      </w:tr>
      <w:tr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2026-11 Q2</w:t>
            </w:r>
          </w:p>
        </w:tc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CRC 456,996.25</w:t>
            </w:r>
          </w:p>
        </w:tc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USD 0.00</w:t>
            </w:r>
          </w:p>
        </w:tc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USD 1,008.82</w:t>
            </w:r>
          </w:p>
        </w:tc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Proyección base; tarjetas bajan 30% en noviembre y 50% en diciembre.</w:t>
            </w:r>
          </w:p>
        </w:tc>
      </w:tr>
      <w:tr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2026-12 Q1</w:t>
            </w:r>
          </w:p>
        </w:tc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CRC 4,028,591.27</w:t>
            </w:r>
          </w:p>
        </w:tc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USD 3,276.35</w:t>
            </w:r>
          </w:p>
        </w:tc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USD 12,169.49</w:t>
            </w:r>
          </w:p>
        </w:tc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Proyección base; tarjetas bajan 30% en noviembre y 50% en diciembre.</w:t>
            </w:r>
          </w:p>
        </w:tc>
      </w:tr>
      <w:tr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2026-12 Q2</w:t>
            </w:r>
          </w:p>
        </w:tc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CRC 456,996.25</w:t>
            </w:r>
          </w:p>
        </w:tc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USD 0.00</w:t>
            </w:r>
          </w:p>
        </w:tc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USD 1,008.82</w:t>
            </w:r>
          </w:p>
        </w:tc>
        <w:tc>
          <w:tcPr>
            <w:tcW w:type="dxa" w:w="2834"/>
            <w:vAlign w:val="center"/>
          </w:tcPr>
          <w:p>
            <w:r/>
            <w:r>
              <w:rPr>
                <w:b w:val="0"/>
                <w:sz w:val="14"/>
              </w:rPr>
              <w:t>Proyección base; tarjetas bajan 30% en noviembre y 50% en diciembre.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309360" cy="29864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yeccion_obligacio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86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02244"/>
        </w:rPr>
        <w:t>Aguinaldo</w:t>
      </w:r>
    </w:p>
    <w:p>
      <w:r>
        <w:t>Para diciembre se debe reservar el aguinaldo antes de cerrar tarjetas o gastos no esenciales. Con Erasmo y Manfred como base salarial operativa actual, la reserva de aguinaldo anual estimada es CRC 1,025,000.00. Esta cifra debe recalcularse si se incluyen otros empleados, salario variable u horas extra.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23"/>
        <w:gridCol w:w="4723"/>
        <w:gridCol w:w="4723"/>
      </w:tblGrid>
      <w:tr>
        <w:tc>
          <w:tcPr>
            <w:tcW w:type="dxa" w:w="4723"/>
            <w:vAlign w:val="center"/>
            <w:shd w:fill="0B4778"/>
          </w:tcPr>
          <w:p>
            <w:r/>
            <w:r>
              <w:rPr>
                <w:b/>
                <w:color w:val="FFFFFF"/>
                <w:sz w:val="16"/>
              </w:rPr>
              <w:t>Empleado</w:t>
            </w:r>
          </w:p>
        </w:tc>
        <w:tc>
          <w:tcPr>
            <w:tcW w:type="dxa" w:w="4723"/>
            <w:vAlign w:val="center"/>
            <w:shd w:fill="0B4778"/>
          </w:tcPr>
          <w:p>
            <w:r/>
            <w:r>
              <w:rPr>
                <w:b/>
                <w:color w:val="FFFFFF"/>
                <w:sz w:val="16"/>
              </w:rPr>
              <w:t>Salario mensual bruto base</w:t>
            </w:r>
          </w:p>
        </w:tc>
        <w:tc>
          <w:tcPr>
            <w:tcW w:type="dxa" w:w="4723"/>
            <w:vAlign w:val="center"/>
            <w:shd w:fill="0B4778"/>
          </w:tcPr>
          <w:p>
            <w:r/>
            <w:r>
              <w:rPr>
                <w:b/>
                <w:color w:val="FFFFFF"/>
                <w:sz w:val="16"/>
              </w:rPr>
              <w:t>Aguinaldo estimado</w:t>
            </w:r>
          </w:p>
        </w:tc>
      </w:tr>
      <w:tr>
        <w:tc>
          <w:tcPr>
            <w:tcW w:type="dxa" w:w="4723"/>
            <w:vAlign w:val="center"/>
          </w:tcPr>
          <w:p>
            <w:r/>
            <w:r>
              <w:rPr>
                <w:b w:val="0"/>
                <w:sz w:val="16"/>
              </w:rPr>
              <w:t>Erasmo Gomez Gomez</w:t>
            </w:r>
          </w:p>
        </w:tc>
        <w:tc>
          <w:tcPr>
            <w:tcW w:type="dxa" w:w="4723"/>
            <w:vAlign w:val="center"/>
          </w:tcPr>
          <w:p>
            <w:r/>
            <w:r>
              <w:rPr>
                <w:b w:val="0"/>
                <w:sz w:val="16"/>
              </w:rPr>
              <w:t>CRC 425,000.00</w:t>
            </w:r>
          </w:p>
        </w:tc>
        <w:tc>
          <w:tcPr>
            <w:tcW w:type="dxa" w:w="4723"/>
            <w:vAlign w:val="center"/>
          </w:tcPr>
          <w:p>
            <w:r/>
            <w:r>
              <w:rPr>
                <w:b w:val="0"/>
                <w:sz w:val="16"/>
              </w:rPr>
              <w:t>CRC 425,000.00</w:t>
            </w:r>
          </w:p>
        </w:tc>
      </w:tr>
      <w:tr>
        <w:tc>
          <w:tcPr>
            <w:tcW w:type="dxa" w:w="4723"/>
            <w:vAlign w:val="center"/>
          </w:tcPr>
          <w:p>
            <w:r/>
            <w:r>
              <w:rPr>
                <w:b w:val="0"/>
                <w:sz w:val="16"/>
              </w:rPr>
              <w:t>Manfred Bolaños Barrantes</w:t>
            </w:r>
          </w:p>
        </w:tc>
        <w:tc>
          <w:tcPr>
            <w:tcW w:type="dxa" w:w="4723"/>
            <w:vAlign w:val="center"/>
          </w:tcPr>
          <w:p>
            <w:r/>
            <w:r>
              <w:rPr>
                <w:b w:val="0"/>
                <w:sz w:val="16"/>
              </w:rPr>
              <w:t>CRC 600,000.00</w:t>
            </w:r>
          </w:p>
        </w:tc>
        <w:tc>
          <w:tcPr>
            <w:tcW w:type="dxa" w:w="4723"/>
            <w:vAlign w:val="center"/>
          </w:tcPr>
          <w:p>
            <w:r/>
            <w:r>
              <w:rPr>
                <w:b w:val="0"/>
                <w:sz w:val="16"/>
              </w:rPr>
              <w:t>CRC 600,000.00</w:t>
            </w:r>
          </w:p>
        </w:tc>
      </w:tr>
      <w:tr>
        <w:tc>
          <w:tcPr>
            <w:tcW w:type="dxa" w:w="4723"/>
            <w:vAlign w:val="center"/>
          </w:tcPr>
          <w:p>
            <w:r/>
            <w:r>
              <w:rPr>
                <w:b w:val="0"/>
                <w:sz w:val="16"/>
              </w:rPr>
              <w:t>Total reserva mínima</w:t>
            </w:r>
          </w:p>
        </w:tc>
        <w:tc>
          <w:tcPr>
            <w:tcW w:type="dxa" w:w="4723"/>
            <w:vAlign w:val="center"/>
          </w:tcPr>
          <w:p>
            <w:r/>
            <w:r>
              <w:rPr>
                <w:b w:val="0"/>
                <w:sz w:val="16"/>
              </w:rPr>
              <w:t>CRC 1,025,000.00</w:t>
            </w:r>
          </w:p>
        </w:tc>
        <w:tc>
          <w:tcPr>
            <w:tcW w:type="dxa" w:w="4723"/>
            <w:vAlign w:val="center"/>
          </w:tcPr>
          <w:p>
            <w:r/>
            <w:r>
              <w:rPr>
                <w:b w:val="0"/>
                <w:sz w:val="16"/>
              </w:rPr>
              <w:t>CRC 1,025,000.00</w:t>
            </w:r>
          </w:p>
        </w:tc>
      </w:tr>
    </w:tbl>
    <w:p>
      <w:pPr>
        <w:pStyle w:val="Heading1"/>
      </w:pPr>
      <w:r>
        <w:rPr>
          <w:color w:val="002244"/>
        </w:rPr>
        <w:t>Plan de ahorro FY27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85"/>
        <w:gridCol w:w="7085"/>
      </w:tblGrid>
      <w:tr>
        <w:tc>
          <w:tcPr>
            <w:tcW w:type="dxa" w:w="7085"/>
            <w:vAlign w:val="center"/>
            <w:shd w:fill="0B4778"/>
          </w:tcPr>
          <w:p>
            <w:r/>
            <w:r>
              <w:rPr>
                <w:b/>
                <w:color w:val="FFFFFF"/>
                <w:sz w:val="16"/>
              </w:rPr>
              <w:t>Reserva objetivo</w:t>
            </w:r>
          </w:p>
        </w:tc>
        <w:tc>
          <w:tcPr>
            <w:tcW w:type="dxa" w:w="7085"/>
            <w:vAlign w:val="center"/>
            <w:shd w:fill="0B4778"/>
          </w:tcPr>
          <w:p>
            <w:r/>
            <w:r>
              <w:rPr>
                <w:b/>
                <w:color w:val="FFFFFF"/>
                <w:sz w:val="16"/>
              </w:rPr>
              <w:t>Monto</w:t>
            </w:r>
          </w:p>
        </w:tc>
      </w:tr>
      <w:tr>
        <w:tc>
          <w:tcPr>
            <w:tcW w:type="dxa" w:w="7085"/>
            <w:vAlign w:val="center"/>
          </w:tcPr>
          <w:p>
            <w:r/>
            <w:r>
              <w:rPr>
                <w:b w:val="0"/>
                <w:sz w:val="16"/>
              </w:rPr>
              <w:t>4 meses de gastos fijos CRC bajo plan de reducción</w:t>
            </w:r>
          </w:p>
        </w:tc>
        <w:tc>
          <w:tcPr>
            <w:tcW w:type="dxa" w:w="7085"/>
            <w:vAlign w:val="center"/>
          </w:tcPr>
          <w:p>
            <w:r/>
            <w:r>
              <w:rPr>
                <w:b w:val="0"/>
                <w:sz w:val="16"/>
              </w:rPr>
              <w:t>CRC 11,042,350.06</w:t>
            </w:r>
          </w:p>
        </w:tc>
      </w:tr>
      <w:tr>
        <w:tc>
          <w:tcPr>
            <w:tcW w:type="dxa" w:w="7085"/>
            <w:vAlign w:val="center"/>
          </w:tcPr>
          <w:p>
            <w:r/>
            <w:r>
              <w:rPr>
                <w:b w:val="0"/>
                <w:sz w:val="16"/>
              </w:rPr>
              <w:t>4 meses de gastos fijos USD bajo plan de reducción</w:t>
            </w:r>
          </w:p>
        </w:tc>
        <w:tc>
          <w:tcPr>
            <w:tcW w:type="dxa" w:w="7085"/>
            <w:vAlign w:val="center"/>
          </w:tcPr>
          <w:p>
            <w:r/>
            <w:r>
              <w:rPr>
                <w:b w:val="0"/>
                <w:sz w:val="16"/>
              </w:rPr>
              <w:t>USD 13,105.42</w:t>
            </w:r>
          </w:p>
        </w:tc>
      </w:tr>
      <w:tr>
        <w:tc>
          <w:tcPr>
            <w:tcW w:type="dxa" w:w="7085"/>
            <w:vAlign w:val="center"/>
          </w:tcPr>
          <w:p>
            <w:r/>
            <w:r>
              <w:rPr>
                <w:b w:val="0"/>
                <w:sz w:val="16"/>
              </w:rPr>
              <w:t>Equivalente total aproximado a TC venta</w:t>
            </w:r>
          </w:p>
        </w:tc>
        <w:tc>
          <w:tcPr>
            <w:tcW w:type="dxa" w:w="7085"/>
            <w:vAlign w:val="center"/>
          </w:tcPr>
          <w:p>
            <w:r/>
            <w:r>
              <w:rPr>
                <w:b w:val="0"/>
                <w:sz w:val="16"/>
              </w:rPr>
              <w:t>USD 37,481.47</w:t>
            </w:r>
          </w:p>
        </w:tc>
      </w:tr>
    </w:tbl>
    <w:p>
      <w:pPr>
        <w:pStyle w:val="ListBullet"/>
      </w:pPr>
      <w:r>
        <w:t>Aplicar regla automática de cobros: 15% de cada cobro a impuestos/IVA, 10% a planilla/aguinaldo, 5% a reserva FY27, antes de pagar gastos variables.</w:t>
      </w:r>
    </w:p>
    <w:p>
      <w:pPr>
        <w:pStyle w:val="ListBullet"/>
      </w:pPr>
      <w:r>
        <w:t>Congelar compras no críticas con tarjeta hasta que el saldo FY27 cubra al menos dos quincenas de planilla, CCSS e IVA.</w:t>
      </w:r>
    </w:p>
    <w:p>
      <w:pPr>
        <w:pStyle w:val="ListBullet"/>
      </w:pPr>
      <w:r>
        <w:t>Separar bancos CRC y USD en reportes: ninguna decisión debe mezclar monedas sin TC explícito y fecha de conversión.</w:t>
      </w:r>
    </w:p>
    <w:p>
      <w:pPr>
        <w:pStyle w:val="ListBullet"/>
      </w:pPr>
      <w:r>
        <w:t>Negociar pagos variables grandes contra cobro real de factura asociada, especialmente surveyors, gastos extraordinarios y proveedores no esenciales.</w:t>
      </w:r>
    </w:p>
    <w:p>
      <w:pPr>
        <w:pStyle w:val="ListBullet"/>
      </w:pPr>
      <w:r>
        <w:t>Convertir la CxC de septiembre en plan semanal: top clientes, fecha prometida, responsable, evidencia enviada y escalamiento a 7 días.</w:t>
      </w:r>
    </w:p>
    <w:p>
      <w:pPr>
        <w:pStyle w:val="ListBullet"/>
      </w:pPr>
      <w:r>
        <w:t>Cerrar cada mes con presupuesto vs real: tarjetas, alquiler, impuestos, planilla, proveedores, y diferencias de tipo de cambio.</w:t>
      </w:r>
    </w:p>
    <w:p>
      <w:pPr>
        <w:pStyle w:val="Heading1"/>
      </w:pPr>
      <w:r>
        <w:rPr>
          <w:color w:val="002244"/>
        </w:rPr>
        <w:t>Conclusión</w:t>
      </w:r>
    </w:p>
    <w:p>
      <w:r>
        <w:t>SOM no luce insolvente por monto total de CxC; el problema es de caja, calendario y disciplina de reservas. La prioridad inmediata es cubrir el pendiente de septiembre Q1, convertir CxC de vencimiento septiembre/octubre en efectivo, y crear desde ya la reserva de aguinaldo. Si se controla tarjeta y se reserva un porcentaje fijo de cada cobro, el objetivo de sostener los primeros cuatro meses de FY27 pasa de reactivo a planificado.</w:t>
      </w:r>
    </w:p>
    <w:sectPr w:rsidR="00FC693F" w:rsidRPr="0006063C" w:rsidSect="00034616">
      <w:pgSz w:w="15840" w:h="12240" w:orient="landscape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