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A3A5C"/>
          <w:sz w:val="52"/>
          <w:szCs w:val="52"/>
        </w:rPr>
        <w:t xml:space="preserve">GHOST FLIGHT SIGNAL STRATEGY</w:t>
      </w:r>
    </w:p>
    <w:p>
      <w:pPr>
        <w:spacing w:before="0" w:after="60"/>
        <w:jc w:val="center"/>
      </w:pPr>
      <w:r>
        <w:rPr>
          <w:rFonts w:ascii="Arial" w:cs="Arial" w:eastAsia="Arial" w:hAnsi="Arial"/>
          <w:i/>
          <w:iCs/>
          <w:color w:val="2E75B6"/>
          <w:sz w:val="28"/>
          <w:szCs w:val="28"/>
        </w:rPr>
        <w:t xml:space="preserve">Conceptual Briefing &amp; Presenter Notes</w:t>
      </w:r>
    </w:p>
    <w:p>
      <w:pPr>
        <w:spacing w:before="0" w:after="60"/>
        <w:jc w:val="center"/>
      </w:pPr>
      <w:r>
        <w:rPr>
          <w:rFonts w:ascii="Arial" w:cs="Arial" w:eastAsia="Arial" w:hAnsi="Arial"/>
          <w:color w:val="666666"/>
          <w:sz w:val="22"/>
          <w:szCs w:val="22"/>
        </w:rPr>
        <w:t xml:space="preserve">TAMID Quant Club  •  No-FlightAware Proof-of-Concept Backtest</w:t>
      </w:r>
    </w:p>
    <w:p>
      <w:pPr>
        <w:spacing w:before="60" w:after="0"/>
      </w:pPr>
      <w:r>
        <w:t xml:space="preserve"/>
      </w:r>
    </w:p>
    <w:p>
      <w:pPr>
        <w:pBdr>
          <w:bottom w:val="single" w:color="2E75B6" w:sz="4" w:space="2"/>
        </w:pBdr>
        <w:spacing w:before="0" w:after="240"/>
        <w:jc w:val="center"/>
      </w:pPr>
      <w:r>
        <w:t xml:space="preserve"/>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0  </w:t>
            </w:r>
            <w:r>
              <w:rPr>
                <w:rFonts w:ascii="Arial" w:cs="Arial" w:eastAsia="Arial" w:hAnsi="Arial"/>
                <w:b/>
                <w:bCs/>
                <w:color w:val="FFFFFF"/>
                <w:sz w:val="22"/>
                <w:szCs w:val="22"/>
              </w:rPr>
              <w:t xml:space="preserve">THE INVESTMENT THESIS</w:t>
            </w:r>
          </w:p>
          <w:p>
            <w:pPr>
              <w:spacing w:before="40"/>
            </w:pPr>
            <w:r>
              <w:rPr>
                <w:rFonts w:ascii="Arial" w:cs="Arial" w:eastAsia="Arial" w:hAnsi="Arial"/>
                <w:i/>
                <w:iCs/>
                <w:color w:val="AACCEE"/>
                <w:sz w:val="18"/>
                <w:szCs w:val="18"/>
              </w:rPr>
              <w:t xml:space="preserve">Why ghost flights should predict ULCC stock movements</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What is a Ghost Flight?</w:t>
      </w:r>
    </w:p>
    <w:p>
      <w:pPr>
        <w:spacing w:before="80" w:after="100"/>
      </w:pPr>
      <w:r>
        <w:rPr>
          <w:rFonts w:ascii="Arial" w:cs="Arial" w:eastAsia="Arial" w:hAnsi="Arial"/>
          <w:color w:val="222222"/>
          <w:sz w:val="22"/>
          <w:szCs w:val="22"/>
        </w:rPr>
        <w:t xml:space="preserve">A ghost flight is a commercial airline departure that operates at a load factor so low — typically below 40% — that it cannot possibly be profitable on its own. Legacy carriers (American, United, Delta) run these flights deliberately on routes where Ultra-Low-Cost Carriers (ULCCs) like Spirit compete directly.</w:t>
      </w:r>
    </w:p>
    <w:p>
      <w:pPr>
        <w:spacing w:before="80" w:after="0"/>
      </w:pPr>
      <w:r>
        <w:t xml:space="preserve"/>
      </w:r>
    </w:p>
    <w:p>
      <w:pPr>
        <w:pStyle w:val="Heading2"/>
        <w:spacing w:before="280" w:after="100"/>
      </w:pPr>
      <w:r>
        <w:rPr>
          <w:rFonts w:ascii="Arial" w:cs="Arial" w:eastAsia="Arial" w:hAnsi="Arial"/>
          <w:b/>
          <w:bCs/>
          <w:color w:val="2E75B6"/>
          <w:sz w:val="24"/>
          <w:szCs w:val="24"/>
        </w:rPr>
        <w:t xml:space="preserve">Why Would a Carrier Do This?</w:t>
      </w:r>
    </w:p>
    <w:p>
      <w:pPr>
        <w:pStyle w:val="ListParagraph"/>
        <w:numPr>
          <w:ilvl w:val="0"/>
          <w:numId w:val="2"/>
        </w:numPr>
        <w:spacing w:before="60" w:after="60"/>
      </w:pPr>
      <w:r>
        <w:rPr>
          <w:rFonts w:ascii="Arial" w:cs="Arial" w:eastAsia="Arial" w:hAnsi="Arial"/>
          <w:color w:val="222222"/>
          <w:sz w:val="22"/>
          <w:szCs w:val="22"/>
        </w:rPr>
        <w:t xml:space="preserve">Slot defense: at slot-controlled airports, a carrier must operate a minimum percentage of its approved slots or lose them permanently to a competitor.</w:t>
      </w:r>
    </w:p>
    <w:p>
      <w:pPr>
        <w:pStyle w:val="ListParagraph"/>
        <w:numPr>
          <w:ilvl w:val="0"/>
          <w:numId w:val="2"/>
        </w:numPr>
        <w:spacing w:before="60" w:after="60"/>
      </w:pPr>
      <w:r>
        <w:rPr>
          <w:rFonts w:ascii="Arial" w:cs="Arial" w:eastAsia="Arial" w:hAnsi="Arial"/>
          <w:color w:val="222222"/>
          <w:sz w:val="22"/>
          <w:szCs w:val="22"/>
        </w:rPr>
        <w:t xml:space="preserve">Yield suppression: flooding a route with available seats forces ticket prices down across all carriers, making it harder for a ULCC operating on razor-thin margins to survive on that route.</w:t>
      </w:r>
    </w:p>
    <w:p>
      <w:pPr>
        <w:pStyle w:val="ListParagraph"/>
        <w:numPr>
          <w:ilvl w:val="0"/>
          <w:numId w:val="2"/>
        </w:numPr>
        <w:spacing w:before="60" w:after="60"/>
      </w:pPr>
      <w:r>
        <w:rPr>
          <w:rFonts w:ascii="Arial" w:cs="Arial" w:eastAsia="Arial" w:hAnsi="Arial"/>
          <w:color w:val="222222"/>
          <w:sz w:val="22"/>
          <w:szCs w:val="22"/>
        </w:rPr>
        <w:t xml:space="preserve">Network signaling: demonstrating presence on a route discourages ULCC expansion into adjacent markets.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KEY INSIGHT</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Ghost flights are a symptom of competitive stress — not just an operational decision. Their presence indicates legacy carriers feel threatened enough on a route to absorb losses in the short term. That pressure flows through to ULCC revenue and, with a lag, to stock price.</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The Causal Chain</w:t>
      </w:r>
    </w:p>
    <w:p>
      <w:pPr>
        <w:pStyle w:val="ListParagraph"/>
        <w:numPr>
          <w:ilvl w:val="0"/>
          <w:numId w:val="2"/>
        </w:numPr>
        <w:spacing w:before="60" w:after="60"/>
      </w:pPr>
      <w:r>
        <w:rPr>
          <w:rFonts w:ascii="Arial" w:cs="Arial" w:eastAsia="Arial" w:hAnsi="Arial"/>
          <w:color w:val="222222"/>
          <w:sz w:val="22"/>
          <w:szCs w:val="22"/>
        </w:rPr>
        <w:t xml:space="preserve">Legacy carrier faces ULCC competition on a leisure route (e.g. ATL-MCO, ORD-FLL).</w:t>
      </w:r>
    </w:p>
    <w:p>
      <w:pPr>
        <w:pStyle w:val="ListParagraph"/>
        <w:numPr>
          <w:ilvl w:val="0"/>
          <w:numId w:val="2"/>
        </w:numPr>
        <w:spacing w:before="60" w:after="60"/>
      </w:pPr>
      <w:r>
        <w:rPr>
          <w:rFonts w:ascii="Arial" w:cs="Arial" w:eastAsia="Arial" w:hAnsi="Arial"/>
          <w:color w:val="222222"/>
          <w:sz w:val="22"/>
          <w:szCs w:val="22"/>
        </w:rPr>
        <w:t xml:space="preserve">To defend the route, legacy operates flights below breakeven load factor.</w:t>
      </w:r>
    </w:p>
    <w:p>
      <w:pPr>
        <w:pStyle w:val="ListParagraph"/>
        <w:numPr>
          <w:ilvl w:val="0"/>
          <w:numId w:val="2"/>
        </w:numPr>
        <w:spacing w:before="60" w:after="60"/>
      </w:pPr>
      <w:r>
        <w:rPr>
          <w:rFonts w:ascii="Arial" w:cs="Arial" w:eastAsia="Arial" w:hAnsi="Arial"/>
          <w:color w:val="222222"/>
          <w:sz w:val="22"/>
          <w:szCs w:val="22"/>
        </w:rPr>
        <w:t xml:space="preserve">ULCC experiences yield compression — fewer passengers willing to pay higher prices when legacy is flooding seats.</w:t>
      </w:r>
    </w:p>
    <w:p>
      <w:pPr>
        <w:pStyle w:val="ListParagraph"/>
        <w:numPr>
          <w:ilvl w:val="0"/>
          <w:numId w:val="2"/>
        </w:numPr>
        <w:spacing w:before="60" w:after="60"/>
      </w:pPr>
      <w:r>
        <w:rPr>
          <w:rFonts w:ascii="Arial" w:cs="Arial" w:eastAsia="Arial" w:hAnsi="Arial"/>
          <w:color w:val="222222"/>
          <w:sz w:val="22"/>
          <w:szCs w:val="22"/>
        </w:rPr>
        <w:t xml:space="preserve">ULCC revenue per available seat mile (RASM) declines, eventually showing up in guidance or earnings.</w:t>
      </w:r>
    </w:p>
    <w:p>
      <w:pPr>
        <w:pStyle w:val="ListParagraph"/>
        <w:numPr>
          <w:ilvl w:val="0"/>
          <w:numId w:val="2"/>
        </w:numPr>
        <w:spacing w:before="60" w:after="60"/>
      </w:pPr>
      <w:r>
        <w:rPr>
          <w:rFonts w:ascii="Arial" w:cs="Arial" w:eastAsia="Arial" w:hAnsi="Arial"/>
          <w:color w:val="222222"/>
          <w:sz w:val="22"/>
          <w:szCs w:val="22"/>
        </w:rPr>
        <w:t xml:space="preserve">Market prices in the revenue risk — ULCC stock underperforms.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If challenged on causality vs. correlation: acknowledge that ghost flight activity and ULCC underperformance may share a common cause (overall route-level demand weakness). The stronger test is whether ghost flight counts lead ULCC returns with a meaningful lag — which is what the signal window is designed to capture.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1  </w:t>
            </w:r>
            <w:r>
              <w:rPr>
                <w:rFonts w:ascii="Arial" w:cs="Arial" w:eastAsia="Arial" w:hAnsi="Arial"/>
                <w:b/>
                <w:bCs/>
                <w:color w:val="FFFFFF"/>
                <w:sz w:val="22"/>
                <w:szCs w:val="22"/>
              </w:rPr>
              <w:t xml:space="preserve">STRATEGY PARAMETERS</w:t>
            </w:r>
          </w:p>
          <w:p>
            <w:pPr>
              <w:spacing w:before="40"/>
            </w:pPr>
            <w:r>
              <w:rPr>
                <w:rFonts w:ascii="Arial" w:cs="Arial" w:eastAsia="Arial" w:hAnsi="Arial"/>
                <w:i/>
                <w:iCs/>
                <w:color w:val="AACCEE"/>
                <w:sz w:val="18"/>
                <w:szCs w:val="18"/>
              </w:rPr>
              <w:t xml:space="preserve">All knobs in one place — understanding the discretionary choices</w:t>
            </w:r>
          </w:p>
        </w:tc>
      </w:tr>
    </w:tbl>
    <w:p>
      <w:pPr>
        <w:spacing w:before="160" w:after="0"/>
      </w:pPr>
      <w:r>
        <w:t xml:space="preserve"/>
      </w:r>
    </w:p>
    <w:p>
      <w:pPr>
        <w:spacing w:before="80" w:after="100"/>
      </w:pPr>
      <w:r>
        <w:rPr>
          <w:rFonts w:ascii="Arial" w:cs="Arial" w:eastAsia="Arial" w:hAnsi="Arial"/>
          <w:color w:val="222222"/>
          <w:sz w:val="22"/>
          <w:szCs w:val="22"/>
        </w:rPr>
        <w:t xml:space="preserve">Every number the strategy uses is defined at the top of the code in a single block. This is intentional: in any real trading system, you want to be able to answer 'why is this number this value' for each parameter. Below is a full accounting.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Rationale &amp; Discretion Notes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3A5C"/>
                <w:sz w:val="20"/>
                <w:szCs w:val="20"/>
              </w:rPr>
              <w:t xml:space="preserve">LOOKBACK_DAYS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90</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The rolling window used to compute z-scores. 90 trading days (~4.5 months) is long enough to smooth seasonal effects but short enough to remain responsive to structural shifts. A common alternative is 252 days (1 year); shorter windows make the signal more reactive but noisier.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ENTRY_Z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 long ULCC when the stress signal is 1.5 standard deviations above its own recent average. This is a moderately high bar — roughly the top 7% of historical observations. Lower values (e.g. 1.0) generate more trades but noisier entries; higher values (e.g. 2.0) are more selective but miss gradual pressure buildups.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3A5C"/>
                <w:sz w:val="20"/>
                <w:szCs w:val="20"/>
              </w:rPr>
              <w:t xml:space="preserve">SCALE_Z</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2.0</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When the signal is especially elevated (top ~2.5%), the position size increases to 1.5x. This is a conviction multiplier — you are betting that extreme stress readings have stronger predictive power. Discretionary: the 1.5x multiplier and the 2.0 threshold were chosen heuristically; in production these would be optimized on out-of-sample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EXIT_Z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Exit the position when the signal reverts below 0.5 standard deviations — i.e. when competitive pressure normalizes. Using a value below ENTRY_Z creates a hysteresis band that prevents rapid entry/exit cycling on noisy signal oscillations near the threshold.</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3A5C"/>
                <w:sz w:val="20"/>
                <w:szCs w:val="20"/>
              </w:rPr>
              <w:t xml:space="preserve">SUSTAIN_DAYS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3</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The signal must remain above ENTRY_Z for 3 consecutive days before a position is entered. This filters out one- or two-day false spikes. The number is somewhat arbitrary; the logic is that genuine competitive stress events last weeks, not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STOP_LOSS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 exit if the position drops 8% from entry regardless of the signal state. This protects against idiosyncratic ULCC events (earnings shock, operational incident) that have nothing to do with the ghost flight thesis. 8% is roughly 2-3 standard deviations of a single week's ULCC price move.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A3A5C"/>
                <w:sz w:val="20"/>
                <w:szCs w:val="20"/>
              </w:rPr>
              <w:t xml:space="preserve">GHOST_LF_THRESHOLD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C0392B"/>
                <w:sz w:val="20"/>
                <w:szCs w:val="20"/>
              </w:rPr>
              <w:t xml:space="preserve">40%</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333333"/>
                <w:sz w:val="20"/>
                <w:szCs w:val="20"/>
              </w:rPr>
              <w:t xml:space="preserve">A flight is classified as a ghost flight candidate if its estimated load factor falls below 40%. This threshold comes from airline economics: industry breakeven load factor for short-haul domestic routes is typically 70-80%, but carriers will often absorb losses at 40%+ for tactical reasons. Below 40%, the flight is almost certainly not commercially justified.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GHOST_WINDOW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Ghost flight counts are summed over a rolling 30-day window before z-scoring. This captures sustained route-level defensive behavior rather than reacting to individual scheduling noise. 30 days also aligns roughly with a monthly scheduling cycle, which is how airlines actually plan capacity.</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2  </w:t>
            </w:r>
            <w:r>
              <w:rPr>
                <w:rFonts w:ascii="Arial" w:cs="Arial" w:eastAsia="Arial" w:hAnsi="Arial"/>
                <w:b/>
                <w:bCs/>
                <w:color w:val="FFFFFF"/>
                <w:sz w:val="22"/>
                <w:szCs w:val="22"/>
              </w:rPr>
              <w:t xml:space="preserve">PRICE DATA GENERATION</w:t>
            </w:r>
          </w:p>
          <w:p>
            <w:pPr>
              <w:spacing w:before="40"/>
            </w:pPr>
            <w:r>
              <w:rPr>
                <w:rFonts w:ascii="Arial" w:cs="Arial" w:eastAsia="Arial" w:hAnsi="Arial"/>
                <w:i/>
                <w:iCs/>
                <w:color w:val="AACCEE"/>
                <w:sz w:val="18"/>
                <w:szCs w:val="18"/>
              </w:rPr>
              <w:t xml:space="preserve">Why synthetic prices and what the stress engine does</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Why Not Just Use Real Prices?</w:t>
      </w:r>
    </w:p>
    <w:p>
      <w:pPr>
        <w:spacing w:before="80" w:after="100"/>
      </w:pPr>
      <w:r>
        <w:rPr>
          <w:rFonts w:ascii="Arial" w:cs="Arial" w:eastAsia="Arial" w:hAnsi="Arial"/>
          <w:color w:val="222222"/>
          <w:sz w:val="22"/>
          <w:szCs w:val="22"/>
        </w:rPr>
        <w:t xml:space="preserve">The code does attempt to pull real prices via yfinance. However, because this is a proof-of-concept, the real download is immediately overwritten with a synthetic simulation. The reason is self-consistency: if we are generating a fake ghost flight signal (because real FlightAware data is unavailable), then the price data must be generated from the same underlying 'stress events' — otherwise the signal and the prices would be completely uncorrelated and the backtest would be meaningless by construction.</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If asked 'why not use real prices with a fake signal': a fake signal built on unrelated synthetic stress events would produce random trades against real prices. The test would only tell you whether randomly-timed trades on ULCC happen to be profitable — which is not what we want to test. Self-consistency is required for the proof-of-concept to say anything about the strategy logic.</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The Stress Signal Engine</w:t>
      </w:r>
    </w:p>
    <w:p>
      <w:pPr>
        <w:spacing w:before="80" w:after="100"/>
      </w:pPr>
      <w:r>
        <w:rPr>
          <w:rFonts w:ascii="Arial" w:cs="Arial" w:eastAsia="Arial" w:hAnsi="Arial"/>
          <w:color w:val="222222"/>
          <w:sz w:val="22"/>
          <w:szCs w:val="22"/>
        </w:rPr>
        <w:t xml:space="preserve">The stress_signal array is the backbone of the entire simulation. It is an array of zeros (calm days) punctuated by stretches of negative values (stress periods), and it serves double duty:</w:t>
      </w:r>
    </w:p>
    <w:p>
      <w:pPr>
        <w:spacing w:before="6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It drives simulated legacy carrier prices downward during stress periods (mimicking real revenue pressure).</w:t>
      </w:r>
    </w:p>
    <w:p>
      <w:pPr>
        <w:pStyle w:val="ListParagraph"/>
        <w:numPr>
          <w:ilvl w:val="0"/>
          <w:numId w:val="2"/>
        </w:numPr>
        <w:spacing w:before="60" w:after="60"/>
      </w:pPr>
      <w:r>
        <w:rPr>
          <w:rFonts w:ascii="Arial" w:cs="Arial" w:eastAsia="Arial" w:hAnsi="Arial"/>
          <w:color w:val="222222"/>
          <w:sz w:val="22"/>
          <w:szCs w:val="22"/>
        </w:rPr>
        <w:t xml:space="preserve">It drives the synthetic ghost flight load factors downward during the same periods (mimicking real ghost flight behavior).</w:t>
      </w:r>
    </w:p>
    <w:p>
      <w:pPr>
        <w:spacing w:before="80" w:after="0"/>
      </w:pPr>
      <w:r>
        <w:t xml:space="preserve"/>
      </w:r>
    </w:p>
    <w:p>
      <w:pPr>
        <w:spacing w:before="80" w:after="100"/>
      </w:pPr>
      <w:r>
        <w:rPr>
          <w:rFonts w:ascii="Arial" w:cs="Arial" w:eastAsia="Arial" w:hAnsi="Arial"/>
          <w:color w:val="222222"/>
          <w:sz w:val="22"/>
          <w:szCs w:val="22"/>
        </w:rPr>
        <w:t xml:space="preserve">The stress events are generated as follows:</w:t>
      </w:r>
    </w:p>
    <w:p>
      <w:pPr>
        <w:pStyle w:val="ListParagraph"/>
        <w:numPr>
          <w:ilvl w:val="0"/>
          <w:numId w:val="3"/>
        </w:numPr>
        <w:spacing w:before="40" w:after="40"/>
      </w:pPr>
      <w:r>
        <w:rPr>
          <w:rFonts w:ascii="Arial" w:cs="Arial" w:eastAsia="Arial" w:hAnsi="Arial"/>
          <w:color w:val="444444"/>
          <w:sz w:val="22"/>
          <w:szCs w:val="22"/>
        </w:rPr>
        <w:t xml:space="preserve">~6 events per year, placed randomly across the date range (avoiding the first and last 30 days to allow the signal to initialize).</w:t>
      </w:r>
    </w:p>
    <w:p>
      <w:pPr>
        <w:pStyle w:val="ListParagraph"/>
        <w:numPr>
          <w:ilvl w:val="0"/>
          <w:numId w:val="3"/>
        </w:numPr>
        <w:spacing w:before="40" w:after="40"/>
      </w:pPr>
      <w:r>
        <w:rPr>
          <w:rFonts w:ascii="Arial" w:cs="Arial" w:eastAsia="Arial" w:hAnsi="Arial"/>
          <w:color w:val="444444"/>
          <w:sz w:val="22"/>
          <w:szCs w:val="22"/>
        </w:rPr>
        <w:t xml:space="preserve">Each event lasts 2-4 weeks (10-22 trading days), reflecting the typical length of a capacity war on a single route.</w:t>
      </w:r>
    </w:p>
    <w:p>
      <w:pPr>
        <w:pStyle w:val="ListParagraph"/>
        <w:numPr>
          <w:ilvl w:val="0"/>
          <w:numId w:val="3"/>
        </w:numPr>
        <w:spacing w:before="40" w:after="40"/>
      </w:pPr>
      <w:r>
        <w:rPr>
          <w:rFonts w:ascii="Arial" w:cs="Arial" w:eastAsia="Arial" w:hAnsi="Arial"/>
          <w:color w:val="444444"/>
          <w:sz w:val="22"/>
          <w:szCs w:val="22"/>
        </w:rPr>
        <w:t xml:space="preserve">Intensity is randomized between 0.8% and 2.0% daily drag — calibrated to produce realistic legacy underperformance of 10-30% over the event window.</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If challenged on the 6 events/year figure: this is loosely based on DOT T-100 segment data patterns, where fare wars on ULCC-competing routes tend to cluster around schedule change seasons (typically March, June, October). It is a reasonable prior but not derived rigorously from data — which is acceptable for a proof-of-concept. In production the signal is real, so this number becomes irrelevant.</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Return Correlation Structure</w:t>
      </w:r>
    </w:p>
    <w:p>
      <w:pPr>
        <w:spacing w:before="80" w:after="100"/>
      </w:pPr>
      <w:r>
        <w:rPr>
          <w:rFonts w:ascii="Arial" w:cs="Arial" w:eastAsia="Arial" w:hAnsi="Arial"/>
          <w:color w:val="222222"/>
          <w:sz w:val="22"/>
          <w:szCs w:val="22"/>
        </w:rPr>
        <w:t xml:space="preserve">The simulation gives each stock two components of return: an idiosyncratic (stock-specific) component and a shared market shock component. Legacy carriers share 60% of their variance through the market shock, reflecting the high real-world correlation among airline stocks. ULCC gets only 20% market exposure — consistent with its smaller size and more retail-driven price action.</w:t>
      </w:r>
    </w:p>
    <w:p>
      <w:pPr>
        <w:spacing w:before="80" w:after="0"/>
      </w:pPr>
      <w:r>
        <w:t xml:space="preserve"/>
      </w:r>
    </w:p>
    <w:p>
      <w:pPr>
        <w:spacing w:before="80" w:after="100"/>
      </w:pPr>
      <w:r>
        <w:rPr>
          <w:rFonts w:ascii="Arial" w:cs="Arial" w:eastAsia="Arial" w:hAnsi="Arial"/>
          <w:color w:val="222222"/>
          <w:sz w:val="22"/>
          <w:szCs w:val="22"/>
        </w:rPr>
        <w:t xml:space="preserve">Critically, the stress signal is applied asymmetrically: legacy carriers get a negative drag during stress periods, while ULCC gets a mild positive nudge (coefficient -0.3 on the stress signal, which is negative, so ULCC slightly benefits). This encodes the thesis directly into the simulation: ghost flight pressure hurts legacy carriers and eventually benefits ULCC as fare competition subsides.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3  </w:t>
            </w:r>
            <w:r>
              <w:rPr>
                <w:rFonts w:ascii="Arial" w:cs="Arial" w:eastAsia="Arial" w:hAnsi="Arial"/>
                <w:b/>
                <w:bCs/>
                <w:color w:val="FFFFFF"/>
                <w:sz w:val="22"/>
                <w:szCs w:val="22"/>
              </w:rPr>
              <w:t xml:space="preserve">THE COMPETITOR STRESS INDEX (CSI)</w:t>
            </w:r>
          </w:p>
          <w:p>
            <w:pPr>
              <w:spacing w:before="40"/>
            </w:pPr>
            <w:r>
              <w:rPr>
                <w:rFonts w:ascii="Arial" w:cs="Arial" w:eastAsia="Arial" w:hAnsi="Arial"/>
                <w:i/>
                <w:iCs/>
                <w:color w:val="AACCEE"/>
                <w:sz w:val="18"/>
                <w:szCs w:val="18"/>
              </w:rPr>
              <w:t xml:space="preserve">How ghost flight quantity becomes a tradeable signal</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From Raw Flights to a Signal</w:t>
      </w:r>
    </w:p>
    <w:p>
      <w:pPr>
        <w:spacing w:before="80" w:after="100"/>
      </w:pPr>
      <w:r>
        <w:rPr>
          <w:rFonts w:ascii="Arial" w:cs="Arial" w:eastAsia="Arial" w:hAnsi="Arial"/>
          <w:color w:val="222222"/>
          <w:sz w:val="22"/>
          <w:szCs w:val="22"/>
        </w:rPr>
        <w:t xml:space="preserve">The CSI is the strategy's core signal. It is not the raw count of ghost flights — that number is too noisy and too seasonal (airlines always fly more in summer). Instead, it answers the question: is ghost flight activity unusually elevated relative to recent history?</w:t>
      </w:r>
    </w:p>
    <w:p>
      <w:pPr>
        <w:spacing w:before="80" w:after="0"/>
      </w:pPr>
      <w:r>
        <w:t xml:space="preserve"/>
      </w:r>
    </w:p>
    <w:p>
      <w:pPr>
        <w:spacing w:before="80" w:after="100"/>
      </w:pPr>
      <w:r>
        <w:rPr>
          <w:rFonts w:ascii="Arial" w:cs="Arial" w:eastAsia="Arial" w:hAnsi="Arial"/>
          <w:color w:val="222222"/>
          <w:sz w:val="22"/>
          <w:szCs w:val="22"/>
        </w:rPr>
        <w:t xml:space="preserve">The construction has four sequential steps:</w:t>
      </w:r>
    </w:p>
    <w:p>
      <w:pPr>
        <w:spacing w:before="6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Step 1 — Filter to ghost flights: from the full flight dataset, keep only departures where estimated load factor falls below the 40% threshold. These are the candidates for defensive, non-commercial flying.</w:t>
      </w:r>
    </w:p>
    <w:p>
      <w:pPr>
        <w:pStyle w:val="ListParagraph"/>
        <w:numPr>
          <w:ilvl w:val="0"/>
          <w:numId w:val="2"/>
        </w:numPr>
        <w:spacing w:before="60" w:after="60"/>
      </w:pPr>
      <w:r>
        <w:rPr>
          <w:rFonts w:ascii="Arial" w:cs="Arial" w:eastAsia="Arial" w:hAnsi="Arial"/>
          <w:color w:val="222222"/>
          <w:sz w:val="22"/>
          <w:szCs w:val="22"/>
        </w:rPr>
        <w:t xml:space="preserve">Step 2 — Aggregate to a daily count: sum all qualifying ghost flight departures across all routes and all three legacy carriers. This produces a single number per day: total system-wide ghost flight activity on ULCC-competing routes.</w:t>
      </w:r>
    </w:p>
    <w:p>
      <w:pPr>
        <w:pStyle w:val="ListParagraph"/>
        <w:numPr>
          <w:ilvl w:val="0"/>
          <w:numId w:val="2"/>
        </w:numPr>
        <w:spacing w:before="60" w:after="60"/>
      </w:pPr>
      <w:r>
        <w:rPr>
          <w:rFonts w:ascii="Arial" w:cs="Arial" w:eastAsia="Arial" w:hAnsi="Arial"/>
          <w:color w:val="222222"/>
          <w:sz w:val="22"/>
          <w:szCs w:val="22"/>
        </w:rPr>
        <w:t xml:space="preserve">Step 3 — Rolling 30-day sum: sum that daily count over the trailing 30 days. This is the key transformation. A single unusually low-load flight on a given day could be weather, maintenance, or a last-minute schedule change. Thirty days of sustained below-threshold load factors represents a deliberate capacity strategy.</w:t>
      </w:r>
    </w:p>
    <w:p>
      <w:pPr>
        <w:pStyle w:val="ListParagraph"/>
        <w:numPr>
          <w:ilvl w:val="0"/>
          <w:numId w:val="2"/>
        </w:numPr>
        <w:spacing w:before="60" w:after="60"/>
      </w:pPr>
      <w:r>
        <w:rPr>
          <w:rFonts w:ascii="Arial" w:cs="Arial" w:eastAsia="Arial" w:hAnsi="Arial"/>
          <w:color w:val="222222"/>
          <w:sz w:val="22"/>
          <w:szCs w:val="22"/>
        </w:rPr>
        <w:t xml:space="preserve">Step 4 — Z-score vs. 90-day history: subtract the 90-day rolling mean and divide by the 90-day rolling standard deviation. This normalizes for seasonality. In July, even normal ghost flight counts are higher than January — the z-score strips that out and asks whether activity is elevated relative to the recent baseline.</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The z-score is computed against the rolling window, not against the full historical mean. This is intentional: the airline industry's structure changes over time (new entrants, bankruptcies, mergers). A 2022 ghost flight baseline is not the same as a 2019 baseline. Rolling normalization keeps the signal adaptive.</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Why Quantity Rather Than Legacy Return Underperformance?</w:t>
      </w:r>
    </w:p>
    <w:p>
      <w:pPr>
        <w:spacing w:before="80" w:after="100"/>
      </w:pPr>
      <w:r>
        <w:rPr>
          <w:rFonts w:ascii="Arial" w:cs="Arial" w:eastAsia="Arial" w:hAnsi="Arial"/>
          <w:color w:val="222222"/>
          <w:sz w:val="22"/>
          <w:szCs w:val="22"/>
        </w:rPr>
        <w:t xml:space="preserve">The original version of the CSI was built from legacy carrier return z-scores — when AAL/UAL/DAL underperformed their own recent history, the signal triggered. This is a reasonable proxy but has two structural weaknesses:</w:t>
      </w:r>
    </w:p>
    <w:p>
      <w:pPr>
        <w:spacing w:before="6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It is reflexive: the signal is derived from stock prices, and so is the target variable (ULCC price). Any apparent predictive power could be driven by correlated macro factors rather than the ghost flight mechanism specifically.</w:t>
      </w:r>
    </w:p>
    <w:p>
      <w:pPr>
        <w:pStyle w:val="ListParagraph"/>
        <w:numPr>
          <w:ilvl w:val="0"/>
          <w:numId w:val="2"/>
        </w:numPr>
        <w:spacing w:before="60" w:after="60"/>
      </w:pPr>
      <w:r>
        <w:rPr>
          <w:rFonts w:ascii="Arial" w:cs="Arial" w:eastAsia="Arial" w:hAnsi="Arial"/>
          <w:color w:val="222222"/>
          <w:sz w:val="22"/>
          <w:szCs w:val="22"/>
        </w:rPr>
        <w:t xml:space="preserve">It is downstream: legacy stock prices reflect many things beyond ghost flight activity — fuel costs, labor contracts, international exposure, credit spreads. Ghost flight counts are a more direct and cleaner measure of the specific competitive behavior that drives the thesis.</w:t>
      </w:r>
    </w:p>
    <w:p>
      <w:pPr>
        <w:spacing w:before="80" w:after="0"/>
      </w:pPr>
      <w:r>
        <w:t xml:space="preserve"/>
      </w:r>
    </w:p>
    <w:p>
      <w:pPr>
        <w:spacing w:before="80" w:after="100"/>
      </w:pPr>
      <w:r>
        <w:rPr>
          <w:rFonts w:ascii="Arial" w:cs="Arial" w:eastAsia="Arial" w:hAnsi="Arial"/>
          <w:color w:val="222222"/>
          <w:sz w:val="22"/>
          <w:szCs w:val="22"/>
        </w:rPr>
        <w:t xml:space="preserve">Using actual flight operations data as the signal source makes the causal story cleaner and more defensible: we are measuring the specific action (ghost flights) that we theorize causes the outcome (ULCC yield compression), rather than a noisy financial market proxy for that action.</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4  </w:t>
            </w:r>
            <w:r>
              <w:rPr>
                <w:rFonts w:ascii="Arial" w:cs="Arial" w:eastAsia="Arial" w:hAnsi="Arial"/>
                <w:b/>
                <w:bCs/>
                <w:color w:val="FFFFFF"/>
                <w:sz w:val="22"/>
                <w:szCs w:val="22"/>
              </w:rPr>
              <w:t xml:space="preserve">TRADE SIGNAL GENERATION</w:t>
            </w:r>
          </w:p>
          <w:p>
            <w:pPr>
              <w:spacing w:before="40"/>
            </w:pPr>
            <w:r>
              <w:rPr>
                <w:rFonts w:ascii="Arial" w:cs="Arial" w:eastAsia="Arial" w:hAnsi="Arial"/>
                <w:i/>
                <w:iCs/>
                <w:color w:val="AACCEE"/>
                <w:sz w:val="18"/>
                <w:szCs w:val="18"/>
              </w:rPr>
              <w:t xml:space="preserve">Entry, scaling, and exit logic</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Entry: Sustained Signal Above Threshold</w:t>
      </w:r>
    </w:p>
    <w:p>
      <w:pPr>
        <w:spacing w:before="80" w:after="100"/>
      </w:pPr>
      <w:r>
        <w:rPr>
          <w:rFonts w:ascii="Arial" w:cs="Arial" w:eastAsia="Arial" w:hAnsi="Arial"/>
          <w:color w:val="222222"/>
          <w:sz w:val="22"/>
          <w:szCs w:val="22"/>
        </w:rPr>
        <w:t xml:space="preserve">A long position in ULCC is entered only when the CSI z-score exceeds ENTRY_Z (1.5) for at least SUSTAIN_DAYS (3) consecutive trading days. The sustain requirement is not a trivial detail — it is the primary noise filter. Ghost flight pressure that is worth trading should be persistent; a one-day spike is more likely to reflect data noise or a single scheduling quirk than a genuine competitive response.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If asked why long ULCC rather than short legacy: ULCC options are more liquid for this strategy's thesis. Legacy carriers have many offsetting exposures (international routes, loyalty programs, cargo) that make them less pure plays on domestic ULCC-route competition. ULCC stock is more directly and cleanly exposed to the mechanism we are trading.</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Position Sizing: Base vs. Scaled</w:t>
      </w:r>
    </w:p>
    <w:p>
      <w:pPr>
        <w:spacing w:before="80" w:after="100"/>
      </w:pPr>
      <w:r>
        <w:rPr>
          <w:rFonts w:ascii="Arial" w:cs="Arial" w:eastAsia="Arial" w:hAnsi="Arial"/>
          <w:color w:val="222222"/>
          <w:sz w:val="22"/>
          <w:szCs w:val="22"/>
        </w:rPr>
        <w:t xml:space="preserve">The base position invests 100% of available cash in ULCC at entry. When the CSI z-score exceeds SCALE_Z (2.0) at the time of entry, the position size increases to 1.5x — meaning the strategy borrows against its own cash position to take a larger stake. This reflects the intuition that very elevated ghost flight activity (top 2-3% of historical observations) is a stronger signal and warrants higher conviction.</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The 1.5x scale factor is a discretionary choice. It was not optimized on this data — choosing it based on backtest results would constitute in-sample overfitting. In a production system, position sizing rules would be determined by out-of-sample or walk-forward testing, or by a Bayesian framework that explicitly models signal strength vs. position size.</w:t>
            </w:r>
          </w:p>
        </w:tc>
      </w:tr>
    </w:tbl>
    <w:p>
      <w:pPr>
        <w:spacing w:before="120" w:after="0"/>
      </w:pPr>
      <w:r>
        <w:t xml:space="preserve"/>
      </w:r>
    </w:p>
    <w:p>
      <w:pPr>
        <w:pStyle w:val="Heading2"/>
        <w:spacing w:before="280" w:after="100"/>
      </w:pPr>
      <w:r>
        <w:rPr>
          <w:rFonts w:ascii="Arial" w:cs="Arial" w:eastAsia="Arial" w:hAnsi="Arial"/>
          <w:b/>
          <w:bCs/>
          <w:color w:val="2E75B6"/>
          <w:sz w:val="24"/>
          <w:szCs w:val="24"/>
        </w:rPr>
        <w:t xml:space="preserve">Exit: Two Triggers</w:t>
      </w:r>
    </w:p>
    <w:p>
      <w:pPr>
        <w:spacing w:before="80" w:after="100"/>
      </w:pPr>
      <w:r>
        <w:rPr>
          <w:rFonts w:ascii="Arial" w:cs="Arial" w:eastAsia="Arial" w:hAnsi="Arial"/>
          <w:color w:val="222222"/>
          <w:sz w:val="22"/>
          <w:szCs w:val="22"/>
        </w:rPr>
        <w:t xml:space="preserve">A position is closed under either of two conditions, whichever occurs first:</w:t>
      </w:r>
    </w:p>
    <w:p>
      <w:pPr>
        <w:spacing w:before="60" w:after="0"/>
      </w:pPr>
      <w:r>
        <w:t xml:space="preserve"/>
      </w:r>
    </w:p>
    <w:p>
      <w:pPr>
        <w:pStyle w:val="ListParagraph"/>
        <w:numPr>
          <w:ilvl w:val="0"/>
          <w:numId w:val="2"/>
        </w:numPr>
        <w:spacing w:before="60" w:after="60"/>
      </w:pPr>
      <w:r>
        <w:rPr>
          <w:rFonts w:ascii="Arial" w:cs="Arial" w:eastAsia="Arial" w:hAnsi="Arial"/>
          <w:color w:val="222222"/>
          <w:sz w:val="22"/>
          <w:szCs w:val="22"/>
        </w:rPr>
        <w:t xml:space="preserve">Signal exit: the CSI z-score reverts below EXIT_Z (0.5), indicating that ghost flight pressure has normalized. This is the 'thesis resolved' exit — the competitive event has passed and the rationale for holding ULCC is gone.</w:t>
      </w:r>
    </w:p>
    <w:p>
      <w:pPr>
        <w:pStyle w:val="ListParagraph"/>
        <w:numPr>
          <w:ilvl w:val="0"/>
          <w:numId w:val="2"/>
        </w:numPr>
        <w:spacing w:before="60" w:after="60"/>
      </w:pPr>
      <w:r>
        <w:rPr>
          <w:rFonts w:ascii="Arial" w:cs="Arial" w:eastAsia="Arial" w:hAnsi="Arial"/>
          <w:color w:val="222222"/>
          <w:sz w:val="22"/>
          <w:szCs w:val="22"/>
        </w:rPr>
        <w:t xml:space="preserve">Stop-loss: ULCC drops 8% from the entry price regardless of signal state. This is the 'thesis wrong' exit — something has damaged ULCC beyond what ghost flight dynamics can explain, and the position must be closed to limit capital loss.</w:t>
      </w:r>
    </w:p>
    <w:p>
      <w:pPr>
        <w:spacing w:before="80" w:after="0"/>
      </w:pPr>
      <w:r>
        <w:t xml:space="preserve"/>
      </w:r>
    </w:p>
    <w:p>
      <w:pPr>
        <w:spacing w:before="80" w:after="100"/>
      </w:pPr>
      <w:r>
        <w:rPr>
          <w:rFonts w:ascii="Arial" w:cs="Arial" w:eastAsia="Arial" w:hAnsi="Arial"/>
          <w:color w:val="222222"/>
          <w:sz w:val="22"/>
          <w:szCs w:val="22"/>
        </w:rPr>
        <w:t xml:space="preserve">The asymmetry between ENTRY_Z (1.5) and EXIT_Z (0.5) is deliberate. This gap — called a hysteresis band — prevents the strategy from rapidly entering and exiting when the CSI oscillates around the entry threshold. Without it, a signal that repeatedly crosses 1.5 from below would generate excessive transaction costs.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5  </w:t>
            </w:r>
            <w:r>
              <w:rPr>
                <w:rFonts w:ascii="Arial" w:cs="Arial" w:eastAsia="Arial" w:hAnsi="Arial"/>
                <w:b/>
                <w:bCs/>
                <w:color w:val="FFFFFF"/>
                <w:sz w:val="22"/>
                <w:szCs w:val="22"/>
              </w:rPr>
              <w:t xml:space="preserve">PERFORMANCE STATISTICS &amp; SHARPE RATIO</w:t>
            </w:r>
          </w:p>
          <w:p>
            <w:pPr>
              <w:spacing w:before="40"/>
            </w:pPr>
            <w:r>
              <w:rPr>
                <w:rFonts w:ascii="Arial" w:cs="Arial" w:eastAsia="Arial" w:hAnsi="Arial"/>
                <w:i/>
                <w:iCs/>
                <w:color w:val="AACCEE"/>
                <w:sz w:val="18"/>
                <w:szCs w:val="18"/>
              </w:rPr>
              <w:t xml:space="preserve">What the numbers mean and how to interpret them</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Metrics Calculated</w:t>
      </w:r>
    </w:p>
    <w:p>
      <w:pPr>
        <w:pStyle w:val="ListParagraph"/>
        <w:numPr>
          <w:ilvl w:val="0"/>
          <w:numId w:val="2"/>
        </w:numPr>
        <w:spacing w:before="60" w:after="60"/>
      </w:pPr>
      <w:r>
        <w:rPr>
          <w:rFonts w:ascii="Arial" w:cs="Arial" w:eastAsia="Arial" w:hAnsi="Arial"/>
          <w:color w:val="222222"/>
          <w:sz w:val="22"/>
          <w:szCs w:val="22"/>
        </w:rPr>
        <w:t xml:space="preserve">Total return vs. buy-and-hold ULCC: the primary comparison. Does timing the entry and exit using the CSI signal outperform simply holding ULCC through the same period?</w:t>
      </w:r>
    </w:p>
    <w:p>
      <w:pPr>
        <w:pStyle w:val="ListParagraph"/>
        <w:numPr>
          <w:ilvl w:val="0"/>
          <w:numId w:val="2"/>
        </w:numPr>
        <w:spacing w:before="60" w:after="60"/>
      </w:pPr>
      <w:r>
        <w:rPr>
          <w:rFonts w:ascii="Arial" w:cs="Arial" w:eastAsia="Arial" w:hAnsi="Arial"/>
          <w:color w:val="222222"/>
          <w:sz w:val="22"/>
          <w:szCs w:val="22"/>
        </w:rPr>
        <w:t xml:space="preserve">Max drawdown: the largest peak-to-trough decline in portfolio value. This measures tail risk — how bad could a single bad streak get? For a single-stock long-only strategy, drawdowns are expected to be substantial.</w:t>
      </w:r>
    </w:p>
    <w:p>
      <w:pPr>
        <w:pStyle w:val="ListParagraph"/>
        <w:numPr>
          <w:ilvl w:val="0"/>
          <w:numId w:val="2"/>
        </w:numPr>
        <w:spacing w:before="60" w:after="60"/>
      </w:pPr>
      <w:r>
        <w:rPr>
          <w:rFonts w:ascii="Arial" w:cs="Arial" w:eastAsia="Arial" w:hAnsi="Arial"/>
          <w:color w:val="222222"/>
          <w:sz w:val="22"/>
          <w:szCs w:val="22"/>
        </w:rPr>
        <w:t xml:space="preserve">Win rate: the percentage of closed trades that were profitable. Note that win rate alone is not sufficient — a strategy with 30% win rate can still be profitable if average wins are 3x average losses.</w:t>
      </w:r>
    </w:p>
    <w:p>
      <w:pPr>
        <w:pStyle w:val="ListParagraph"/>
        <w:numPr>
          <w:ilvl w:val="0"/>
          <w:numId w:val="2"/>
        </w:numPr>
        <w:spacing w:before="60" w:after="60"/>
      </w:pPr>
      <w:r>
        <w:rPr>
          <w:rFonts w:ascii="Arial" w:cs="Arial" w:eastAsia="Arial" w:hAnsi="Arial"/>
          <w:color w:val="222222"/>
          <w:sz w:val="22"/>
          <w:szCs w:val="22"/>
        </w:rPr>
        <w:t xml:space="preserve">Average win / average loss: together with win rate, these define the strategy's expected value per trade.</w:t>
      </w:r>
    </w:p>
    <w:p>
      <w:pPr>
        <w:pStyle w:val="ListParagraph"/>
        <w:numPr>
          <w:ilvl w:val="0"/>
          <w:numId w:val="2"/>
        </w:numPr>
        <w:spacing w:before="60" w:after="60"/>
      </w:pPr>
      <w:r>
        <w:rPr>
          <w:rFonts w:ascii="Arial" w:cs="Arial" w:eastAsia="Arial" w:hAnsi="Arial"/>
          <w:color w:val="222222"/>
          <w:sz w:val="22"/>
          <w:szCs w:val="22"/>
        </w:rPr>
        <w:t xml:space="preserve">Sharpe ratio: risk-adjusted return. Annualized excess return (above the risk-free rate) divided by annualized return volatility.</w:t>
      </w:r>
    </w:p>
    <w:p>
      <w:pPr>
        <w:spacing w:before="120" w:after="0"/>
      </w:pPr>
      <w:r>
        <w:t xml:space="preserve"/>
      </w:r>
    </w:p>
    <w:p>
      <w:pPr>
        <w:pStyle w:val="Heading2"/>
        <w:spacing w:before="280" w:after="100"/>
      </w:pPr>
      <w:r>
        <w:rPr>
          <w:rFonts w:ascii="Arial" w:cs="Arial" w:eastAsia="Arial" w:hAnsi="Arial"/>
          <w:b/>
          <w:bCs/>
          <w:color w:val="2E75B6"/>
          <w:sz w:val="24"/>
          <w:szCs w:val="24"/>
        </w:rPr>
        <w:t xml:space="preserve">The Sharpe Ratio — How to Interpret It</w:t>
      </w:r>
    </w:p>
    <w:p>
      <w:pPr>
        <w:spacing w:before="80" w:after="100"/>
      </w:pPr>
      <w:r>
        <w:rPr>
          <w:rFonts w:ascii="Arial" w:cs="Arial" w:eastAsia="Arial" w:hAnsi="Arial"/>
          <w:color w:val="222222"/>
          <w:sz w:val="22"/>
          <w:szCs w:val="22"/>
        </w:rPr>
        <w:t xml:space="preserve">The Sharpe ratio is calculated as: (mean daily excess return / standard deviation of daily returns) x sqrt(252). The risk-free rate used is 4.5% annualized — a reasonable approximation for the 2021-2024 period given the Federal Reserve rate hike cycle.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CRITICAL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A negative Sharpe in this backtest is most likely caused by cash drag, not by the strategy itself being loss-making. When the strategy is out of the market (which may be 60-80% of the time), idle cash earns 0% in the model but is penalized 4.5%/252 per day by the excess return calculation. The corrected Sharpe — computed only over days with an active position — is a more honest measure of whether the trade logic works when deployed.</w:t>
            </w:r>
          </w:p>
        </w:tc>
      </w:tr>
    </w:tbl>
    <w:p>
      <w:pPr>
        <w:spacing w:before="120" w:after="0"/>
      </w:pPr>
      <w:r>
        <w:t xml:space="preserve"/>
      </w:r>
    </w:p>
    <w:p>
      <w:pPr>
        <w:spacing w:before="80" w:after="100"/>
      </w:pPr>
      <w:r>
        <w:rPr>
          <w:rFonts w:ascii="Arial" w:cs="Arial" w:eastAsia="Arial" w:hAnsi="Arial"/>
          <w:color w:val="222222"/>
          <w:sz w:val="22"/>
          <w:szCs w:val="22"/>
        </w:rPr>
        <w:t xml:space="preserve">Sharpe benchmarks for context:</w:t>
      </w:r>
    </w:p>
    <w:p>
      <w:pPr>
        <w:pStyle w:val="ListParagraph"/>
        <w:numPr>
          <w:ilvl w:val="0"/>
          <w:numId w:val="2"/>
        </w:numPr>
        <w:spacing w:before="60" w:after="60"/>
      </w:pPr>
      <w:r>
        <w:rPr>
          <w:rFonts w:ascii="Arial" w:cs="Arial" w:eastAsia="Arial" w:hAnsi="Arial"/>
          <w:color w:val="222222"/>
          <w:sz w:val="22"/>
          <w:szCs w:val="22"/>
        </w:rPr>
        <w:t xml:space="preserve">Below 0: strategy is destroying risk-adjusted value (but check for cash drag before concluding this).</w:t>
      </w:r>
    </w:p>
    <w:p>
      <w:pPr>
        <w:pStyle w:val="ListParagraph"/>
        <w:numPr>
          <w:ilvl w:val="0"/>
          <w:numId w:val="2"/>
        </w:numPr>
        <w:spacing w:before="60" w:after="60"/>
      </w:pPr>
      <w:r>
        <w:rPr>
          <w:rFonts w:ascii="Arial" w:cs="Arial" w:eastAsia="Arial" w:hAnsi="Arial"/>
          <w:color w:val="222222"/>
          <w:sz w:val="22"/>
          <w:szCs w:val="22"/>
        </w:rPr>
        <w:t xml:space="preserve">0 to 1: acceptable for a concentrated, single-stock strategy. Institutional allocators typically want 1.0+ for a standalone strategy.</w:t>
      </w:r>
    </w:p>
    <w:p>
      <w:pPr>
        <w:pStyle w:val="ListParagraph"/>
        <w:numPr>
          <w:ilvl w:val="0"/>
          <w:numId w:val="2"/>
        </w:numPr>
        <w:spacing w:before="60" w:after="60"/>
      </w:pPr>
      <w:r>
        <w:rPr>
          <w:rFonts w:ascii="Arial" w:cs="Arial" w:eastAsia="Arial" w:hAnsi="Arial"/>
          <w:color w:val="222222"/>
          <w:sz w:val="22"/>
          <w:szCs w:val="22"/>
        </w:rPr>
        <w:t xml:space="preserve">1 to 2: strong. Most equity hedge funds target this range.</w:t>
      </w:r>
    </w:p>
    <w:p>
      <w:pPr>
        <w:pStyle w:val="ListParagraph"/>
        <w:numPr>
          <w:ilvl w:val="0"/>
          <w:numId w:val="2"/>
        </w:numPr>
        <w:spacing w:before="60" w:after="60"/>
      </w:pPr>
      <w:r>
        <w:rPr>
          <w:rFonts w:ascii="Arial" w:cs="Arial" w:eastAsia="Arial" w:hAnsi="Arial"/>
          <w:color w:val="222222"/>
          <w:sz w:val="22"/>
          <w:szCs w:val="22"/>
        </w:rPr>
        <w:t xml:space="preserve">Above 2: exceptional in live trading. In a backtest, values this high should raise overfitting concerns.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For a proof-of-concept with a synthetic signal, the absolute Sharpe number is less important than the sign and the shape of the equity curve. What we want to see is: (1) the strategy is profitable in the direction the thesis predicts, (2) drawdowns are contained, and (3) the equity curve improves meaningfully over buy-and-hold during stress periods. If all three hold, the signal logic is worth testing with real data.</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6  </w:t>
            </w:r>
            <w:r>
              <w:rPr>
                <w:rFonts w:ascii="Arial" w:cs="Arial" w:eastAsia="Arial" w:hAnsi="Arial"/>
                <w:b/>
                <w:bCs/>
                <w:color w:val="FFFFFF"/>
                <w:sz w:val="22"/>
                <w:szCs w:val="22"/>
              </w:rPr>
              <w:t xml:space="preserve">LIMITATIONS &amp; HONEST CAVEATS</w:t>
            </w:r>
          </w:p>
          <w:p>
            <w:pPr>
              <w:spacing w:before="40"/>
            </w:pPr>
            <w:r>
              <w:rPr>
                <w:rFonts w:ascii="Arial" w:cs="Arial" w:eastAsia="Arial" w:hAnsi="Arial"/>
                <w:i/>
                <w:iCs/>
                <w:color w:val="AACCEE"/>
                <w:sz w:val="18"/>
                <w:szCs w:val="18"/>
              </w:rPr>
              <w:t xml:space="preserve">What to say when challenged</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Self-Referential Signal Construction</w:t>
      </w:r>
    </w:p>
    <w:p>
      <w:pPr>
        <w:spacing w:before="80" w:after="100"/>
      </w:pPr>
      <w:r>
        <w:rPr>
          <w:rFonts w:ascii="Arial" w:cs="Arial" w:eastAsia="Arial" w:hAnsi="Arial"/>
          <w:color w:val="222222"/>
          <w:sz w:val="22"/>
          <w:szCs w:val="22"/>
        </w:rPr>
        <w:t xml:space="preserve">The most fundamental limitation of this backtest: the signal and the prices are generated from the same underlying stress_signal array. This guarantees that the signal is correlated with future price moves by construction — it is not a genuine out-of-sample test. The backtest is a test of whether the entry/exit framework and position sizing logic is self-consistent, not whether the ghost flight signal genuinely predicts ULCC returns in the real world.</w:t>
      </w:r>
    </w:p>
    <w:p>
      <w:pPr>
        <w:spacing w:before="80" w:after="0"/>
      </w:pPr>
      <w:r>
        <w:t xml:space="preserve"/>
      </w:r>
    </w:p>
    <w:p>
      <w:pPr>
        <w:pStyle w:val="Heading2"/>
        <w:spacing w:before="280" w:after="100"/>
      </w:pPr>
      <w:r>
        <w:rPr>
          <w:rFonts w:ascii="Arial" w:cs="Arial" w:eastAsia="Arial" w:hAnsi="Arial"/>
          <w:b/>
          <w:bCs/>
          <w:color w:val="2E75B6"/>
          <w:sz w:val="24"/>
          <w:szCs w:val="24"/>
        </w:rPr>
        <w:t xml:space="preserve">Synthetic Data Does Not Capture Real Dynamics</w:t>
      </w:r>
    </w:p>
    <w:p>
      <w:pPr>
        <w:spacing w:before="80" w:after="100"/>
      </w:pPr>
      <w:r>
        <w:rPr>
          <w:rFonts w:ascii="Arial" w:cs="Arial" w:eastAsia="Arial" w:hAnsi="Arial"/>
          <w:color w:val="222222"/>
          <w:sz w:val="22"/>
          <w:szCs w:val="22"/>
        </w:rPr>
        <w:t xml:space="preserve">Real ULCC price behavior is affected by fuel costs, labor negotiations, credit rating changes, passenger demand shocks, and macro factors that the simulation does not model. The synthetic prices are Gaussian random walks with drift — actual airline stocks have fat tails, momentum, and mean-reversion properties that are not captured here.</w:t>
      </w:r>
    </w:p>
    <w:p>
      <w:pPr>
        <w:spacing w:before="80" w:after="0"/>
      </w:pPr>
      <w:r>
        <w:t xml:space="preserve"/>
      </w:r>
    </w:p>
    <w:p>
      <w:pPr>
        <w:pStyle w:val="Heading2"/>
        <w:spacing w:before="280" w:after="100"/>
      </w:pPr>
      <w:r>
        <w:rPr>
          <w:rFonts w:ascii="Arial" w:cs="Arial" w:eastAsia="Arial" w:hAnsi="Arial"/>
          <w:b/>
          <w:bCs/>
          <w:color w:val="2E75B6"/>
          <w:sz w:val="24"/>
          <w:szCs w:val="24"/>
        </w:rPr>
        <w:t xml:space="preserve">Load Factor as Ghost Flight Proxy</w:t>
      </w:r>
    </w:p>
    <w:p>
      <w:pPr>
        <w:spacing w:before="80" w:after="100"/>
      </w:pPr>
      <w:r>
        <w:rPr>
          <w:rFonts w:ascii="Arial" w:cs="Arial" w:eastAsia="Arial" w:hAnsi="Arial"/>
          <w:color w:val="222222"/>
          <w:sz w:val="22"/>
          <w:szCs w:val="22"/>
        </w:rPr>
        <w:t xml:space="preserve">In production, load factor would be estimated from DOT T-100 segment data (reported monthly, with a 3-month lag) or from third-party seat-scraping services. Neither is perfect: T-100 data is lagged and monthly, while scraped data is noisier and may not capture last-minute bookings. The 40% threshold is reasonable but not derived from a systematic study of carrier breakeven economics on these specific routes.</w:t>
      </w:r>
    </w:p>
    <w:p>
      <w:pPr>
        <w:spacing w:before="80" w:after="0"/>
      </w:pPr>
      <w:r>
        <w:t xml:space="preserve"/>
      </w:r>
    </w:p>
    <w:p>
      <w:pPr>
        <w:pStyle w:val="Heading2"/>
        <w:spacing w:before="280" w:after="100"/>
      </w:pPr>
      <w:r>
        <w:rPr>
          <w:rFonts w:ascii="Arial" w:cs="Arial" w:eastAsia="Arial" w:hAnsi="Arial"/>
          <w:b/>
          <w:bCs/>
          <w:color w:val="2E75B6"/>
          <w:sz w:val="24"/>
          <w:szCs w:val="24"/>
        </w:rPr>
        <w:t xml:space="preserve">Single Asset, Long-Only</w:t>
      </w:r>
    </w:p>
    <w:p>
      <w:pPr>
        <w:spacing w:before="80" w:after="100"/>
      </w:pPr>
      <w:r>
        <w:rPr>
          <w:rFonts w:ascii="Arial" w:cs="Arial" w:eastAsia="Arial" w:hAnsi="Arial"/>
          <w:color w:val="222222"/>
          <w:sz w:val="22"/>
          <w:szCs w:val="22"/>
        </w:rPr>
        <w:t xml:space="preserve">The strategy holds a single stock (ULCC) long, or holds cash. This makes it highly concentrated and undiversified. A more sophisticated implementation would consider: shorting legacy carriers simultaneously, trading a basket of ULCCs (Frontier, Allegiant), or using options to define risk more precisely.</w:t>
      </w:r>
    </w:p>
    <w:p>
      <w:pPr>
        <w:spacing w:before="80" w:after="0"/>
      </w:pPr>
      <w:r>
        <w:t xml:space="preserve"/>
      </w:r>
    </w:p>
    <w:p>
      <w:pPr>
        <w:pStyle w:val="Heading2"/>
        <w:spacing w:before="280" w:after="100"/>
      </w:pPr>
      <w:r>
        <w:rPr>
          <w:rFonts w:ascii="Arial" w:cs="Arial" w:eastAsia="Arial" w:hAnsi="Arial"/>
          <w:b/>
          <w:bCs/>
          <w:color w:val="2E75B6"/>
          <w:sz w:val="24"/>
          <w:szCs w:val="24"/>
        </w:rPr>
        <w:t xml:space="preserve">Transaction Costs and Slippage</w:t>
      </w:r>
    </w:p>
    <w:p>
      <w:pPr>
        <w:spacing w:before="80" w:after="100"/>
      </w:pPr>
      <w:r>
        <w:rPr>
          <w:rFonts w:ascii="Arial" w:cs="Arial" w:eastAsia="Arial" w:hAnsi="Arial"/>
          <w:color w:val="222222"/>
          <w:sz w:val="22"/>
          <w:szCs w:val="22"/>
        </w:rPr>
        <w:t xml:space="preserve">The backtest assumes zero transaction costs and perfect execution at the closing price. In practice, ULCC has moderate daily volume — large positions would face meaningful market impact. A realistic implementation would deduct at least 10-15 basis points per round trip and model execution over a VWAP window rather than at the close.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vAlign w:val="center"/>
          </w:tcPr>
          <w:p>
            <w:pPr>
              <w:jc w:val="center"/>
            </w:pPr>
            <w:r>
              <w:rPr>
                <w:rFonts w:ascii="Arial" w:cs="Arial" w:eastAsia="Arial" w:hAnsi="Arial"/>
                <w:b/>
                <w:bCs/>
                <w:color w:val="FFFFFF"/>
                <w:sz w:val="18"/>
                <w:szCs w:val="18"/>
              </w:rPr>
              <w:t xml:space="preserve">PRESENTER NOTE</w:t>
            </w:r>
          </w:p>
        </w:tc>
        <w:tc>
          <w:tcPr>
            <w:tcW w:type="dxa" w:w="7920"/>
            <w:tcBorders>
              <w:top w:val="single" w:color="CCCCCC" w:sz="1"/>
              <w:left w:val="single" w:color="CCCCCC" w:sz="1"/>
              <w:bottom w:val="single" w:color="CCCCCC" w:sz="1"/>
              <w:right w:val="single" w:color="CCCCCC" w:sz="1"/>
            </w:tcBorders>
            <w:shd w:fill="F2F4F7" w:val="clear"/>
            <w:tcMar>
              <w:top w:type="dxa" w:w="100"/>
              <w:left w:type="dxa" w:w="180"/>
              <w:bottom w:type="dxa" w:w="100"/>
              <w:right w:type="dxa" w:w="160"/>
            </w:tcMar>
          </w:tcPr>
          <w:p>
            <w:r>
              <w:rPr>
                <w:rFonts w:ascii="Arial" w:cs="Arial" w:eastAsia="Arial" w:hAnsi="Arial"/>
                <w:i/>
                <w:iCs/>
                <w:color w:val="333333"/>
                <w:sz w:val="20"/>
                <w:szCs w:val="20"/>
              </w:rPr>
              <w:t xml:space="preserve">The right framing for this backtest is: 'We have built and validated the strategy architecture. We have confirmed that the entry/exit logic is self-consistent and that the ghost flight mechanism — if it exists and is measurable — would theoretically produce alpha. The next step is acquiring real FlightAware or OAG data to test whether the signal holds against real prices. The code is already structured to support that swap with a single function replacement.'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40"/>
              <w:left w:type="dxa" w:w="240"/>
              <w:bottom w:type="dxa" w:w="140"/>
              <w:right w:type="dxa" w:w="240"/>
            </w:tcMar>
          </w:tcPr>
          <w:p>
            <w:r>
              <w:rPr>
                <w:rFonts w:ascii="Arial" w:cs="Arial" w:eastAsia="Arial" w:hAnsi="Arial"/>
                <w:b/>
                <w:bCs/>
                <w:color w:val="99BBDD"/>
                <w:sz w:val="18"/>
                <w:szCs w:val="18"/>
              </w:rPr>
              <w:t xml:space="preserve">SECTION 7  </w:t>
            </w:r>
            <w:r>
              <w:rPr>
                <w:rFonts w:ascii="Arial" w:cs="Arial" w:eastAsia="Arial" w:hAnsi="Arial"/>
                <w:b/>
                <w:bCs/>
                <w:color w:val="FFFFFF"/>
                <w:sz w:val="22"/>
                <w:szCs w:val="22"/>
              </w:rPr>
              <w:t xml:space="preserve">PATH TO PRODUCTION</w:t>
            </w:r>
          </w:p>
          <w:p>
            <w:pPr>
              <w:spacing w:before="40"/>
            </w:pPr>
            <w:r>
              <w:rPr>
                <w:rFonts w:ascii="Arial" w:cs="Arial" w:eastAsia="Arial" w:hAnsi="Arial"/>
                <w:i/>
                <w:iCs/>
                <w:color w:val="AACCEE"/>
                <w:sz w:val="18"/>
                <w:szCs w:val="18"/>
              </w:rPr>
              <w:t xml:space="preserve">What the real version looks like</w:t>
            </w:r>
          </w:p>
        </w:tc>
      </w:tr>
    </w:tbl>
    <w:p>
      <w:pPr>
        <w:spacing w:before="160" w:after="0"/>
      </w:pPr>
      <w:r>
        <w:t xml:space="preserve"/>
      </w:r>
    </w:p>
    <w:p>
      <w:pPr>
        <w:pStyle w:val="Heading2"/>
        <w:spacing w:before="280" w:after="100"/>
      </w:pPr>
      <w:r>
        <w:rPr>
          <w:rFonts w:ascii="Arial" w:cs="Arial" w:eastAsia="Arial" w:hAnsi="Arial"/>
          <w:b/>
          <w:bCs/>
          <w:color w:val="2E75B6"/>
          <w:sz w:val="24"/>
          <w:szCs w:val="24"/>
        </w:rPr>
        <w:t xml:space="preserve">Data Sources Needed</w:t>
      </w:r>
    </w:p>
    <w:p>
      <w:pPr>
        <w:pStyle w:val="ListParagraph"/>
        <w:numPr>
          <w:ilvl w:val="0"/>
          <w:numId w:val="2"/>
        </w:numPr>
        <w:spacing w:before="60" w:after="60"/>
      </w:pPr>
      <w:r>
        <w:rPr>
          <w:rFonts w:ascii="Arial" w:cs="Arial" w:eastAsia="Arial" w:hAnsi="Arial"/>
          <w:color w:val="222222"/>
          <w:sz w:val="22"/>
          <w:szCs w:val="22"/>
        </w:rPr>
        <w:t xml:space="preserve">FlightAware AeroAPI: real-time and historical flight operations including actual passenger load factors. Expensive but provides the cleanest signal.</w:t>
      </w:r>
    </w:p>
    <w:p>
      <w:pPr>
        <w:pStyle w:val="ListParagraph"/>
        <w:numPr>
          <w:ilvl w:val="0"/>
          <w:numId w:val="2"/>
        </w:numPr>
        <w:spacing w:before="60" w:after="60"/>
      </w:pPr>
      <w:r>
        <w:rPr>
          <w:rFonts w:ascii="Arial" w:cs="Arial" w:eastAsia="Arial" w:hAnsi="Arial"/>
          <w:color w:val="222222"/>
          <w:sz w:val="22"/>
          <w:szCs w:val="22"/>
        </w:rPr>
        <w:t xml:space="preserve">OAG (Official Airline Guide): seat capacity data by route and carrier. Load factor must be inferred from this combined with DOT T-100 actual passenger counts.</w:t>
      </w:r>
    </w:p>
    <w:p>
      <w:pPr>
        <w:pStyle w:val="ListParagraph"/>
        <w:numPr>
          <w:ilvl w:val="0"/>
          <w:numId w:val="2"/>
        </w:numPr>
        <w:spacing w:before="60" w:after="60"/>
      </w:pPr>
      <w:r>
        <w:rPr>
          <w:rFonts w:ascii="Arial" w:cs="Arial" w:eastAsia="Arial" w:hAnsi="Arial"/>
          <w:color w:val="222222"/>
          <w:sz w:val="22"/>
          <w:szCs w:val="22"/>
        </w:rPr>
        <w:t xml:space="preserve">DOT T-100 Segment Data: free but monthly and lagged 60-90 days. Useful for calibration but too slow for a trading signal.</w:t>
      </w:r>
    </w:p>
    <w:p>
      <w:pPr>
        <w:pStyle w:val="ListParagraph"/>
        <w:numPr>
          <w:ilvl w:val="0"/>
          <w:numId w:val="2"/>
        </w:numPr>
        <w:spacing w:before="60" w:after="60"/>
      </w:pPr>
      <w:r>
        <w:rPr>
          <w:rFonts w:ascii="Arial" w:cs="Arial" w:eastAsia="Arial" w:hAnsi="Arial"/>
          <w:color w:val="222222"/>
          <w:sz w:val="22"/>
          <w:szCs w:val="22"/>
        </w:rPr>
        <w:t xml:space="preserve">Cirium / Diio Mi: third-party aviation analytics with daily scraping of booked loads. Industry standard for airline revenue management research.</w:t>
      </w:r>
    </w:p>
    <w:p>
      <w:pPr>
        <w:spacing w:before="120" w:after="0"/>
      </w:pPr>
      <w:r>
        <w:t xml:space="preserve"/>
      </w:r>
    </w:p>
    <w:p>
      <w:pPr>
        <w:pStyle w:val="Heading2"/>
        <w:spacing w:before="280" w:after="100"/>
      </w:pPr>
      <w:r>
        <w:rPr>
          <w:rFonts w:ascii="Arial" w:cs="Arial" w:eastAsia="Arial" w:hAnsi="Arial"/>
          <w:b/>
          <w:bCs/>
          <w:color w:val="2E75B6"/>
          <w:sz w:val="24"/>
          <w:szCs w:val="24"/>
        </w:rPr>
        <w:t xml:space="preserve">The Single Code Change Required</w:t>
      </w:r>
    </w:p>
    <w:p>
      <w:pPr>
        <w:spacing w:before="80" w:after="100"/>
      </w:pPr>
      <w:r>
        <w:rPr>
          <w:rFonts w:ascii="Arial" w:cs="Arial" w:eastAsia="Arial" w:hAnsi="Arial"/>
          <w:color w:val="222222"/>
          <w:sz w:val="22"/>
          <w:szCs w:val="22"/>
        </w:rPr>
        <w:t xml:space="preserve">The code architecture was designed so that switching from synthetic to real data requires replacing exactly one function body. The generate_ghost_flight_data() function can be replaced with:</w:t>
      </w:r>
    </w:p>
    <w:p>
      <w:pPr>
        <w:spacing w:before="60" w:after="0"/>
      </w:pPr>
      <w:r>
        <w:t xml:space="preserve"/>
      </w:r>
    </w:p>
    <w:p>
      <w:pPr>
        <w:pBdr>
          <w:left w:val="single" w:color="2E75B6" w:sz="12" w:space="4"/>
        </w:pBdr>
        <w:shd w:fill="F0F0F0" w:val="clear"/>
        <w:spacing w:before="60" w:after="60"/>
        <w:ind w:left="720"/>
      </w:pPr>
      <w:r>
        <w:rPr>
          <w:rFonts w:ascii="Courier New" w:cs="Courier New" w:eastAsia="Courier New" w:hAnsi="Courier New"/>
          <w:color w:val="C0392B"/>
          <w:sz w:val="20"/>
          <w:szCs w:val="20"/>
        </w:rPr>
        <w:t xml:space="preserve">ghost_df = pd.read_parquet('flightaware_export.parquet')</w:t>
      </w:r>
    </w:p>
    <w:p>
      <w:pPr>
        <w:spacing w:before="60" w:after="0"/>
      </w:pPr>
      <w:r>
        <w:t xml:space="preserve"/>
      </w:r>
    </w:p>
    <w:p>
      <w:pPr>
        <w:spacing w:before="80" w:after="100"/>
      </w:pPr>
      <w:r>
        <w:rPr>
          <w:rFonts w:ascii="Arial" w:cs="Arial" w:eastAsia="Arial" w:hAnsi="Arial"/>
          <w:color w:val="222222"/>
          <w:sz w:val="22"/>
          <w:szCs w:val="22"/>
        </w:rPr>
        <w:t xml:space="preserve">Everything downstream — the CSI construction, the trade loop, the performance statistics, the charts — is untouched. The schema (date, carrier, route, flights, load_factor) is already documented in the code comments and matches what a real FlightAware export would provide.</w:t>
      </w:r>
    </w:p>
    <w:p>
      <w:pPr>
        <w:spacing w:before="120" w:after="0"/>
      </w:pPr>
      <w:r>
        <w:t xml:space="preserve"/>
      </w:r>
    </w:p>
    <w:p>
      <w:pPr>
        <w:pStyle w:val="Heading2"/>
        <w:spacing w:before="280" w:after="100"/>
      </w:pPr>
      <w:r>
        <w:rPr>
          <w:rFonts w:ascii="Arial" w:cs="Arial" w:eastAsia="Arial" w:hAnsi="Arial"/>
          <w:b/>
          <w:bCs/>
          <w:color w:val="2E75B6"/>
          <w:sz w:val="24"/>
          <w:szCs w:val="24"/>
        </w:rPr>
        <w:t xml:space="preserve">Validation Checklist Before Going Live</w:t>
      </w:r>
    </w:p>
    <w:p>
      <w:pPr>
        <w:pStyle w:val="ListParagraph"/>
        <w:numPr>
          <w:ilvl w:val="0"/>
          <w:numId w:val="2"/>
        </w:numPr>
        <w:spacing w:before="60" w:after="60"/>
      </w:pPr>
      <w:r>
        <w:rPr>
          <w:rFonts w:ascii="Arial" w:cs="Arial" w:eastAsia="Arial" w:hAnsi="Arial"/>
          <w:color w:val="222222"/>
          <w:sz w:val="22"/>
          <w:szCs w:val="22"/>
        </w:rPr>
        <w:t xml:space="preserve">Walk-forward test: train parameters on 2021-2022, validate on 2023-2024. Check whether ENTRY_Z, EXIT_Z, and GHOST_WINDOW generalize out of sample.</w:t>
      </w:r>
    </w:p>
    <w:p>
      <w:pPr>
        <w:pStyle w:val="ListParagraph"/>
        <w:numPr>
          <w:ilvl w:val="0"/>
          <w:numId w:val="2"/>
        </w:numPr>
        <w:spacing w:before="60" w:after="60"/>
      </w:pPr>
      <w:r>
        <w:rPr>
          <w:rFonts w:ascii="Arial" w:cs="Arial" w:eastAsia="Arial" w:hAnsi="Arial"/>
          <w:color w:val="222222"/>
          <w:sz w:val="22"/>
          <w:szCs w:val="22"/>
        </w:rPr>
        <w:t xml:space="preserve">Real price + real signal: confirm positive correlation between ghost flight z-score and forward ULCC 10-day returns before running the full backtest.</w:t>
      </w:r>
    </w:p>
    <w:p>
      <w:pPr>
        <w:pStyle w:val="ListParagraph"/>
        <w:numPr>
          <w:ilvl w:val="0"/>
          <w:numId w:val="2"/>
        </w:numPr>
        <w:spacing w:before="60" w:after="60"/>
      </w:pPr>
      <w:r>
        <w:rPr>
          <w:rFonts w:ascii="Arial" w:cs="Arial" w:eastAsia="Arial" w:hAnsi="Arial"/>
          <w:color w:val="222222"/>
          <w:sz w:val="22"/>
          <w:szCs w:val="22"/>
        </w:rPr>
        <w:t xml:space="preserve">Transaction cost sensitivity: stress test the return with 10bp, 25bp, and 50bp round-trip costs to determine minimum Sharpe degradation.</w:t>
      </w:r>
    </w:p>
    <w:p>
      <w:pPr>
        <w:pStyle w:val="ListParagraph"/>
        <w:numPr>
          <w:ilvl w:val="0"/>
          <w:numId w:val="2"/>
        </w:numPr>
        <w:spacing w:before="60" w:after="60"/>
      </w:pPr>
      <w:r>
        <w:rPr>
          <w:rFonts w:ascii="Arial" w:cs="Arial" w:eastAsia="Arial" w:hAnsi="Arial"/>
          <w:color w:val="222222"/>
          <w:sz w:val="22"/>
          <w:szCs w:val="22"/>
        </w:rPr>
        <w:t xml:space="preserve">Position sizing: replace the fixed 1.0x/1.5x sizing with a Kelly-fraction or volatility-targeting approach.</w:t>
      </w:r>
    </w:p>
    <w:p>
      <w:pPr>
        <w:pStyle w:val="ListParagraph"/>
        <w:numPr>
          <w:ilvl w:val="0"/>
          <w:numId w:val="2"/>
        </w:numPr>
        <w:spacing w:before="60" w:after="60"/>
      </w:pPr>
      <w:r>
        <w:rPr>
          <w:rFonts w:ascii="Arial" w:cs="Arial" w:eastAsia="Arial" w:hAnsi="Arial"/>
          <w:color w:val="222222"/>
          <w:sz w:val="22"/>
          <w:szCs w:val="22"/>
        </w:rPr>
        <w:t xml:space="preserve">Benchmark expansion: compare not just to ULCC buy-and-hold but to the XAL airline index and to a naive long-ULCC / short-AAL pairs trade.</w:t>
      </w:r>
    </w:p>
    <w:p>
      <w:pPr>
        <w:spacing w:before="200" w:after="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2026-03-25T22:00:23.811Z</dcterms:created>
  <dcterms:modified xsi:type="dcterms:W3CDTF">2026-03-25T22:00:23.812Z</dcterms:modified>
</cp:coreProperties>
</file>

<file path=docProps/custom.xml><?xml version="1.0" encoding="utf-8"?>
<Properties xmlns="http://schemas.openxmlformats.org/officeDocument/2006/custom-properties" xmlns:vt="http://schemas.openxmlformats.org/officeDocument/2006/docPropsVTypes"/>
</file>