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Music Review Insight Finder</w:t>
      </w:r>
    </w:p>
    <w:p>
      <w:pPr>
        <w:pStyle w:val="Subtitle"/>
        <w:widowControl/>
      </w:pPr>
      <w:r>
        <w:t>Presentation and script outline</w:t>
      </w:r>
    </w:p>
    <w:p>
      <w:pPr>
        <w:widowControl/>
      </w:pPr>
      <w:r>
        <w:t>Aaron Gabriel  |  ADS 509  |  Planning version dated October 19 2026</w:t>
      </w:r>
    </w:p>
    <w:p>
      <w:pPr>
        <w:widowControl/>
      </w:pPr>
      <w:r>
        <w:t>Use this editable outline to agree on the story, evidence and requirements before building slides or writing the complete narration. It covers the project from collection through evaluation, with speaking beats rather than a finished script.</w:t>
      </w:r>
    </w:p>
    <w:p>
      <w:pPr>
        <w:pStyle w:val="Heading2"/>
        <w:widowControl/>
      </w:pPr>
      <w:r>
        <w:t>Research question and supported conclusion</w:t>
      </w:r>
    </w:p>
    <w:p>
      <w:pPr>
        <w:widowControl/>
      </w:pPr>
      <w:r>
        <w:t>Can a small pretrained language model, adapted with LoRA, distinguish specific musical observations from general opinions and background passages in music reviews?</w:t>
      </w:r>
    </w:p>
    <w:p>
      <w:pPr>
        <w:widowControl/>
      </w:pPr>
      <w:r>
        <w:t>The class-weighted experiment B achieved the highest observed validation macro F1, 0.4649, with 19 of 33 passages classified correctly. Errors remained concentrated in predictions of specific musical observation. The result is exploratory: labels across all splits received a nonblinded AI audit, and no fresh human-independent test set was used.</w:t>
      </w:r>
    </w:p>
    <w:p>
      <w:pPr>
        <w:pStyle w:val="Heading2"/>
        <w:widowControl/>
      </w:pPr>
      <w:r>
        <w:t>Verified rubric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1728"/>
        <w:gridCol w:w="5400"/>
      </w:tblGrid>
      <w:tr>
        <w:trPr>
          <w:cantSplit/>
          <w:tblHeader/>
        </w:trPr>
        <w:tc>
          <w:tcPr>
            <w:tcW w:type="dxa" w:w="2952"/>
            <w:vAlign w:val="center"/>
            <w:tcMar>
              <w:top w:w="85" w:type="dxa"/>
              <w:bottom w:w="85" w:type="dxa"/>
              <w:left w:w="85" w:type="dxa"/>
              <w:right w:w="85" w:type="dxa"/>
            </w:tcMar>
            <w:shd w:fill="334155"/>
          </w:tcPr>
          <w:p>
            <w:pPr>
              <w:spacing w:after="0" w:line="245" w:lineRule="auto"/>
              <w:jc w:val="left"/>
            </w:pPr>
            <w:r>
              <w:rPr>
                <w:rFonts w:ascii="Arial" w:hAnsi="Arial"/>
                <w:b/>
                <w:color w:val="FFFFFF"/>
                <w:sz w:val="20"/>
              </w:rPr>
              <w:t>Criterion</w:t>
            </w:r>
          </w:p>
        </w:tc>
        <w:tc>
          <w:tcPr>
            <w:tcW w:type="dxa" w:w="1728"/>
            <w:vAlign w:val="center"/>
            <w:tcMar>
              <w:top w:w="85" w:type="dxa"/>
              <w:bottom w:w="85" w:type="dxa"/>
              <w:left w:w="85" w:type="dxa"/>
              <w:right w:w="85" w:type="dxa"/>
            </w:tcMar>
            <w:shd w:fill="334155"/>
          </w:tcPr>
          <w:p>
            <w:pPr>
              <w:spacing w:after="0" w:line="245" w:lineRule="auto"/>
              <w:jc w:val="center"/>
            </w:pPr>
            <w:r>
              <w:rPr>
                <w:rFonts w:ascii="Arial" w:hAnsi="Arial"/>
                <w:b/>
                <w:color w:val="FFFFFF"/>
                <w:sz w:val="20"/>
              </w:rPr>
              <w:t>Weight and points</w:t>
            </w:r>
          </w:p>
        </w:tc>
        <w:tc>
          <w:tcPr>
            <w:tcW w:type="dxa" w:w="5400"/>
            <w:vAlign w:val="center"/>
            <w:tcMar>
              <w:top w:w="85" w:type="dxa"/>
              <w:bottom w:w="85" w:type="dxa"/>
              <w:left w:w="85" w:type="dxa"/>
              <w:right w:w="85" w:type="dxa"/>
            </w:tcMar>
            <w:shd w:fill="334155"/>
          </w:tcPr>
          <w:p>
            <w:pPr>
              <w:spacing w:after="0" w:line="245" w:lineRule="auto"/>
              <w:jc w:val="left"/>
            </w:pPr>
            <w:r>
              <w:rPr>
                <w:rFonts w:ascii="Arial" w:hAnsi="Arial"/>
                <w:b/>
                <w:color w:val="FFFFFF"/>
                <w:sz w:val="20"/>
              </w:rPr>
              <w:t>Planned coverage</w:t>
            </w:r>
          </w:p>
        </w:tc>
      </w:tr>
      <w:tr>
        <w:trPr>
          <w:cantSplit/>
        </w:trPr>
        <w:tc>
          <w:tcPr>
            <w:tcW w:type="dxa" w:w="2952"/>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Problem Definition and Design</w:t>
            </w:r>
          </w:p>
        </w:tc>
        <w:tc>
          <w:tcPr>
            <w:tcW w:type="dxa" w:w="1728"/>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20%  |  37</w:t>
            </w:r>
          </w:p>
        </w:tc>
        <w:tc>
          <w:tcPr>
            <w:tcW w:type="dxa" w:w="5400"/>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Slides 1 and 5 state the goal and explain why an LLM and adaptation fit the task.</w:t>
            </w:r>
          </w:p>
        </w:tc>
      </w:tr>
      <w:tr>
        <w:trPr>
          <w:cantSplit/>
        </w:trPr>
        <w:tc>
          <w:tcPr>
            <w:tcW w:type="dxa" w:w="2952"/>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Data Preparation and Analysis</w:t>
            </w:r>
          </w:p>
        </w:tc>
        <w:tc>
          <w:tcPr>
            <w:tcW w:type="dxa" w:w="1728"/>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25%  |  46.25</w:t>
            </w:r>
          </w:p>
        </w:tc>
        <w:tc>
          <w:tcPr>
            <w:tcW w:type="dxa" w:w="5400"/>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Slides 2–7 explain preprocessing, EDA and implementation. Completed VADER sentiment EDA covers the frozen training passages.</w:t>
            </w:r>
          </w:p>
        </w:tc>
      </w:tr>
      <w:tr>
        <w:trPr>
          <w:cantSplit/>
        </w:trPr>
        <w:tc>
          <w:tcPr>
            <w:tcW w:type="dxa" w:w="2952"/>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AI Integration</w:t>
            </w:r>
          </w:p>
        </w:tc>
        <w:tc>
          <w:tcPr>
            <w:tcW w:type="dxa" w:w="1728"/>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25%  |  46.25</w:t>
            </w:r>
          </w:p>
        </w:tc>
        <w:tc>
          <w:tcPr>
            <w:tcW w:type="dxa" w:w="5400"/>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Slides 4, 9 and 10 show effective assistance, ethical limitations, verification and personal responsibility.</w:t>
            </w:r>
          </w:p>
        </w:tc>
      </w:tr>
      <w:tr>
        <w:trPr>
          <w:cantSplit/>
        </w:trPr>
        <w:tc>
          <w:tcPr>
            <w:tcW w:type="dxa" w:w="2952"/>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Results and Visualizations</w:t>
            </w:r>
          </w:p>
        </w:tc>
        <w:tc>
          <w:tcPr>
            <w:tcW w:type="dxa" w:w="1728"/>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20%  |  37</w:t>
            </w:r>
          </w:p>
        </w:tc>
        <w:tc>
          <w:tcPr>
            <w:tcW w:type="dxa" w:w="5400"/>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Slides 3 and 6–9 use readable data and result visuals with analysis and limitations.</w:t>
            </w:r>
          </w:p>
        </w:tc>
      </w:tr>
      <w:tr>
        <w:trPr>
          <w:cantSplit/>
        </w:trPr>
        <w:tc>
          <w:tcPr>
            <w:tcW w:type="dxa" w:w="2952"/>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Presentation Quality</w:t>
            </w:r>
          </w:p>
        </w:tc>
        <w:tc>
          <w:tcPr>
            <w:tcW w:type="dxa" w:w="1728"/>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10%  |  18.5</w:t>
            </w:r>
          </w:p>
        </w:tc>
        <w:tc>
          <w:tcPr>
            <w:tcW w:type="dxa" w:w="5400"/>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All slides use professional semitechnical explanations. The 13-minute plan includes the required reflection.</w:t>
            </w:r>
          </w:p>
        </w:tc>
      </w:tr>
    </w:tbl>
    <w:p>
      <w:pPr>
        <w:widowControl/>
        <w:spacing w:before="120" w:after="100"/>
      </w:pPr>
      <w:r>
        <w:rPr>
          <w:sz w:val="19"/>
        </w:rPr>
        <w:t>Verified against the uploaded Final Project 7.1 Scoring Rubric on October 19. Total: 185 points. The rubric does not specify an accuracy threshold.</w:t>
      </w:r>
    </w:p>
    <w:p>
      <w:pPr>
        <w:pStyle w:val="Heading2"/>
        <w:widowControl/>
      </w:pPr>
      <w:r>
        <w:t>Assignment requirements and remaining checks</w:t>
      </w:r>
    </w:p>
    <w:p>
      <w:pPr>
        <w:widowControl/>
      </w:pPr>
      <w:r>
        <w:t>Option 1 requires a prepared text dataset, EDA on text structure and frequencies plus sentiment or topic distributions, adaptation of an open-source LLM, GenAI assistance, and discussion of results and limitations. Completed VADER sentiment EDA now addresses the distribution requirement using the 140 frozen training passages.</w:t>
      </w:r>
    </w:p>
    <w:p>
      <w:pPr>
        <w:widowControl/>
      </w:pPr>
      <w:r>
        <w:t>The required recording is 10–15 minutes, including a 2–3-minute GenAI reflection. Provide a public or instructor-shared GitHub URL with working commented code and README files; submit the video link in Canvas. Effective visuals should replace a code walkthrough.</w:t>
      </w:r>
    </w:p>
    <w:p>
      <w:pPr>
        <w:widowControl/>
        <w:spacing w:after="100"/>
      </w:pPr>
      <w:r>
        <w:rPr>
          <w:sz w:val="19"/>
        </w:rPr>
        <w:t>The assignment introduction mentions written reporting, but its explicit deliverables do not name a standalone report or separate slide upload. Confirm any additional Canvas directions. Solo permission was user-reported on October 11. The reported deadline was October 18; no extension has been verified. Repository readiness, recording and submission remain to be confirmed.</w:t>
      </w:r>
    </w:p>
    <w:p>
      <w:pPr>
        <w:pStyle w:val="Heading1"/>
        <w:pageBreakBefore/>
        <w:widowControl/>
      </w:pPr>
      <w:r>
        <w:t>Presentation timing and evidence summary</w:t>
      </w:r>
    </w:p>
    <w:p>
      <w:pPr>
        <w:widowControl/>
      </w:pPr>
      <w:r>
        <w:t>Build the story in order: define useful information, explain the data and labels, show what changed during adaptation, examine the errors, then explain the role of GenAI. Keep technical settings in small reference notes unless they are needed to explain a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6696"/>
        <w:gridCol w:w="2592"/>
      </w:tblGrid>
      <w:tr>
        <w:trPr>
          <w:cantSplit/>
          <w:tblHeader/>
        </w:trPr>
        <w:tc>
          <w:tcPr>
            <w:tcW w:type="dxa" w:w="792"/>
            <w:vAlign w:val="center"/>
            <w:tcMar>
              <w:top w:w="85" w:type="dxa"/>
              <w:bottom w:w="85" w:type="dxa"/>
              <w:left w:w="85" w:type="dxa"/>
              <w:right w:w="85" w:type="dxa"/>
            </w:tcMar>
            <w:shd w:fill="334155"/>
          </w:tcPr>
          <w:p>
            <w:pPr>
              <w:spacing w:after="0" w:line="245" w:lineRule="auto"/>
              <w:jc w:val="center"/>
            </w:pPr>
            <w:r>
              <w:rPr>
                <w:rFonts w:ascii="Arial" w:hAnsi="Arial"/>
                <w:b/>
                <w:color w:val="FFFFFF"/>
                <w:sz w:val="20"/>
              </w:rPr>
              <w:t>Slide</w:t>
            </w:r>
          </w:p>
        </w:tc>
        <w:tc>
          <w:tcPr>
            <w:tcW w:type="dxa" w:w="6696"/>
            <w:vAlign w:val="center"/>
            <w:tcMar>
              <w:top w:w="85" w:type="dxa"/>
              <w:bottom w:w="85" w:type="dxa"/>
              <w:left w:w="85" w:type="dxa"/>
              <w:right w:w="85" w:type="dxa"/>
            </w:tcMar>
            <w:shd w:fill="334155"/>
          </w:tcPr>
          <w:p>
            <w:pPr>
              <w:spacing w:after="0" w:line="245" w:lineRule="auto"/>
              <w:jc w:val="left"/>
            </w:pPr>
            <w:r>
              <w:rPr>
                <w:rFonts w:ascii="Arial" w:hAnsi="Arial"/>
                <w:b/>
                <w:color w:val="FFFFFF"/>
                <w:sz w:val="20"/>
              </w:rPr>
              <w:t>Topic</w:t>
            </w:r>
          </w:p>
        </w:tc>
        <w:tc>
          <w:tcPr>
            <w:tcW w:type="dxa" w:w="2592"/>
            <w:vAlign w:val="center"/>
            <w:tcMar>
              <w:top w:w="85" w:type="dxa"/>
              <w:bottom w:w="85" w:type="dxa"/>
              <w:left w:w="85" w:type="dxa"/>
              <w:right w:w="85" w:type="dxa"/>
            </w:tcMar>
            <w:shd w:fill="334155"/>
          </w:tcPr>
          <w:p>
            <w:pPr>
              <w:spacing w:after="0" w:line="245" w:lineRule="auto"/>
              <w:jc w:val="center"/>
            </w:pPr>
            <w:r>
              <w:rPr>
                <w:rFonts w:ascii="Arial" w:hAnsi="Arial"/>
                <w:b/>
                <w:color w:val="FFFFFF"/>
                <w:sz w:val="20"/>
              </w:rPr>
              <w:t>Time window</w:t>
            </w:r>
          </w:p>
        </w:tc>
      </w:tr>
      <w:tr>
        <w:trPr>
          <w:cantSplit/>
        </w:trPr>
        <w:tc>
          <w:tcPr>
            <w:tcW w:type="dxa" w:w="7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1</w:t>
            </w:r>
          </w:p>
        </w:tc>
        <w:tc>
          <w:tcPr>
            <w:tcW w:type="dxa" w:w="669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Question and practical purpose</w:t>
            </w:r>
          </w:p>
        </w:tc>
        <w:tc>
          <w:tcPr>
            <w:tcW w:type="dxa" w:w="25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0:00–0:45</w:t>
            </w:r>
          </w:p>
        </w:tc>
      </w:tr>
      <w:tr>
        <w:trPr>
          <w:cantSplit/>
        </w:trPr>
        <w:tc>
          <w:tcPr>
            <w:tcW w:type="dxa" w:w="792"/>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2</w:t>
            </w:r>
          </w:p>
        </w:tc>
        <w:tc>
          <w:tcPr>
            <w:tcW w:type="dxa" w:w="669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Collection and dataset scope</w:t>
            </w:r>
          </w:p>
        </w:tc>
        <w:tc>
          <w:tcPr>
            <w:tcW w:type="dxa" w:w="2592"/>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0:45–1:40</w:t>
            </w:r>
          </w:p>
        </w:tc>
      </w:tr>
      <w:tr>
        <w:trPr>
          <w:cantSplit/>
        </w:trPr>
        <w:tc>
          <w:tcPr>
            <w:tcW w:type="dxa" w:w="7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3</w:t>
            </w:r>
          </w:p>
        </w:tc>
        <w:tc>
          <w:tcPr>
            <w:tcW w:type="dxa" w:w="669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Preparation and exploratory analysis</w:t>
            </w:r>
          </w:p>
        </w:tc>
        <w:tc>
          <w:tcPr>
            <w:tcW w:type="dxa" w:w="25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1:40–2:45</w:t>
            </w:r>
          </w:p>
        </w:tc>
      </w:tr>
      <w:tr>
        <w:trPr>
          <w:cantSplit/>
        </w:trPr>
        <w:tc>
          <w:tcPr>
            <w:tcW w:type="dxa" w:w="792"/>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4</w:t>
            </w:r>
          </w:p>
        </w:tc>
        <w:tc>
          <w:tcPr>
            <w:tcW w:type="dxa" w:w="669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Labels and grouped splits</w:t>
            </w:r>
          </w:p>
        </w:tc>
        <w:tc>
          <w:tcPr>
            <w:tcW w:type="dxa" w:w="2592"/>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2:45–4:00</w:t>
            </w:r>
          </w:p>
        </w:tc>
      </w:tr>
      <w:tr>
        <w:trPr>
          <w:cantSplit/>
        </w:trPr>
        <w:tc>
          <w:tcPr>
            <w:tcW w:type="dxa" w:w="7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5</w:t>
            </w:r>
          </w:p>
        </w:tc>
        <w:tc>
          <w:tcPr>
            <w:tcW w:type="dxa" w:w="669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Pretrained model and LoRA</w:t>
            </w:r>
          </w:p>
        </w:tc>
        <w:tc>
          <w:tcPr>
            <w:tcW w:type="dxa" w:w="25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4:00–4:55</w:t>
            </w:r>
          </w:p>
        </w:tc>
      </w:tr>
      <w:tr>
        <w:trPr>
          <w:cantSplit/>
        </w:trPr>
        <w:tc>
          <w:tcPr>
            <w:tcW w:type="dxa" w:w="792"/>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6</w:t>
            </w:r>
          </w:p>
        </w:tc>
        <w:tc>
          <w:tcPr>
            <w:tcW w:type="dxa" w:w="669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Initial evaluation and historical baselines</w:t>
            </w:r>
          </w:p>
        </w:tc>
        <w:tc>
          <w:tcPr>
            <w:tcW w:type="dxa" w:w="2592"/>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4:55–5:50</w:t>
            </w:r>
          </w:p>
        </w:tc>
      </w:tr>
      <w:tr>
        <w:trPr>
          <w:cantSplit/>
        </w:trPr>
        <w:tc>
          <w:tcPr>
            <w:tcW w:type="dxa" w:w="7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7</w:t>
            </w:r>
          </w:p>
        </w:tc>
        <w:tc>
          <w:tcPr>
            <w:tcW w:type="dxa" w:w="669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Controlled experiments A through D</w:t>
            </w:r>
          </w:p>
        </w:tc>
        <w:tc>
          <w:tcPr>
            <w:tcW w:type="dxa" w:w="25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5:50–7:05</w:t>
            </w:r>
          </w:p>
        </w:tc>
      </w:tr>
      <w:tr>
        <w:trPr>
          <w:cantSplit/>
        </w:trPr>
        <w:tc>
          <w:tcPr>
            <w:tcW w:type="dxa" w:w="792"/>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8</w:t>
            </w:r>
          </w:p>
        </w:tc>
        <w:tc>
          <w:tcPr>
            <w:tcW w:type="dxa" w:w="669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Best observed result and error patterns</w:t>
            </w:r>
          </w:p>
        </w:tc>
        <w:tc>
          <w:tcPr>
            <w:tcW w:type="dxa" w:w="2592"/>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7:05–8:15</w:t>
            </w:r>
          </w:p>
        </w:tc>
      </w:tr>
      <w:tr>
        <w:trPr>
          <w:cantSplit/>
        </w:trPr>
        <w:tc>
          <w:tcPr>
            <w:tcW w:type="dxa" w:w="7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9</w:t>
            </w:r>
          </w:p>
        </w:tc>
        <w:tc>
          <w:tcPr>
            <w:tcW w:type="dxa" w:w="669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Limitations and reliability checks</w:t>
            </w:r>
          </w:p>
        </w:tc>
        <w:tc>
          <w:tcPr>
            <w:tcW w:type="dxa" w:w="25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8:15–9:10</w:t>
            </w:r>
          </w:p>
        </w:tc>
      </w:tr>
      <w:tr>
        <w:trPr>
          <w:cantSplit/>
        </w:trPr>
        <w:tc>
          <w:tcPr>
            <w:tcW w:type="dxa" w:w="792"/>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10</w:t>
            </w:r>
          </w:p>
        </w:tc>
        <w:tc>
          <w:tcPr>
            <w:tcW w:type="dxa" w:w="669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GenAI reflection</w:t>
            </w:r>
          </w:p>
        </w:tc>
        <w:tc>
          <w:tcPr>
            <w:tcW w:type="dxa" w:w="2592"/>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9:10–11:40</w:t>
            </w:r>
          </w:p>
        </w:tc>
      </w:tr>
      <w:tr>
        <w:trPr>
          <w:cantSplit/>
        </w:trPr>
        <w:tc>
          <w:tcPr>
            <w:tcW w:type="dxa" w:w="7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11</w:t>
            </w:r>
          </w:p>
        </w:tc>
        <w:tc>
          <w:tcPr>
            <w:tcW w:type="dxa" w:w="669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Conclusion and project handoff</w:t>
            </w:r>
          </w:p>
        </w:tc>
        <w:tc>
          <w:tcPr>
            <w:tcW w:type="dxa" w:w="2592"/>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11:40–13:00</w:t>
            </w:r>
          </w:p>
        </w:tc>
      </w:tr>
    </w:tbl>
    <w:p>
      <w:pPr>
        <w:pStyle w:val="Heading2"/>
        <w:widowControl/>
      </w:pPr>
      <w:r>
        <w:t>Validation comparisons on 33 passages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584"/>
        <w:gridCol w:w="2376"/>
        <w:gridCol w:w="1800"/>
      </w:tblGrid>
      <w:tr>
        <w:trPr>
          <w:cantSplit/>
          <w:tblHeader/>
        </w:trPr>
        <w:tc>
          <w:tcPr>
            <w:tcW w:type="dxa" w:w="4320"/>
            <w:vAlign w:val="center"/>
            <w:tcMar>
              <w:top w:w="85" w:type="dxa"/>
              <w:bottom w:w="85" w:type="dxa"/>
              <w:left w:w="85" w:type="dxa"/>
              <w:right w:w="85" w:type="dxa"/>
            </w:tcMar>
            <w:shd w:fill="334155"/>
          </w:tcPr>
          <w:p>
            <w:pPr>
              <w:spacing w:after="0" w:line="245" w:lineRule="auto"/>
              <w:jc w:val="left"/>
            </w:pPr>
            <w:r>
              <w:rPr>
                <w:rFonts w:ascii="Arial" w:hAnsi="Arial"/>
                <w:b/>
                <w:color w:val="FFFFFF"/>
                <w:sz w:val="20"/>
              </w:rPr>
              <w:t>Run</w:t>
            </w:r>
          </w:p>
        </w:tc>
        <w:tc>
          <w:tcPr>
            <w:tcW w:type="dxa" w:w="1584"/>
            <w:vAlign w:val="center"/>
            <w:tcMar>
              <w:top w:w="85" w:type="dxa"/>
              <w:bottom w:w="85" w:type="dxa"/>
              <w:left w:w="85" w:type="dxa"/>
              <w:right w:w="85" w:type="dxa"/>
            </w:tcMar>
            <w:shd w:fill="334155"/>
          </w:tcPr>
          <w:p>
            <w:pPr>
              <w:spacing w:after="0" w:line="245" w:lineRule="auto"/>
              <w:jc w:val="center"/>
            </w:pPr>
            <w:r>
              <w:rPr>
                <w:rFonts w:ascii="Arial" w:hAnsi="Arial"/>
                <w:b/>
                <w:color w:val="FFFFFF"/>
                <w:sz w:val="20"/>
              </w:rPr>
              <w:t>Selected epoch</w:t>
            </w:r>
          </w:p>
        </w:tc>
        <w:tc>
          <w:tcPr>
            <w:tcW w:type="dxa" w:w="2376"/>
            <w:vAlign w:val="center"/>
            <w:tcMar>
              <w:top w:w="85" w:type="dxa"/>
              <w:bottom w:w="85" w:type="dxa"/>
              <w:left w:w="85" w:type="dxa"/>
              <w:right w:w="85" w:type="dxa"/>
            </w:tcMar>
            <w:shd w:fill="334155"/>
          </w:tcPr>
          <w:p>
            <w:pPr>
              <w:spacing w:after="0" w:line="245" w:lineRule="auto"/>
              <w:jc w:val="center"/>
            </w:pPr>
            <w:r>
              <w:rPr>
                <w:rFonts w:ascii="Arial" w:hAnsi="Arial"/>
                <w:b/>
                <w:color w:val="FFFFFF"/>
                <w:sz w:val="20"/>
              </w:rPr>
              <w:t>Accuracy</w:t>
            </w:r>
          </w:p>
        </w:tc>
        <w:tc>
          <w:tcPr>
            <w:tcW w:type="dxa" w:w="1800"/>
            <w:vAlign w:val="center"/>
            <w:tcMar>
              <w:top w:w="85" w:type="dxa"/>
              <w:bottom w:w="85" w:type="dxa"/>
              <w:left w:w="85" w:type="dxa"/>
              <w:right w:w="85" w:type="dxa"/>
            </w:tcMar>
            <w:shd w:fill="334155"/>
          </w:tcPr>
          <w:p>
            <w:pPr>
              <w:spacing w:after="0" w:line="245" w:lineRule="auto"/>
              <w:jc w:val="center"/>
            </w:pPr>
            <w:r>
              <w:rPr>
                <w:rFonts w:ascii="Arial" w:hAnsi="Arial"/>
                <w:b/>
                <w:color w:val="FFFFFF"/>
                <w:sz w:val="20"/>
              </w:rPr>
              <w:t>Macro F1</w:t>
            </w:r>
          </w:p>
        </w:tc>
      </w:tr>
      <w:tr>
        <w:trPr>
          <w:cantSplit/>
        </w:trPr>
        <w:tc>
          <w:tcPr>
            <w:tcW w:type="dxa" w:w="4320"/>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Original unadapted model</w:t>
            </w:r>
          </w:p>
        </w:tc>
        <w:tc>
          <w:tcPr>
            <w:tcW w:type="dxa" w:w="1584"/>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Not applicable</w:t>
            </w:r>
          </w:p>
        </w:tc>
        <w:tc>
          <w:tcPr>
            <w:tcW w:type="dxa" w:w="2376"/>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10/33 = 30.30%</w:t>
            </w:r>
          </w:p>
        </w:tc>
        <w:tc>
          <w:tcPr>
            <w:tcW w:type="dxa" w:w="1800"/>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0.230159</w:t>
            </w:r>
          </w:p>
        </w:tc>
      </w:tr>
      <w:tr>
        <w:trPr>
          <w:cantSplit/>
        </w:trPr>
        <w:tc>
          <w:tcPr>
            <w:tcW w:type="dxa" w:w="4320"/>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Original adapted model</w:t>
            </w:r>
          </w:p>
        </w:tc>
        <w:tc>
          <w:tcPr>
            <w:tcW w:type="dxa" w:w="1584"/>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1</w:t>
            </w:r>
          </w:p>
        </w:tc>
        <w:tc>
          <w:tcPr>
            <w:tcW w:type="dxa" w:w="2376"/>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Verify before reporting</w:t>
            </w:r>
          </w:p>
        </w:tc>
        <w:tc>
          <w:tcPr>
            <w:tcW w:type="dxa" w:w="1800"/>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0.305367</w:t>
            </w:r>
          </w:p>
        </w:tc>
      </w:tr>
      <w:tr>
        <w:trPr>
          <w:cantSplit/>
        </w:trPr>
        <w:tc>
          <w:tcPr>
            <w:tcW w:type="dxa" w:w="4320"/>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A  unweighted closed A B C loss</w:t>
            </w:r>
          </w:p>
        </w:tc>
        <w:tc>
          <w:tcPr>
            <w:tcW w:type="dxa" w:w="1584"/>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1</w:t>
            </w:r>
          </w:p>
        </w:tc>
        <w:tc>
          <w:tcPr>
            <w:tcW w:type="dxa" w:w="2376"/>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18/33 = 54.55%</w:t>
            </w:r>
          </w:p>
        </w:tc>
        <w:tc>
          <w:tcPr>
            <w:tcW w:type="dxa" w:w="1800"/>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0.305367</w:t>
            </w:r>
          </w:p>
        </w:tc>
      </w:tr>
      <w:tr>
        <w:trPr>
          <w:cantSplit/>
        </w:trPr>
        <w:tc>
          <w:tcPr>
            <w:tcW w:type="dxa" w:w="4320"/>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B  class weighted loss</w:t>
            </w:r>
          </w:p>
        </w:tc>
        <w:tc>
          <w:tcPr>
            <w:tcW w:type="dxa" w:w="1584"/>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2</w:t>
            </w:r>
          </w:p>
        </w:tc>
        <w:tc>
          <w:tcPr>
            <w:tcW w:type="dxa" w:w="2376"/>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19/33 = 57.58%</w:t>
            </w:r>
          </w:p>
        </w:tc>
        <w:tc>
          <w:tcPr>
            <w:tcW w:type="dxa" w:w="1800"/>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0.464881</w:t>
            </w:r>
          </w:p>
        </w:tc>
      </w:tr>
      <w:tr>
        <w:trPr>
          <w:cantSplit/>
        </w:trPr>
        <w:tc>
          <w:tcPr>
            <w:tcW w:type="dxa" w:w="4320"/>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C  lower learning rate</w:t>
            </w:r>
          </w:p>
        </w:tc>
        <w:tc>
          <w:tcPr>
            <w:tcW w:type="dxa" w:w="1584"/>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3</w:t>
            </w:r>
          </w:p>
        </w:tc>
        <w:tc>
          <w:tcPr>
            <w:tcW w:type="dxa" w:w="2376"/>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17/33 = 51.52%</w:t>
            </w:r>
          </w:p>
        </w:tc>
        <w:tc>
          <w:tcPr>
            <w:tcW w:type="dxa" w:w="1800"/>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0.423016</w:t>
            </w:r>
          </w:p>
        </w:tc>
      </w:tr>
      <w:tr>
        <w:trPr>
          <w:cantSplit/>
        </w:trPr>
        <w:tc>
          <w:tcPr>
            <w:tcW w:type="dxa" w:w="4320"/>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D  longer fresh training run</w:t>
            </w:r>
          </w:p>
        </w:tc>
        <w:tc>
          <w:tcPr>
            <w:tcW w:type="dxa" w:w="1584"/>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5</w:t>
            </w:r>
          </w:p>
        </w:tc>
        <w:tc>
          <w:tcPr>
            <w:tcW w:type="dxa" w:w="2376"/>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19/33 = 57.58%</w:t>
            </w:r>
          </w:p>
        </w:tc>
        <w:tc>
          <w:tcPr>
            <w:tcW w:type="dxa" w:w="1800"/>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0.461871</w:t>
            </w:r>
          </w:p>
        </w:tc>
      </w:tr>
    </w:tbl>
    <w:p>
      <w:pPr>
        <w:widowControl/>
        <w:spacing w:before="120"/>
      </w:pPr>
      <w:r>
        <w:t>F1 combines precision and recall; macro F1 averages the three class scores equally. Use it for selection because each class matters. Accuracy is the fraction classified correctly and can hide weak performance on smaller classes. The table supports selection of B among these runs, not a statistically significant advantage over D.</w:t>
      </w:r>
    </w:p>
    <w:p>
      <w:pPr>
        <w:widowControl/>
        <w:spacing w:after="100"/>
      </w:pPr>
      <w:r>
        <w:rPr>
          <w:sz w:val="19"/>
        </w:rPr>
        <w:t>Display four decimals on slides; keep the six-decimal values here for verification. Keep these 33-passage validation figures separate from the 35-passage historical test figures on page 5. A 70% accuracy goal was an aspiration, not a verified assignment threshold, and it was not achieved.</w:t>
      </w:r>
    </w:p>
    <w:p>
      <w:pPr>
        <w:pStyle w:val="Heading1"/>
        <w:pageBreakBefore/>
        <w:widowControl/>
      </w:pPr>
      <w:r>
        <w:t>Opening and data collection</w:t>
      </w:r>
    </w:p>
    <w:p>
      <w:pPr>
        <w:pStyle w:val="Heading2"/>
        <w:widowControl/>
      </w:pPr>
      <w:r>
        <w:t>1  Question and practical purpose</w:t>
      </w:r>
    </w:p>
    <w:p>
      <w:pPr>
        <w:widowControl/>
        <w:spacing w:after="100"/>
      </w:pPr>
      <w:r>
        <w:rPr>
          <w:sz w:val="19"/>
        </w:rPr>
        <w:t>0:00–0:45  |  45 seconds</w:t>
      </w:r>
    </w:p>
    <w:p>
      <w:pPr>
        <w:widowControl/>
      </w:pPr>
      <w:r>
        <w:rPr>
          <w:b/>
        </w:rPr>
        <w:t xml:space="preserve">Purpose </w:t>
      </w:r>
      <w:r>
        <w:t>Help the audience understand the intended value of the project before seeing model details.</w:t>
      </w:r>
    </w:p>
    <w:p>
      <w:pPr>
        <w:widowControl/>
      </w:pPr>
      <w:r>
        <w:rPr>
          <w:b/>
        </w:rPr>
        <w:t xml:space="preserve">On screen </w:t>
      </w:r>
      <w:r>
        <w:t>One research question. Three passage types: specific musical observation, general opinion, and background or other. One sentence describing an aid for locating concrete musical discussion in reviews.</w:t>
      </w:r>
    </w:p>
    <w:p>
      <w:pPr>
        <w:widowControl/>
      </w:pPr>
      <w:r>
        <w:rPr>
          <w:b/>
        </w:rPr>
        <w:t xml:space="preserve">Visual </w:t>
      </w:r>
      <w:r>
        <w:t>A single review passage split into color-coded spans, or three short illustrative snippets. Clearly mark any invented snippet as an illustration rather than an evaluated prediction.</w:t>
      </w:r>
    </w:p>
    <w:p>
      <w:pPr>
        <w:widowControl/>
      </w:pPr>
      <w:r>
        <w:rPr>
          <w:b/>
        </w:rPr>
        <w:t xml:space="preserve">Speaking sequence </w:t>
      </w:r>
      <w:r>
        <w:t>1. Introduce the kind of information a reader might want to find. 2. Define the three categories in everyday language. 3. Ask whether a small adapted language model can distinguish them. 4. Preview that useful improvement came with substantial uncertainty.</w:t>
      </w:r>
    </w:p>
    <w:p>
      <w:pPr>
        <w:widowControl/>
      </w:pPr>
      <w:r>
        <w:rPr>
          <w:b/>
        </w:rPr>
        <w:t xml:space="preserve">Decision rationale </w:t>
      </w:r>
      <w:r>
        <w:t>Classifying information type matches the project question. A positive or negative judgment alone does not reveal whether a passage describes instrumentation, vocals, rhythm, production or other musical details.</w:t>
      </w:r>
    </w:p>
    <w:p>
      <w:pPr>
        <w:widowControl/>
        <w:spacing w:after="100"/>
      </w:pPr>
      <w:r>
        <w:rPr>
          <w:sz w:val="19"/>
        </w:rPr>
        <w:t>Evidence and checks: Use LABELING_GUIDE.md for exact class boundaries. Keep the machine labels in notes: specific_musical_observation, general_opinion and background_other. This is not a sentiment classifier.</w:t>
      </w:r>
    </w:p>
    <w:p>
      <w:pPr>
        <w:pStyle w:val="Heading2"/>
        <w:widowControl/>
      </w:pPr>
      <w:r>
        <w:t>2  Collection and dataset scope</w:t>
      </w:r>
    </w:p>
    <w:p>
      <w:pPr>
        <w:widowControl/>
        <w:spacing w:after="100"/>
      </w:pPr>
      <w:r>
        <w:rPr>
          <w:sz w:val="19"/>
        </w:rPr>
        <w:t>0:45–1:40  |  55 seconds</w:t>
      </w:r>
    </w:p>
    <w:p>
      <w:pPr>
        <w:widowControl/>
      </w:pPr>
      <w:r>
        <w:rPr>
          <w:b/>
        </w:rPr>
        <w:t xml:space="preserve">Purpose </w:t>
      </w:r>
      <w:r>
        <w:t>Explain where the reviews came from and which population the findings actually describe.</w:t>
      </w:r>
    </w:p>
    <w:p>
      <w:pPr>
        <w:widowControl/>
      </w:pPr>
      <w:r>
        <w:rPr>
          <w:b/>
        </w:rPr>
        <w:t xml:space="preserve">On screen </w:t>
      </w:r>
      <w:r>
        <w:t>CritiqueBrainz API; English release_group reviews; oldest-first bounded collection; 500 reviews. Mean review length 353.518 words, with a range of 80–836 words.</w:t>
      </w:r>
    </w:p>
    <w:p>
      <w:pPr>
        <w:widowControl/>
      </w:pPr>
      <w:r>
        <w:rPr>
          <w:b/>
        </w:rPr>
        <w:t xml:space="preserve">Visual </w:t>
      </w:r>
      <w:r>
        <w:t>A compact collection diagram from API to 500 review records, alongside a source and scope caption. Show the original review URL field as provenance without exposing unnecessary personal details.</w:t>
      </w:r>
    </w:p>
    <w:p>
      <w:pPr>
        <w:widowControl/>
      </w:pPr>
      <w:r>
        <w:rPr>
          <w:b/>
        </w:rPr>
        <w:t xml:space="preserve">Speaking sequence </w:t>
      </w:r>
      <w:r>
        <w:t>1. Name the source and collection filters. 2. Explain the 500-review boundary. 3. Give the length summary. 4. Explain that release groups are the collected entity and are not necessarily all albums. 5. Acknowledge that this is a bounded sample rather than a representative survey of music criticism.</w:t>
      </w:r>
    </w:p>
    <w:p>
      <w:pPr>
        <w:widowControl/>
      </w:pPr>
      <w:r>
        <w:rPr>
          <w:b/>
        </w:rPr>
        <w:t xml:space="preserve">Decision rationale </w:t>
      </w:r>
      <w:r>
        <w:t>An API collection gives a repeatable retrieval process and source URLs. English reduces language variation for this experiment. The bounded oldest-first strategy is manageable but may bias which reviews and musical styles appear.</w:t>
      </w:r>
    </w:p>
    <w:p>
      <w:pPr>
        <w:widowControl/>
        <w:spacing w:after="100"/>
      </w:pPr>
      <w:r>
        <w:rPr>
          <w:sz w:val="19"/>
        </w:rPr>
        <w:t>Evidence and checks: collection_config.json, collection_audit.json and word_count_summary.json. Metadata for all 500 reviews identifies CC BY-NC-SA 3.0; attribution URLs were retained. Public redistribution clearance has not yet been verified.</w:t>
      </w:r>
    </w:p>
    <w:p>
      <w:pPr>
        <w:pStyle w:val="Heading2"/>
        <w:widowControl/>
      </w:pPr>
      <w:r>
        <w:t>Opening script preparation</w:t>
      </w:r>
    </w:p>
    <w:p>
      <w:pPr>
        <w:widowControl/>
      </w:pPr>
      <w:r>
        <w:t>Aaron adds one brief, true answer to: Why did I choose music reviews, and who would benefit from finding these passages? Keep the answer tied to the project. Do not invent a personal motivation or imply that the prototype is a deployed search product.</w:t>
      </w:r>
    </w:p>
    <w:p>
      <w:pPr>
        <w:widowControl/>
      </w:pPr>
      <w:r>
        <w:t>Transition cue: move from what a reader wants to find to what the collected text needs before it can support that task.</w:t>
      </w:r>
    </w:p>
    <w:p>
      <w:pPr>
        <w:pStyle w:val="Heading1"/>
        <w:pageBreakBefore/>
        <w:widowControl/>
      </w:pPr>
      <w:r>
        <w:t>Preparation and labeling</w:t>
      </w:r>
    </w:p>
    <w:p>
      <w:pPr>
        <w:pStyle w:val="Heading2"/>
        <w:widowControl/>
      </w:pPr>
      <w:r>
        <w:t>3  Preparation and exploratory analysis</w:t>
      </w:r>
    </w:p>
    <w:p>
      <w:pPr>
        <w:widowControl/>
        <w:spacing w:after="100"/>
      </w:pPr>
      <w:r>
        <w:rPr>
          <w:sz w:val="19"/>
        </w:rPr>
        <w:t>1:40–2:45  |  65 seconds</w:t>
      </w:r>
    </w:p>
    <w:p>
      <w:pPr>
        <w:widowControl/>
      </w:pPr>
      <w:r>
        <w:rPr>
          <w:b/>
        </w:rPr>
        <w:t xml:space="preserve">Purpose </w:t>
      </w:r>
      <w:r>
        <w:t>Show how raw reviews became passages and what descriptive EDA reveals about the text.</w:t>
      </w:r>
    </w:p>
    <w:p>
      <w:pPr>
        <w:widowControl/>
      </w:pPr>
      <w:r>
        <w:rPr>
          <w:b/>
        </w:rPr>
        <w:t xml:space="preserve">On screen </w:t>
      </w:r>
      <w:r>
        <w:t>HTML removed; whitespace normalized; case, punctuation and negation retained. 7,664 passages retained, with 217 short exclusions and 20 exact duplicates removed. VADER compound scores on 140 training passages: 78 positive (55.7%), 26 negative (18.6%) and 36 exactly zero (25.7%).</w:t>
      </w:r>
    </w:p>
    <w:p>
      <w:pPr>
        <w:widowControl/>
      </w:pPr>
      <w:r>
        <w:rPr>
          <w:b/>
        </w:rPr>
        <w:t xml:space="preserve">Visual </w:t>
      </w:r>
      <w:r>
        <w:t>Pair 01_lengths_and_frequencies.png with the 40-bin compound-score histogram in results/training_vader_sentiment.png. Label the sentiment chart Training passages n = 140; sign counts mean greater than zero, less than zero and exactly zero.</w:t>
      </w:r>
    </w:p>
    <w:p>
      <w:pPr>
        <w:widowControl/>
      </w:pPr>
      <w:r>
        <w:rPr>
          <w:b/>
        </w:rPr>
        <w:t xml:space="preserve">Speaking sequence </w:t>
      </w:r>
      <w:r>
        <w:t>1. Explain cleaning and context loss from segmentation. 2. Describe one length or token-frequency pattern. 3. Introduce VADER as a lexical sentiment estimate. 4. Show the positive-score skew. 5. State that zero is not proof of neutral sentiment, and these passages do not represent all 500 reviews or listeners.</w:t>
      </w:r>
    </w:p>
    <w:p>
      <w:pPr>
        <w:widowControl/>
      </w:pPr>
      <w:r>
        <w:rPr>
          <w:b/>
        </w:rPr>
        <w:t xml:space="preserve">Decision rationale </w:t>
      </w:r>
      <w:r>
        <w:t>Passage-level text matches the classification task. Minimal cleaning preserves meaning. Module 2 demonstrates VADER compound scores and a 40-bin histogram; Module 3 also uses compound sentiment. This separate EDA was run after model selection with no retuning and no validation or test scoring.</w:t>
      </w:r>
    </w:p>
    <w:p>
      <w:pPr>
        <w:widowControl/>
        <w:spacing w:after="100"/>
      </w:pPr>
      <w:r>
        <w:rPr>
          <w:sz w:val="19"/>
        </w:rPr>
        <w:t>Evidence and checks: Cleaning audits, saved EDA charts and 09_training_sentiment_EDA_VADER. Mean 0.2582; median 0.2370; range −0.9224 to 0.9413. VADER estimates are not gold labels or the classification target. Source hashes confirmed the exact training rows; all 88 original files and model artifacts remained unchanged.</w:t>
      </w:r>
    </w:p>
    <w:p>
      <w:pPr>
        <w:pStyle w:val="Heading2"/>
        <w:widowControl/>
      </w:pPr>
      <w:r>
        <w:t>4  Labels and grouped splits</w:t>
      </w:r>
    </w:p>
    <w:p>
      <w:pPr>
        <w:widowControl/>
        <w:spacing w:after="100"/>
      </w:pPr>
      <w:r>
        <w:rPr>
          <w:sz w:val="19"/>
        </w:rPr>
        <w:t>2:45–4:00  |  75 seconds</w:t>
      </w:r>
    </w:p>
    <w:p>
      <w:pPr>
        <w:widowControl/>
      </w:pPr>
      <w:r>
        <w:rPr>
          <w:b/>
        </w:rPr>
        <w:t xml:space="preserve">Purpose </w:t>
      </w:r>
      <w:r>
        <w:t>Make label provenance and evaluation boundaries visible before discussing performance.</w:t>
      </w:r>
    </w:p>
    <w:p>
      <w:pPr>
        <w:widowControl/>
      </w:pPr>
      <w:r>
        <w:rPr>
          <w:b/>
        </w:rPr>
        <w:t xml:space="preserve">On screen </w:t>
      </w:r>
      <w:r>
        <w:t>229 reviewed candidates; 208 usable passages; 21 skipped. Training 140, validation 33, historical test 35. Zero release-group ID overlap. All final splits received AI-assisted semantic audit.</w:t>
      </w:r>
    </w:p>
    <w:p>
      <w:pPr>
        <w:widowControl/>
      </w:pPr>
      <w:r>
        <w:rPr>
          <w:b/>
        </w:rPr>
        <w:t xml:space="preserve">Visual </w:t>
      </w:r>
      <w:r>
        <w:t>A count flow ending in three grouped partitions. Include training class counts 79 / 40 / 21 and validation counts 18 / 7 / 8 in the order specific / general / background.</w:t>
      </w:r>
    </w:p>
    <w:p>
      <w:pPr>
        <w:widowControl/>
      </w:pPr>
      <w:r>
        <w:rPr>
          <w:b/>
        </w:rPr>
        <w:t xml:space="preserve">Speaking sequence </w:t>
      </w:r>
      <w:r>
        <w:t>1. Define how the guide handles concrete descriptions, opinions and other text. 2. Explain the reviewed and skipped records. 3. Explain why related release groups stay together. 4. Disclose initial human review followed by a nonblinded Codex audit across all splits. 5. Explain why the final labels are not an independent human gold standard.</w:t>
      </w:r>
    </w:p>
    <w:p>
      <w:pPr>
        <w:widowControl/>
      </w:pPr>
      <w:r>
        <w:rPr>
          <w:b/>
        </w:rPr>
        <w:t xml:space="preserve">Decision rationale </w:t>
      </w:r>
      <w:r>
        <w:t>Grouping limits leakage from related releases. A fixed split supports comparisons. The semantic audit helped identify inconsistencies, but its involvement in evaluation labels weakens independence and creates possible shared AI biases.</w:t>
      </w:r>
    </w:p>
    <w:p>
      <w:pPr>
        <w:widowControl/>
        <w:spacing w:after="100"/>
      </w:pPr>
      <w:r>
        <w:rPr>
          <w:sz w:val="19"/>
        </w:rPr>
        <w:t>Evidence and checks: LABELING_GUIDE.md, audit_manifest.json and AUDIT_README.txt. Audit records show 87 label or status revisions and 56 completed label changes; these are different counts. human_accepted_audit is false, so do not claim Aaron accepted every final audited label.</w:t>
      </w:r>
    </w:p>
    <w:p>
      <w:pPr>
        <w:pStyle w:val="Heading1"/>
        <w:pageBreakBefore/>
        <w:widowControl/>
      </w:pPr>
      <w:r>
        <w:t>Model choice and first evaluation</w:t>
      </w:r>
    </w:p>
    <w:p>
      <w:pPr>
        <w:pStyle w:val="Heading2"/>
        <w:widowControl/>
      </w:pPr>
      <w:r>
        <w:t>5  Pretrained model and LoRA</w:t>
      </w:r>
    </w:p>
    <w:p>
      <w:pPr>
        <w:widowControl/>
        <w:spacing w:after="100"/>
      </w:pPr>
      <w:r>
        <w:rPr>
          <w:sz w:val="19"/>
        </w:rPr>
        <w:t>4:00–4:55  |  55 seconds</w:t>
      </w:r>
    </w:p>
    <w:p>
      <w:pPr>
        <w:widowControl/>
      </w:pPr>
      <w:r>
        <w:rPr>
          <w:b/>
        </w:rPr>
        <w:t xml:space="preserve">Purpose </w:t>
      </w:r>
      <w:r>
        <w:t>Explain adaptation at a level a semitechnical audience can follow.</w:t>
      </w:r>
    </w:p>
    <w:p>
      <w:pPr>
        <w:widowControl/>
      </w:pPr>
      <w:r>
        <w:rPr>
          <w:b/>
        </w:rPr>
        <w:t xml:space="preserve">On screen </w:t>
      </w:r>
      <w:r>
        <w:t>Qwen2.5-0.5B-Instruct with a pinned revision. Low-Rank Adaptation (LoRA): frozen pretrained base plus small trainable adapters. 540,672 trainable parameters out of 494,573,440 total, approximately 0.1093%.</w:t>
      </w:r>
    </w:p>
    <w:p>
      <w:pPr>
        <w:widowControl/>
      </w:pPr>
      <w:r>
        <w:rPr>
          <w:b/>
        </w:rPr>
        <w:t xml:space="preserve">Visual </w:t>
      </w:r>
      <w:r>
        <w:t>A simple base-model block with small adapter blocks attached. Use the parameter percentage as the main numerical callout; put rank 8, alpha 16, dropout 0.05 and q/v targets in a small supporting note.</w:t>
      </w:r>
    </w:p>
    <w:p>
      <w:pPr>
        <w:widowControl/>
      </w:pPr>
      <w:r>
        <w:rPr>
          <w:b/>
        </w:rPr>
        <w:t xml:space="preserve">Speaking sequence </w:t>
      </w:r>
      <w:r>
        <w:t>1. Explain what pretraining contributes. 2. Explain that LoRA trains a small set of added parameters while keeping the base fixed. 3. Connect the compact setup to a feasible adaptation experiment. 4. Explain the fixed three-category output. 5. Transition to how the result was measured.</w:t>
      </w:r>
    </w:p>
    <w:p>
      <w:pPr>
        <w:widowControl/>
      </w:pPr>
      <w:r>
        <w:rPr>
          <w:b/>
        </w:rPr>
        <w:t xml:space="preserve">Decision rationale </w:t>
      </w:r>
      <w:r>
        <w:t>Adapting a pretrained model addresses the assignment and tests whether task-specific examples help. A compact model and small adapter reduce the amount of training needed. Do not claim this model was proven optimal or that LoRA itself was explicitly taught in the course.</w:t>
      </w:r>
    </w:p>
    <w:p>
      <w:pPr>
        <w:widowControl/>
        <w:spacing w:after="100"/>
      </w:pPr>
      <w:r>
        <w:rPr>
          <w:sz w:val="19"/>
        </w:rPr>
        <w:t>Evidence and checks: Executed model and training notebooks; pinned revision and adapter configuration. Module 5 covered FLAN-T5, SST-2 fine-tuning and evaluation. Refer to those as a course connection, not proof of identical methods.</w:t>
      </w:r>
    </w:p>
    <w:p>
      <w:pPr>
        <w:pStyle w:val="Heading2"/>
        <w:widowControl/>
      </w:pPr>
      <w:r>
        <w:t>6  Initial evaluation and historical baselines</w:t>
      </w:r>
    </w:p>
    <w:p>
      <w:pPr>
        <w:widowControl/>
        <w:spacing w:after="100"/>
      </w:pPr>
      <w:r>
        <w:rPr>
          <w:sz w:val="19"/>
        </w:rPr>
        <w:t>4:55–5:50  |  55 seconds</w:t>
      </w:r>
    </w:p>
    <w:p>
      <w:pPr>
        <w:widowControl/>
      </w:pPr>
      <w:r>
        <w:rPr>
          <w:b/>
        </w:rPr>
        <w:t xml:space="preserve">Purpose </w:t>
      </w:r>
      <w:r>
        <w:t>Explain why accuracy alone was misleading and why later controlled comparisons were useful.</w:t>
      </w:r>
    </w:p>
    <w:p>
      <w:pPr>
        <w:widowControl/>
      </w:pPr>
      <w:r>
        <w:rPr>
          <w:b/>
        </w:rPr>
        <w:t xml:space="preserve">On screen </w:t>
      </w:r>
      <w:r>
        <w:t>On the historical 35-passage test, the original LoRA model predicted specific musical observation for every passage. Its 48.57% accuracy matched the majority baseline while macro F1 was 0.217949.</w:t>
      </w:r>
    </w:p>
    <w:p>
      <w:pPr>
        <w:widowControl/>
      </w:pPr>
      <w:r>
        <w:rPr>
          <w:b/>
        </w:rPr>
        <w:t xml:space="preserve">Visual </w:t>
      </w:r>
      <w:r>
        <w:t>A four-row baseline table or compact paired-dot plot. Clearly label it Historical test n = 35 and keep it separate from validation charts.</w:t>
      </w:r>
    </w:p>
    <w:p>
      <w:pPr>
        <w:widowControl/>
      </w:pPr>
      <w:r>
        <w:rPr>
          <w:b/>
        </w:rPr>
        <w:t xml:space="preserve">Speaking sequence </w:t>
      </w:r>
      <w:r>
        <w:t>1. Describe the simple majority and keyword baselines. 2. Show the unadapted result. 3. Explain the all-specific adapted predictions. 4. Connect the failure to the need to inspect class behavior and compare later runs on the fixed validation set.</w:t>
      </w:r>
    </w:p>
    <w:p>
      <w:pPr>
        <w:widowControl/>
      </w:pPr>
      <w:r>
        <w:rPr>
          <w:b/>
        </w:rPr>
        <w:t xml:space="preserve">Decision rationale </w:t>
      </w:r>
      <w:r>
        <w:t>Simple baselines reveal whether complexity adds value. Macro F1 and class-level errors expose collapse that a moderately sized accuracy number can conceal. The old test had already been viewed, so it could not serve as a fresh final check.</w:t>
      </w:r>
    </w:p>
    <w:p>
      <w:pPr>
        <w:widowControl/>
        <w:spacing w:after="100"/>
      </w:pPr>
      <w:r>
        <w:rPr>
          <w:sz w:val="19"/>
        </w:rPr>
        <w:t>Evidence and checks: Executed 06 notebook. The historical test was excluded from later tuning, but viewing it remains part of the project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0"/>
        <w:gridCol w:w="2160"/>
        <w:gridCol w:w="2160"/>
      </w:tblGrid>
      <w:tr>
        <w:trPr>
          <w:cantSplit/>
          <w:tblHeader/>
        </w:trPr>
        <w:tc>
          <w:tcPr>
            <w:tcW w:type="dxa" w:w="5760"/>
            <w:vAlign w:val="center"/>
            <w:tcMar>
              <w:top w:w="85" w:type="dxa"/>
              <w:bottom w:w="85" w:type="dxa"/>
              <w:left w:w="85" w:type="dxa"/>
              <w:right w:w="85" w:type="dxa"/>
            </w:tcMar>
            <w:shd w:fill="334155"/>
          </w:tcPr>
          <w:p>
            <w:pPr>
              <w:spacing w:after="0" w:line="245" w:lineRule="auto"/>
              <w:jc w:val="left"/>
            </w:pPr>
            <w:r>
              <w:rPr>
                <w:rFonts w:ascii="Arial" w:hAnsi="Arial"/>
                <w:b/>
                <w:color w:val="FFFFFF"/>
                <w:sz w:val="20"/>
              </w:rPr>
              <w:t>Historical test run</w:t>
            </w:r>
          </w:p>
        </w:tc>
        <w:tc>
          <w:tcPr>
            <w:tcW w:type="dxa" w:w="2160"/>
            <w:vAlign w:val="center"/>
            <w:tcMar>
              <w:top w:w="85" w:type="dxa"/>
              <w:bottom w:w="85" w:type="dxa"/>
              <w:left w:w="85" w:type="dxa"/>
              <w:right w:w="85" w:type="dxa"/>
            </w:tcMar>
            <w:shd w:fill="334155"/>
          </w:tcPr>
          <w:p>
            <w:pPr>
              <w:spacing w:after="0" w:line="245" w:lineRule="auto"/>
              <w:jc w:val="center"/>
            </w:pPr>
            <w:r>
              <w:rPr>
                <w:rFonts w:ascii="Arial" w:hAnsi="Arial"/>
                <w:b/>
                <w:color w:val="FFFFFF"/>
                <w:sz w:val="20"/>
              </w:rPr>
              <w:t>Accuracy</w:t>
            </w:r>
          </w:p>
        </w:tc>
        <w:tc>
          <w:tcPr>
            <w:tcW w:type="dxa" w:w="2160"/>
            <w:vAlign w:val="center"/>
            <w:tcMar>
              <w:top w:w="85" w:type="dxa"/>
              <w:bottom w:w="85" w:type="dxa"/>
              <w:left w:w="85" w:type="dxa"/>
              <w:right w:w="85" w:type="dxa"/>
            </w:tcMar>
            <w:shd w:fill="334155"/>
          </w:tcPr>
          <w:p>
            <w:pPr>
              <w:spacing w:after="0" w:line="245" w:lineRule="auto"/>
              <w:jc w:val="center"/>
            </w:pPr>
            <w:r>
              <w:rPr>
                <w:rFonts w:ascii="Arial" w:hAnsi="Arial"/>
                <w:b/>
                <w:color w:val="FFFFFF"/>
                <w:sz w:val="20"/>
              </w:rPr>
              <w:t>Macro F1</w:t>
            </w:r>
          </w:p>
        </w:tc>
      </w:tr>
      <w:tr>
        <w:trPr>
          <w:cantSplit/>
        </w:trPr>
        <w:tc>
          <w:tcPr>
            <w:tcW w:type="dxa" w:w="5760"/>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Majority baseline</w:t>
            </w:r>
          </w:p>
        </w:tc>
        <w:tc>
          <w:tcPr>
            <w:tcW w:type="dxa" w:w="2160"/>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0.485714</w:t>
            </w:r>
          </w:p>
        </w:tc>
        <w:tc>
          <w:tcPr>
            <w:tcW w:type="dxa" w:w="2160"/>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0.217949</w:t>
            </w:r>
          </w:p>
        </w:tc>
      </w:tr>
      <w:tr>
        <w:trPr>
          <w:cantSplit/>
        </w:trPr>
        <w:tc>
          <w:tcPr>
            <w:tcW w:type="dxa" w:w="5760"/>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Keyword baseline</w:t>
            </w:r>
          </w:p>
        </w:tc>
        <w:tc>
          <w:tcPr>
            <w:tcW w:type="dxa" w:w="2160"/>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0.257143</w:t>
            </w:r>
          </w:p>
        </w:tc>
        <w:tc>
          <w:tcPr>
            <w:tcW w:type="dxa" w:w="2160"/>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0.227094</w:t>
            </w:r>
          </w:p>
        </w:tc>
      </w:tr>
      <w:tr>
        <w:trPr>
          <w:cantSplit/>
        </w:trPr>
        <w:tc>
          <w:tcPr>
            <w:tcW w:type="dxa" w:w="5760"/>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Unadapted model</w:t>
            </w:r>
          </w:p>
        </w:tc>
        <w:tc>
          <w:tcPr>
            <w:tcW w:type="dxa" w:w="2160"/>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0.342857</w:t>
            </w:r>
          </w:p>
        </w:tc>
        <w:tc>
          <w:tcPr>
            <w:tcW w:type="dxa" w:w="2160"/>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0.258385</w:t>
            </w:r>
          </w:p>
        </w:tc>
      </w:tr>
      <w:tr>
        <w:trPr>
          <w:cantSplit/>
        </w:trPr>
        <w:tc>
          <w:tcPr>
            <w:tcW w:type="dxa" w:w="5760"/>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Original LoRA</w:t>
            </w:r>
          </w:p>
        </w:tc>
        <w:tc>
          <w:tcPr>
            <w:tcW w:type="dxa" w:w="2160"/>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0.485714</w:t>
            </w:r>
          </w:p>
        </w:tc>
        <w:tc>
          <w:tcPr>
            <w:tcW w:type="dxa" w:w="2160"/>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0.217949</w:t>
            </w:r>
          </w:p>
        </w:tc>
      </w:tr>
    </w:tbl>
    <w:p>
      <w:pPr>
        <w:pStyle w:val="Heading1"/>
        <w:pageBreakBefore/>
        <w:widowControl/>
      </w:pPr>
      <w:r>
        <w:t>Controlled comparisons and error analysis</w:t>
      </w:r>
    </w:p>
    <w:p>
      <w:pPr>
        <w:pStyle w:val="Heading2"/>
        <w:widowControl/>
      </w:pPr>
      <w:r>
        <w:t>7  Controlled experiments A through D</w:t>
      </w:r>
    </w:p>
    <w:p>
      <w:pPr>
        <w:widowControl/>
        <w:spacing w:after="100"/>
      </w:pPr>
      <w:r>
        <w:rPr>
          <w:sz w:val="19"/>
        </w:rPr>
        <w:t>5:50–7:05  |  75 seconds</w:t>
      </w:r>
    </w:p>
    <w:p>
      <w:pPr>
        <w:widowControl/>
      </w:pPr>
      <w:r>
        <w:rPr>
          <w:b/>
        </w:rPr>
        <w:t xml:space="preserve">Purpose </w:t>
      </w:r>
      <w:r>
        <w:t>Explain each change as a testable decision rather than a list of training runs.</w:t>
      </w:r>
    </w:p>
    <w:p>
      <w:pPr>
        <w:widowControl/>
      </w:pPr>
      <w:r>
        <w:rPr>
          <w:b/>
        </w:rPr>
        <w:t xml:space="preserve">On screen </w:t>
      </w:r>
      <w:r>
        <w:t>A: unweighted closed A/B/C cross-entropy. B: same setup with training-count class weights. C: B setup with learning rate reduced from 0.0002 to 0.0001. D: a fresh five-epoch run at 0.0001.</w:t>
      </w:r>
    </w:p>
    <w:p>
      <w:pPr>
        <w:widowControl/>
      </w:pPr>
      <w:r>
        <w:rPr>
          <w:b/>
        </w:rPr>
        <w:t xml:space="preserve">Visual </w:t>
      </w:r>
      <w:r>
        <w:t>A four-step experiment strip plus a validation macro F1 bar chart using the page 2 values. Label the selected epoch on each bar. A and B started from matching fresh initialization.</w:t>
      </w:r>
    </w:p>
    <w:p>
      <w:pPr>
        <w:widowControl/>
      </w:pPr>
      <w:r>
        <w:rPr>
          <w:b/>
        </w:rPr>
        <w:t xml:space="preserve">Speaking sequence </w:t>
      </w:r>
      <w:r>
        <w:t>1. Explain restricting the loss to the three answer choices. 2. Explain why class weighting tested the imbalance problem. 3. Explain why a lower learning rate was tested. 4. Explain why more training was tested. 5. Select B by the highest observed validation macro F1 and acknowledge the very small B–D difference.</w:t>
      </w:r>
    </w:p>
    <w:p>
      <w:pPr>
        <w:widowControl/>
      </w:pPr>
      <w:r>
        <w:rPr>
          <w:b/>
        </w:rPr>
        <w:t xml:space="preserve">Decision rationale </w:t>
      </w:r>
      <w:r>
        <w:t>Hold data, prompt, adapter configuration and initialization checks fixed where specified so the intended change is interpretable. For B, each weight is the total number of training passages divided by three times that class count. C changes only the learning rate relative to B.</w:t>
      </w:r>
    </w:p>
    <w:p>
      <w:pPr>
        <w:widowControl/>
        <w:spacing w:after="100"/>
      </w:pPr>
      <w:r>
        <w:rPr>
          <w:sz w:val="19"/>
        </w:rPr>
        <w:t>Evidence and checks: Executed 07-2 and 08-5 notebooks and A–D archives. D was not a continuation of C: planned steps changed from 54 to 90, warmup from 5 to 9, and the decay schedule changed from the start.</w:t>
      </w:r>
    </w:p>
    <w:p>
      <w:pPr>
        <w:pStyle w:val="Heading2"/>
        <w:widowControl/>
      </w:pPr>
      <w:r>
        <w:t>8  Best observed result and error patterns</w:t>
      </w:r>
    </w:p>
    <w:p>
      <w:pPr>
        <w:widowControl/>
        <w:spacing w:after="100"/>
      </w:pPr>
      <w:r>
        <w:rPr>
          <w:sz w:val="19"/>
        </w:rPr>
        <w:t>7:05–8:15  |  70 seconds</w:t>
      </w:r>
    </w:p>
    <w:p>
      <w:pPr>
        <w:widowControl/>
      </w:pPr>
      <w:r>
        <w:rPr>
          <w:b/>
        </w:rPr>
        <w:t xml:space="preserve">Purpose </w:t>
      </w:r>
      <w:r>
        <w:t>Translate aggregate scores into the kinds of mistakes the prototype makes.</w:t>
      </w:r>
    </w:p>
    <w:p>
      <w:pPr>
        <w:widowControl/>
      </w:pPr>
      <w:r>
        <w:rPr>
          <w:b/>
        </w:rPr>
        <w:t xml:space="preserve">On screen </w:t>
      </w:r>
      <w:r>
        <w:t>B: 19/33 correct, macro F1 0.4649. Recall: specific 83.3%, general 28.6%, background 25.0%. Ten of fourteen errors were general or background passages predicted as specific.</w:t>
      </w:r>
    </w:p>
    <w:p>
      <w:pPr>
        <w:widowControl/>
      </w:pPr>
      <w:r>
        <w:rPr>
          <w:b/>
        </w:rPr>
        <w:t xml:space="preserve">Visual </w:t>
      </w:r>
      <w:r>
        <w:t>A confusion matrix with actual rows and predicted columns, plus one or two short error examples. Use descriptive class names and visible counts.</w:t>
      </w:r>
    </w:p>
    <w:p>
      <w:pPr>
        <w:widowControl/>
      </w:pPr>
      <w:r>
        <w:rPr>
          <w:b/>
        </w:rPr>
        <w:t xml:space="preserve">Speaking sequence </w:t>
      </w:r>
      <w:r>
        <w:t>1. State the selected result. 2. Read one row of the matrix for the audience. 3. Contrast the strong specific recall with weak recovery of other classes. 4. Show an error example. 5. Explain that audited labels are comparison targets and can themselves be debatable.</w:t>
      </w:r>
    </w:p>
    <w:p>
      <w:pPr>
        <w:widowControl/>
      </w:pPr>
      <w:r>
        <w:rPr>
          <w:b/>
        </w:rPr>
        <w:t xml:space="preserve">Decision rationale </w:t>
      </w:r>
      <w:r>
        <w:t>Class-level results connect evaluation to usefulness: an information finder that flags too many generic or contextual passages still needs close review. Examples help explain the score without overstating certainty.</w:t>
      </w:r>
    </w:p>
    <w:p>
      <w:pPr>
        <w:widowControl/>
        <w:spacing w:after="100"/>
      </w:pPr>
      <w:r>
        <w:rPr>
          <w:sz w:val="19"/>
        </w:rPr>
        <w:t>Evidence and checks: B validation predictions and error review. “First off, this is not an album for your jazz snob.” was audited as general and predicted specific, with medium ambiguity. “Enough already: onto the music.” was audited as background and predicted specific.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96"/>
        <w:gridCol w:w="1728"/>
        <w:gridCol w:w="1728"/>
        <w:gridCol w:w="1728"/>
      </w:tblGrid>
      <w:tr>
        <w:trPr>
          <w:cantSplit/>
          <w:tblHeader/>
        </w:trPr>
        <w:tc>
          <w:tcPr>
            <w:tcW w:type="dxa" w:w="4896"/>
            <w:vAlign w:val="center"/>
            <w:tcMar>
              <w:top w:w="85" w:type="dxa"/>
              <w:bottom w:w="85" w:type="dxa"/>
              <w:left w:w="85" w:type="dxa"/>
              <w:right w:w="85" w:type="dxa"/>
            </w:tcMar>
            <w:shd w:fill="334155"/>
          </w:tcPr>
          <w:p>
            <w:pPr>
              <w:spacing w:after="0" w:line="245" w:lineRule="auto"/>
              <w:jc w:val="left"/>
            </w:pPr>
            <w:r>
              <w:rPr>
                <w:rFonts w:ascii="Arial" w:hAnsi="Arial"/>
                <w:b/>
                <w:color w:val="FFFFFF"/>
                <w:sz w:val="20"/>
              </w:rPr>
              <w:t>Actual class / predicted class</w:t>
            </w:r>
          </w:p>
        </w:tc>
        <w:tc>
          <w:tcPr>
            <w:tcW w:type="dxa" w:w="1728"/>
            <w:vAlign w:val="center"/>
            <w:tcMar>
              <w:top w:w="85" w:type="dxa"/>
              <w:bottom w:w="85" w:type="dxa"/>
              <w:left w:w="85" w:type="dxa"/>
              <w:right w:w="85" w:type="dxa"/>
            </w:tcMar>
            <w:shd w:fill="334155"/>
          </w:tcPr>
          <w:p>
            <w:pPr>
              <w:spacing w:after="0" w:line="245" w:lineRule="auto"/>
              <w:jc w:val="center"/>
            </w:pPr>
            <w:r>
              <w:rPr>
                <w:rFonts w:ascii="Arial" w:hAnsi="Arial"/>
                <w:b/>
                <w:color w:val="FFFFFF"/>
                <w:sz w:val="20"/>
              </w:rPr>
              <w:t>Specific</w:t>
            </w:r>
          </w:p>
        </w:tc>
        <w:tc>
          <w:tcPr>
            <w:tcW w:type="dxa" w:w="1728"/>
            <w:vAlign w:val="center"/>
            <w:tcMar>
              <w:top w:w="85" w:type="dxa"/>
              <w:bottom w:w="85" w:type="dxa"/>
              <w:left w:w="85" w:type="dxa"/>
              <w:right w:w="85" w:type="dxa"/>
            </w:tcMar>
            <w:shd w:fill="334155"/>
          </w:tcPr>
          <w:p>
            <w:pPr>
              <w:spacing w:after="0" w:line="245" w:lineRule="auto"/>
              <w:jc w:val="center"/>
            </w:pPr>
            <w:r>
              <w:rPr>
                <w:rFonts w:ascii="Arial" w:hAnsi="Arial"/>
                <w:b/>
                <w:color w:val="FFFFFF"/>
                <w:sz w:val="20"/>
              </w:rPr>
              <w:t>General</w:t>
            </w:r>
          </w:p>
        </w:tc>
        <w:tc>
          <w:tcPr>
            <w:tcW w:type="dxa" w:w="1728"/>
            <w:vAlign w:val="center"/>
            <w:tcMar>
              <w:top w:w="85" w:type="dxa"/>
              <w:bottom w:w="85" w:type="dxa"/>
              <w:left w:w="85" w:type="dxa"/>
              <w:right w:w="85" w:type="dxa"/>
            </w:tcMar>
            <w:shd w:fill="334155"/>
          </w:tcPr>
          <w:p>
            <w:pPr>
              <w:spacing w:after="0" w:line="245" w:lineRule="auto"/>
              <w:jc w:val="center"/>
            </w:pPr>
            <w:r>
              <w:rPr>
                <w:rFonts w:ascii="Arial" w:hAnsi="Arial"/>
                <w:b/>
                <w:color w:val="FFFFFF"/>
                <w:sz w:val="20"/>
              </w:rPr>
              <w:t>Background</w:t>
            </w:r>
          </w:p>
        </w:tc>
      </w:tr>
      <w:tr>
        <w:trPr>
          <w:cantSplit/>
        </w:trPr>
        <w:tc>
          <w:tcPr>
            <w:tcW w:type="dxa" w:w="489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Specific musical observation</w:t>
            </w:r>
          </w:p>
        </w:tc>
        <w:tc>
          <w:tcPr>
            <w:tcW w:type="dxa" w:w="1728"/>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15</w:t>
            </w:r>
          </w:p>
        </w:tc>
        <w:tc>
          <w:tcPr>
            <w:tcW w:type="dxa" w:w="1728"/>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2</w:t>
            </w:r>
          </w:p>
        </w:tc>
        <w:tc>
          <w:tcPr>
            <w:tcW w:type="dxa" w:w="1728"/>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1</w:t>
            </w:r>
          </w:p>
        </w:tc>
      </w:tr>
      <w:tr>
        <w:trPr>
          <w:cantSplit/>
        </w:trPr>
        <w:tc>
          <w:tcPr>
            <w:tcW w:type="dxa" w:w="489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General opinion</w:t>
            </w:r>
          </w:p>
        </w:tc>
        <w:tc>
          <w:tcPr>
            <w:tcW w:type="dxa" w:w="1728"/>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4</w:t>
            </w:r>
          </w:p>
        </w:tc>
        <w:tc>
          <w:tcPr>
            <w:tcW w:type="dxa" w:w="1728"/>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2</w:t>
            </w:r>
          </w:p>
        </w:tc>
        <w:tc>
          <w:tcPr>
            <w:tcW w:type="dxa" w:w="1728"/>
            <w:vAlign w:val="center"/>
            <w:tcMar>
              <w:top w:w="85" w:type="dxa"/>
              <w:bottom w:w="85" w:type="dxa"/>
              <w:left w:w="85" w:type="dxa"/>
              <w:right w:w="85" w:type="dxa"/>
            </w:tcMar>
            <w:shd w:fill="F2F4F7"/>
          </w:tcPr>
          <w:p>
            <w:pPr>
              <w:spacing w:after="0" w:line="245" w:lineRule="auto"/>
              <w:jc w:val="center"/>
            </w:pPr>
            <w:r>
              <w:rPr>
                <w:rFonts w:ascii="Arial" w:hAnsi="Arial"/>
                <w:b w:val="0"/>
                <w:color w:val="000000"/>
                <w:sz w:val="20"/>
              </w:rPr>
              <w:t>1</w:t>
            </w:r>
          </w:p>
        </w:tc>
      </w:tr>
      <w:tr>
        <w:trPr>
          <w:cantSplit/>
        </w:trPr>
        <w:tc>
          <w:tcPr>
            <w:tcW w:type="dxa" w:w="489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Background or other</w:t>
            </w:r>
          </w:p>
        </w:tc>
        <w:tc>
          <w:tcPr>
            <w:tcW w:type="dxa" w:w="1728"/>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6</w:t>
            </w:r>
          </w:p>
        </w:tc>
        <w:tc>
          <w:tcPr>
            <w:tcW w:type="dxa" w:w="1728"/>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0</w:t>
            </w:r>
          </w:p>
        </w:tc>
        <w:tc>
          <w:tcPr>
            <w:tcW w:type="dxa" w:w="1728"/>
            <w:vAlign w:val="center"/>
            <w:tcMar>
              <w:top w:w="85" w:type="dxa"/>
              <w:bottom w:w="85" w:type="dxa"/>
              <w:left w:w="85" w:type="dxa"/>
              <w:right w:w="85" w:type="dxa"/>
            </w:tcMar>
            <w:shd w:fill="FFFFFF"/>
          </w:tcPr>
          <w:p>
            <w:pPr>
              <w:spacing w:after="0" w:line="245" w:lineRule="auto"/>
              <w:jc w:val="center"/>
            </w:pPr>
            <w:r>
              <w:rPr>
                <w:rFonts w:ascii="Arial" w:hAnsi="Arial"/>
                <w:b w:val="0"/>
                <w:color w:val="000000"/>
                <w:sz w:val="20"/>
              </w:rPr>
              <w:t>2</w:t>
            </w:r>
          </w:p>
        </w:tc>
      </w:tr>
    </w:tbl>
    <w:p>
      <w:pPr>
        <w:pStyle w:val="Heading1"/>
        <w:pageBreakBefore/>
        <w:widowControl/>
      </w:pPr>
      <w:r>
        <w:t>Limitations and GenAI reflection</w:t>
      </w:r>
    </w:p>
    <w:p>
      <w:pPr>
        <w:pStyle w:val="Heading2"/>
        <w:widowControl/>
      </w:pPr>
      <w:r>
        <w:t>9  Limitations and reliability checks</w:t>
      </w:r>
    </w:p>
    <w:p>
      <w:pPr>
        <w:widowControl/>
        <w:spacing w:after="100"/>
      </w:pPr>
      <w:r>
        <w:rPr>
          <w:sz w:val="19"/>
        </w:rPr>
        <w:t>8:15–9:10  |  55 seconds</w:t>
      </w:r>
    </w:p>
    <w:p>
      <w:pPr>
        <w:widowControl/>
      </w:pPr>
      <w:r>
        <w:rPr>
          <w:b/>
        </w:rPr>
        <w:t xml:space="preserve">Purpose </w:t>
      </w:r>
      <w:r>
        <w:t>Separate what was verified about execution from what remains uncertain about generalization.</w:t>
      </w:r>
    </w:p>
    <w:p>
      <w:pPr>
        <w:widowControl/>
      </w:pPr>
      <w:r>
        <w:rPr>
          <w:b/>
        </w:rPr>
        <w:t xml:space="preserve">On screen </w:t>
      </w:r>
      <w:r>
        <w:t>Limited and imbalanced labeled data; context loss; bounded English sample; AI-assisted evaluation labels; no fresh human-independent test. Repeated validation comparisons also limit claims about unseen performance.</w:t>
      </w:r>
    </w:p>
    <w:p>
      <w:pPr>
        <w:widowControl/>
      </w:pPr>
      <w:r>
        <w:rPr>
          <w:b/>
        </w:rPr>
        <w:t xml:space="preserve">Visual </w:t>
      </w:r>
      <w:r>
        <w:t>Two short columns titled Evaluation limits and Execution checks. Keep the checks secondary to the limits; avoid a wall of technical output.</w:t>
      </w:r>
    </w:p>
    <w:p>
      <w:pPr>
        <w:widowControl/>
      </w:pPr>
      <w:r>
        <w:rPr>
          <w:b/>
        </w:rPr>
        <w:t xml:space="preserve">Speaking sequence </w:t>
      </w:r>
      <w:r>
        <w:t>1. Explain the small validation sample and class imbalance. 2. State the label-independence limitation. 3. Explain why the selected result is a validation result. 4. Name the strongest reproducibility checks. 5. Close with what those checks establish and what they cannot establish.</w:t>
      </w:r>
    </w:p>
    <w:p>
      <w:pPr>
        <w:widowControl/>
      </w:pPr>
      <w:r>
        <w:rPr>
          <w:b/>
        </w:rPr>
        <w:t xml:space="preserve">Decision rationale </w:t>
      </w:r>
      <w:r>
        <w:t>Reload and fingerprint checks support confidence that the saved experiments behaved as recorded. They do not establish label correctness, statistical significance or performance on a new population.</w:t>
      </w:r>
    </w:p>
    <w:p>
      <w:pPr>
        <w:widowControl/>
        <w:spacing w:after="100"/>
      </w:pPr>
      <w:r>
        <w:rPr>
          <w:sz w:val="19"/>
        </w:rPr>
        <w:t>Evidence and checks: Frozen-base and same-initialization fingerprints, saved-model reload prediction checks, A–D backups, and all five D checkpoint reload checks passed. D training accuracy 0.614286 and macro F1 0.486976 do not by themselves diagnose the cause of limited performance.</w:t>
      </w:r>
    </w:p>
    <w:p>
      <w:pPr>
        <w:pStyle w:val="Heading2"/>
        <w:widowControl/>
      </w:pPr>
      <w:r>
        <w:t>10  GenAI reflection</w:t>
      </w:r>
    </w:p>
    <w:p>
      <w:pPr>
        <w:widowControl/>
        <w:spacing w:after="100"/>
      </w:pPr>
      <w:r>
        <w:rPr>
          <w:sz w:val="19"/>
        </w:rPr>
        <w:t>9:10–11:40  |  2 minutes 30 seconds</w:t>
      </w:r>
    </w:p>
    <w:p>
      <w:pPr>
        <w:widowControl/>
      </w:pPr>
      <w:r>
        <w:rPr>
          <w:b/>
        </w:rPr>
        <w:t xml:space="preserve">Purpose </w:t>
      </w:r>
      <w:r>
        <w:t>Show specific assistance, verification, mistakes and responsibility, rather than offering a generic opinion about AI.</w:t>
      </w:r>
    </w:p>
    <w:p>
      <w:pPr>
        <w:widowControl/>
      </w:pPr>
      <w:r>
        <w:rPr>
          <w:b/>
        </w:rPr>
        <w:t xml:space="preserve">On screen </w:t>
      </w:r>
      <w:r>
        <w:t>One concise workflow showing AI assistance, Aaron’s execution and review, and evidence checks. Highlight code support, label auditing and debugging. Add one concrete AI mistake and its correction.</w:t>
      </w:r>
    </w:p>
    <w:p>
      <w:pPr>
        <w:widowControl/>
      </w:pPr>
      <w:r>
        <w:rPr>
          <w:b/>
        </w:rPr>
        <w:t xml:space="preserve">Visual </w:t>
      </w:r>
      <w:r>
        <w:t>A before-and-after example of the missing-helper diagnostic failure and the corrected diagnostic, with readable text rather than a notebook code wall. A compact contribution map can accompany it.</w:t>
      </w:r>
    </w:p>
    <w:p>
      <w:pPr>
        <w:widowControl/>
      </w:pPr>
      <w:r>
        <w:rPr>
          <w:b/>
        </w:rPr>
        <w:t xml:space="preserve">Speaking sequence </w:t>
      </w:r>
      <w:r>
        <w:t>0:00–0:30 describe where assistance entered the project. 0:30–1:05 give one useful code or experiment-planning example. 1:05–1:40 explain the nonblinded label audit and its evaluation cost. 1:40–2:10 discuss the missing-helper bug and how outputs were checked. 2:10–2:30 give Aaron’s own learning and accountability statement.</w:t>
      </w:r>
    </w:p>
    <w:p>
      <w:pPr>
        <w:widowControl/>
      </w:pPr>
      <w:r>
        <w:rPr>
          <w:b/>
        </w:rPr>
        <w:t xml:space="preserve">Decision rationale </w:t>
      </w:r>
      <w:r>
        <w:t>The assignment requires a dedicated reflection within the overall video. Specific benefits and failures make that reflection credible. Personal learning must come from Aaron rather than being inferred from tool activity.</w:t>
      </w:r>
    </w:p>
    <w:p>
      <w:pPr>
        <w:widowControl/>
        <w:spacing w:after="100"/>
      </w:pPr>
      <w:r>
        <w:rPr>
          <w:sz w:val="19"/>
        </w:rPr>
        <w:t>Evidence and checks: Aaron ran experiments and reviewed outputs. Codex helped with code, including the descriptive VADER analysis, semantic audit and debugging. A D diagnostic initially lacked two helper functions; the failure was preserved and the diagnostic fixed without retraining. An earlier AI description incorrectly framed the task as sentiment analysis.</w:t>
      </w:r>
    </w:p>
    <w:p>
      <w:pPr>
        <w:widowControl/>
        <w:spacing w:after="100"/>
      </w:pPr>
      <w:r>
        <w:rPr>
          <w:sz w:val="19"/>
        </w:rPr>
        <w:t>Consolidate AI coding assistance in this final reflection. Keep label and evaluation provenance beside the relevant methods and results. Do not claim independent authorship of all code or acceptance of every audited label. Use page 8 for Aaron’s personal reflection.</w:t>
      </w:r>
    </w:p>
    <w:p>
      <w:pPr>
        <w:pStyle w:val="Heading1"/>
        <w:pageBreakBefore/>
        <w:widowControl/>
      </w:pPr>
      <w:r>
        <w:t>Conclusion and script preparation</w:t>
      </w:r>
    </w:p>
    <w:p>
      <w:pPr>
        <w:pStyle w:val="Heading2"/>
        <w:widowControl/>
      </w:pPr>
      <w:r>
        <w:t>11  Conclusion and project handoff</w:t>
      </w:r>
    </w:p>
    <w:p>
      <w:pPr>
        <w:widowControl/>
        <w:spacing w:after="100"/>
      </w:pPr>
      <w:r>
        <w:rPr>
          <w:sz w:val="19"/>
        </w:rPr>
        <w:t>11:40–13:00  |  80 seconds</w:t>
      </w:r>
    </w:p>
    <w:p>
      <w:pPr>
        <w:widowControl/>
      </w:pPr>
      <w:r>
        <w:rPr>
          <w:b/>
        </w:rPr>
        <w:t xml:space="preserve">Purpose </w:t>
      </w:r>
      <w:r>
        <w:t>Answer the opening question, state the project contribution and close with an accurate evidence boundary.</w:t>
      </w:r>
    </w:p>
    <w:p>
      <w:pPr>
        <w:widowControl/>
      </w:pPr>
      <w:r>
        <w:rPr>
          <w:b/>
        </w:rPr>
        <w:t xml:space="preserve">On screen </w:t>
      </w:r>
      <w:r>
        <w:t>An end-to-end passage-classification workflow was built. B had the highest observed validation macro F1 at 0.4649, with 57.58% accuracy. Prediction bias and evaluation-label independence remain central limitations.</w:t>
      </w:r>
    </w:p>
    <w:p>
      <w:pPr>
        <w:widowControl/>
      </w:pPr>
      <w:r>
        <w:rPr>
          <w:b/>
        </w:rPr>
        <w:t xml:space="preserve">Visual </w:t>
      </w:r>
      <w:r>
        <w:t>Revisit the collection-to-evaluation workflow from the opening. Add three final takeaways and, only when verified, a readable GitHub repository link or QR code.</w:t>
      </w:r>
    </w:p>
    <w:p>
      <w:pPr>
        <w:widowControl/>
      </w:pPr>
      <w:r>
        <w:rPr>
          <w:b/>
        </w:rPr>
        <w:t xml:space="preserve">Speaking sequence </w:t>
      </w:r>
      <w:r>
        <w:t>1. Answer the research question with the measured outcome. 2. Name the main learning from the experiment sequence: class weighting improved the observed balance relative to A, while later changes did not exceed B’s macro F1. 3. Explain the remaining limits. 4. Identify independent label review and an untouched evaluation set as evidence needed for a stronger claim. 5. Point to the verified repository and close.</w:t>
      </w:r>
    </w:p>
    <w:p>
      <w:pPr>
        <w:widowControl/>
      </w:pPr>
      <w:r>
        <w:rPr>
          <w:b/>
        </w:rPr>
        <w:t xml:space="preserve">Decision rationale </w:t>
      </w:r>
      <w:r>
        <w:t>The ending should match the opening question and the evidence. An honest account of a working adaptation experiment can be valuable even when the desired accuracy is not reached. Keep proposed future evaluation clearly separate from work already completed.</w:t>
      </w:r>
    </w:p>
    <w:p>
      <w:pPr>
        <w:widowControl/>
        <w:spacing w:after="100"/>
      </w:pPr>
      <w:r>
        <w:rPr>
          <w:sz w:val="19"/>
        </w:rPr>
        <w:t>Evidence and checks: Use the validated comparison table, audit provenance and repository checks. Do not describe GitHub preparation, the recording or Canvas submission as complete before they are verified.</w:t>
      </w:r>
    </w:p>
    <w:p>
      <w:pPr>
        <w:pStyle w:val="Heading2"/>
        <w:widowControl/>
      </w:pPr>
      <w:r>
        <w:t>Questions Aaron answers before full narration</w:t>
      </w:r>
    </w:p>
    <w:p>
      <w:pPr>
        <w:pStyle w:val="ListBullet"/>
        <w:widowControl/>
      </w:pPr>
      <w:r>
        <w:t>Why did I choose music reviews, and what practical use did I initially have in mind? Give one true reason in a sentence.</w:t>
      </w:r>
    </w:p>
    <w:p>
      <w:pPr>
        <w:pStyle w:val="ListBullet"/>
        <w:widowControl/>
      </w:pPr>
      <w:r>
        <w:t>Which concept can I explain more clearly after this project: passage labeling, grouped splits, LoRA, class weighting, or evaluation? Give a concrete example rather than a broad claim about learning.</w:t>
      </w:r>
    </w:p>
    <w:p>
      <w:pPr>
        <w:pStyle w:val="ListBullet"/>
        <w:widowControl/>
      </w:pPr>
      <w:r>
        <w:t>Which AI suggestion did I verify or revise, and what evidence made me trust the correction? Use an actual action, output or error.</w:t>
      </w:r>
    </w:p>
    <w:p>
      <w:pPr>
        <w:pStyle w:val="ListBullet"/>
        <w:widowControl/>
      </w:pPr>
      <w:r>
        <w:t>What did I personally run, inspect and decide? Distinguish execution and review from AI-generated code or labels.</w:t>
      </w:r>
    </w:p>
    <w:p>
      <w:pPr>
        <w:pStyle w:val="ListBullet"/>
        <w:widowControl/>
      </w:pPr>
      <w:r>
        <w:t>How did the label audit affect my confidence in the evaluation? Explain both the help it provided and the independence it removed.</w:t>
      </w:r>
    </w:p>
    <w:p>
      <w:pPr>
        <w:pStyle w:val="ListBullet"/>
        <w:widowControl/>
      </w:pPr>
      <w:r>
        <w:t>What would I do differently in evaluating a future version? Keep this focused on evidence quality, without promising work that has not been approved.</w:t>
      </w:r>
    </w:p>
    <w:p>
      <w:pPr>
        <w:pStyle w:val="Heading2"/>
        <w:widowControl/>
      </w:pPr>
      <w:r>
        <w:t>Turning speaking beats into a script</w:t>
      </w:r>
    </w:p>
    <w:p>
      <w:pPr>
        <w:widowControl/>
      </w:pPr>
      <w:r>
        <w:t>Draft narration one slide at a time. Preserve the sequence of problem, decision, observation and implication. Write short transitions that explain why the next step follows. Read the technical terms aloud and define them before relying on them.</w:t>
      </w:r>
    </w:p>
    <w:p>
      <w:pPr>
        <w:widowControl/>
      </w:pPr>
      <w:r>
        <w:t>Rehearse against the 13-minute plan, including all transitions and the 2½-minute reflection. If the video runs long, shorten configuration detail and repeated background first. Keep the limitations and the required reflection intact. Prepare one concise answer to likely questions about the small labeled set, label provenance and why the historical test is separate.</w:t>
      </w:r>
    </w:p>
    <w:p>
      <w:pPr>
        <w:pStyle w:val="Heading1"/>
        <w:pageBreakBefore/>
        <w:widowControl/>
      </w:pPr>
      <w:r>
        <w:t>Decision log for the presentation narrative</w:t>
      </w:r>
    </w:p>
    <w:p>
      <w:pPr>
        <w:widowControl/>
      </w:pPr>
      <w:r>
        <w:t>Use these reasons to explain the work. They are defensible methodological rationales; Aaron should confirm which ones reflect his actual choices before using first-person claims about intent.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888"/>
        <w:gridCol w:w="3816"/>
      </w:tblGrid>
      <w:tr>
        <w:trPr>
          <w:cantSplit/>
          <w:tblHeader/>
        </w:trPr>
        <w:tc>
          <w:tcPr>
            <w:tcW w:type="dxa" w:w="2376"/>
            <w:vAlign w:val="center"/>
            <w:tcMar>
              <w:top w:w="85" w:type="dxa"/>
              <w:bottom w:w="85" w:type="dxa"/>
              <w:left w:w="85" w:type="dxa"/>
              <w:right w:w="85" w:type="dxa"/>
            </w:tcMar>
            <w:shd w:fill="334155"/>
          </w:tcPr>
          <w:p>
            <w:pPr>
              <w:spacing w:after="0" w:line="245" w:lineRule="auto"/>
              <w:jc w:val="left"/>
            </w:pPr>
            <w:r>
              <w:rPr>
                <w:rFonts w:ascii="Arial" w:hAnsi="Arial"/>
                <w:b/>
                <w:color w:val="FFFFFF"/>
                <w:sz w:val="20"/>
              </w:rPr>
              <w:t>Decision</w:t>
            </w:r>
          </w:p>
        </w:tc>
        <w:tc>
          <w:tcPr>
            <w:tcW w:type="dxa" w:w="3888"/>
            <w:vAlign w:val="center"/>
            <w:tcMar>
              <w:top w:w="85" w:type="dxa"/>
              <w:bottom w:w="85" w:type="dxa"/>
              <w:left w:w="85" w:type="dxa"/>
              <w:right w:w="85" w:type="dxa"/>
            </w:tcMar>
            <w:shd w:fill="334155"/>
          </w:tcPr>
          <w:p>
            <w:pPr>
              <w:spacing w:after="0" w:line="245" w:lineRule="auto"/>
              <w:jc w:val="left"/>
            </w:pPr>
            <w:r>
              <w:rPr>
                <w:rFonts w:ascii="Arial" w:hAnsi="Arial"/>
                <w:b/>
                <w:color w:val="FFFFFF"/>
                <w:sz w:val="20"/>
              </w:rPr>
              <w:t>Reason to explain</w:t>
            </w:r>
          </w:p>
        </w:tc>
        <w:tc>
          <w:tcPr>
            <w:tcW w:type="dxa" w:w="3816"/>
            <w:vAlign w:val="center"/>
            <w:tcMar>
              <w:top w:w="85" w:type="dxa"/>
              <w:bottom w:w="85" w:type="dxa"/>
              <w:left w:w="85" w:type="dxa"/>
              <w:right w:w="85" w:type="dxa"/>
            </w:tcMar>
            <w:shd w:fill="334155"/>
          </w:tcPr>
          <w:p>
            <w:pPr>
              <w:spacing w:after="0" w:line="245" w:lineRule="auto"/>
              <w:jc w:val="left"/>
            </w:pPr>
            <w:r>
              <w:rPr>
                <w:rFonts w:ascii="Arial" w:hAnsi="Arial"/>
                <w:b/>
                <w:color w:val="FFFFFF"/>
                <w:sz w:val="20"/>
              </w:rPr>
              <w:t>Tradeoff or qualification</w:t>
            </w:r>
          </w:p>
        </w:tc>
      </w:tr>
      <w:tr>
        <w:trPr>
          <w:cantSplit/>
        </w:trPr>
        <w:tc>
          <w:tcPr>
            <w:tcW w:type="dxa" w:w="237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Use three information types</w:t>
            </w:r>
          </w:p>
        </w:tc>
        <w:tc>
          <w:tcPr>
            <w:tcW w:type="dxa" w:w="3888"/>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Locate passages containing concrete musical description, general judgments or other context.</w:t>
            </w:r>
          </w:p>
        </w:tc>
        <w:tc>
          <w:tcPr>
            <w:tcW w:type="dxa" w:w="381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Some passages mix categories; guide boundaries and context matter.</w:t>
            </w:r>
          </w:p>
        </w:tc>
      </w:tr>
      <w:tr>
        <w:trPr>
          <w:cantSplit/>
        </w:trPr>
        <w:tc>
          <w:tcPr>
            <w:tcW w:type="dxa" w:w="237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Use CritiqueBrainz API and 500 English reviews</w:t>
            </w:r>
          </w:p>
        </w:tc>
        <w:tc>
          <w:tcPr>
            <w:tcW w:type="dxa" w:w="3888"/>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Provide a bounded, traceable source with review URLs and consistent retrieval settings.</w:t>
            </w:r>
          </w:p>
        </w:tc>
        <w:tc>
          <w:tcPr>
            <w:tcW w:type="dxa" w:w="381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Oldest-first sampling and English-only scope limit representativeness.</w:t>
            </w:r>
          </w:p>
        </w:tc>
      </w:tr>
      <w:tr>
        <w:trPr>
          <w:cantSplit/>
        </w:trPr>
        <w:tc>
          <w:tcPr>
            <w:tcW w:type="dxa" w:w="237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Remove markup and normalize spacing</w:t>
            </w:r>
          </w:p>
        </w:tc>
        <w:tc>
          <w:tcPr>
            <w:tcW w:type="dxa" w:w="3888"/>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Make raw review text usable while retaining case, punctuation and negation.</w:t>
            </w:r>
          </w:p>
        </w:tc>
        <w:tc>
          <w:tcPr>
            <w:tcW w:type="dxa" w:w="381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Cleaning does not solve ambiguity or preserve every contextual cue.</w:t>
            </w:r>
          </w:p>
        </w:tc>
      </w:tr>
      <w:tr>
        <w:trPr>
          <w:cantSplit/>
        </w:trPr>
        <w:tc>
          <w:tcPr>
            <w:tcW w:type="dxa" w:w="237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Classify passages rather than whole reviews</w:t>
            </w:r>
          </w:p>
        </w:tc>
        <w:tc>
          <w:tcPr>
            <w:tcW w:type="dxa" w:w="3888"/>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Match the intended unit of information retrieval.</w:t>
            </w:r>
          </w:p>
        </w:tc>
        <w:tc>
          <w:tcPr>
            <w:tcW w:type="dxa" w:w="381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Segmentation can detach a sentence from the context needed to interpret it.</w:t>
            </w:r>
          </w:p>
        </w:tc>
      </w:tr>
      <w:tr>
        <w:trPr>
          <w:cantSplit/>
        </w:trPr>
        <w:tc>
          <w:tcPr>
            <w:tcW w:type="dxa" w:w="237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Use a reviewed subset and a label guide</w:t>
            </w:r>
          </w:p>
        </w:tc>
        <w:tc>
          <w:tcPr>
            <w:tcW w:type="dxa" w:w="3888"/>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Create task-specific examples with clear class boundaries.</w:t>
            </w:r>
          </w:p>
        </w:tc>
        <w:tc>
          <w:tcPr>
            <w:tcW w:type="dxa" w:w="381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Only 208 usable labels; skipped and revised records need provenance.</w:t>
            </w:r>
          </w:p>
        </w:tc>
      </w:tr>
      <w:tr>
        <w:trPr>
          <w:cantSplit/>
        </w:trPr>
        <w:tc>
          <w:tcPr>
            <w:tcW w:type="dxa" w:w="237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Keep release groups in one split</w:t>
            </w:r>
          </w:p>
        </w:tc>
        <w:tc>
          <w:tcPr>
            <w:tcW w:type="dxa" w:w="3888"/>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Reduce related-material overlap across partitions.</w:t>
            </w:r>
          </w:p>
        </w:tc>
        <w:tc>
          <w:tcPr>
            <w:tcW w:type="dxa" w:w="381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Small partitions; passage counts are not release-group counts.</w:t>
            </w:r>
          </w:p>
        </w:tc>
      </w:tr>
      <w:tr>
        <w:trPr>
          <w:cantSplit/>
        </w:trPr>
        <w:tc>
          <w:tcPr>
            <w:tcW w:type="dxa" w:w="237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Run VADER on training passages</w:t>
            </w:r>
          </w:p>
        </w:tc>
        <w:tc>
          <w:tcPr>
            <w:tcW w:type="dxa" w:w="3888"/>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Follow course EDA methods without scoring validation or test rows.</w:t>
            </w:r>
          </w:p>
        </w:tc>
        <w:tc>
          <w:tcPr>
            <w:tcW w:type="dxa" w:w="381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Post-selection description only. Lexical scores are not gold labels or listener sentiment.</w:t>
            </w:r>
          </w:p>
        </w:tc>
      </w:tr>
      <w:tr>
        <w:trPr>
          <w:cantSplit/>
        </w:trPr>
        <w:tc>
          <w:tcPr>
            <w:tcW w:type="dxa" w:w="237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Apply a semantic label audit</w:t>
            </w:r>
          </w:p>
        </w:tc>
        <w:tc>
          <w:tcPr>
            <w:tcW w:type="dxa" w:w="3888"/>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Identify inconsistent labels or statuses.</w:t>
            </w:r>
          </w:p>
        </w:tc>
        <w:tc>
          <w:tcPr>
            <w:tcW w:type="dxa" w:w="381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All splits were AI-assisted and the audit was nonblinded; no independent human gold set remains.</w:t>
            </w:r>
          </w:p>
        </w:tc>
      </w:tr>
      <w:tr>
        <w:trPr>
          <w:cantSplit/>
        </w:trPr>
        <w:tc>
          <w:tcPr>
            <w:tcW w:type="dxa" w:w="237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Adapt a compact pretrained model with LoRA</w:t>
            </w:r>
          </w:p>
        </w:tc>
        <w:tc>
          <w:tcPr>
            <w:tcW w:type="dxa" w:w="3888"/>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Test task-specific learning while training a small fraction of the parameters.</w:t>
            </w:r>
          </w:p>
        </w:tc>
        <w:tc>
          <w:tcPr>
            <w:tcW w:type="dxa" w:w="381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Model and adapter choice do not establish an optimal architecture.</w:t>
            </w:r>
          </w:p>
        </w:tc>
      </w:tr>
      <w:tr>
        <w:trPr>
          <w:cantSplit/>
        </w:trPr>
        <w:tc>
          <w:tcPr>
            <w:tcW w:type="dxa" w:w="237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Compare simple baselines and macro F1</w:t>
            </w:r>
          </w:p>
        </w:tc>
        <w:tc>
          <w:tcPr>
            <w:tcW w:type="dxa" w:w="3888"/>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Reveal majority-class behavior and give each class equal weight in selection.</w:t>
            </w:r>
          </w:p>
        </w:tc>
        <w:tc>
          <w:tcPr>
            <w:tcW w:type="dxa" w:w="381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Small class supports make scores unstable; accuracy alone can be misleading.</w:t>
            </w:r>
          </w:p>
        </w:tc>
      </w:tr>
      <w:tr>
        <w:trPr>
          <w:cantSplit/>
        </w:trPr>
        <w:tc>
          <w:tcPr>
            <w:tcW w:type="dxa" w:w="237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Compare A and B using class weights</w:t>
            </w:r>
          </w:p>
        </w:tc>
        <w:tc>
          <w:tcPr>
            <w:tcW w:type="dxa" w:w="3888"/>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Test emphasis on smaller training classes.</w:t>
            </w:r>
          </w:p>
        </w:tc>
        <w:tc>
          <w:tcPr>
            <w:tcW w:type="dxa" w:w="381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B improves observed macro F1 over A; generalization is unproven.</w:t>
            </w:r>
          </w:p>
        </w:tc>
      </w:tr>
      <w:tr>
        <w:trPr>
          <w:cantSplit/>
        </w:trPr>
        <w:tc>
          <w:tcPr>
            <w:tcW w:type="dxa" w:w="237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Compare C and D with B</w:t>
            </w:r>
          </w:p>
        </w:tc>
        <w:tc>
          <w:tcPr>
            <w:tcW w:type="dxa" w:w="3888"/>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Test lower learning rate and a longer fresh training schedule.</w:t>
            </w:r>
          </w:p>
        </w:tc>
        <w:tc>
          <w:tcPr>
            <w:tcW w:type="dxa" w:w="3816"/>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D changes the schedule from the start; it is not a simple continuation of C.</w:t>
            </w:r>
          </w:p>
        </w:tc>
      </w:tr>
      <w:tr>
        <w:trPr>
          <w:cantSplit/>
        </w:trPr>
        <w:tc>
          <w:tcPr>
            <w:tcW w:type="dxa" w:w="237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Freeze and check saved artifacts</w:t>
            </w:r>
          </w:p>
        </w:tc>
        <w:tc>
          <w:tcPr>
            <w:tcW w:type="dxa" w:w="3888"/>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Make run identity and saved-model behavior auditable.</w:t>
            </w:r>
          </w:p>
        </w:tc>
        <w:tc>
          <w:tcPr>
            <w:tcW w:type="dxa" w:w="3816"/>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Checks do not validate labels or replace fresh evaluation.</w:t>
            </w:r>
          </w:p>
        </w:tc>
      </w:tr>
    </w:tbl>
    <w:p>
      <w:pPr>
        <w:pStyle w:val="Heading2"/>
        <w:widowControl/>
      </w:pPr>
      <w:r>
        <w:t>Language to keep precise</w:t>
      </w:r>
    </w:p>
    <w:p>
      <w:pPr>
        <w:widowControl/>
      </w:pPr>
      <w:r>
        <w:t>Use “highest observed validation macro F1” for B, “audited label” for its comparison target, and “140 training passages” for the VADER population. A zero compound score is not proven neutrality. Independent human evaluation remains a missing safeguard.</w:t>
      </w:r>
    </w:p>
    <w:p>
      <w:pPr>
        <w:pStyle w:val="Heading1"/>
        <w:pageBreakBefore/>
        <w:widowControl/>
      </w:pPr>
      <w:r>
        <w:t>Final checks and source map</w:t>
      </w:r>
    </w:p>
    <w:p>
      <w:pPr>
        <w:pStyle w:val="Heading2"/>
        <w:widowControl/>
      </w:pPr>
      <w:r>
        <w:t>Before building the slides</w:t>
      </w:r>
    </w:p>
    <w:p>
      <w:pPr>
        <w:pStyle w:val="ListBullet"/>
        <w:widowControl/>
      </w:pPr>
      <w:r>
        <w:t>Use the verified rubric map on page 1 and check current Canvas directions. The sentiment EDA requirement is now addressed. Present VADER as descriptive analysis of the 140 training passages, separate from the three-class modeling task.</w:t>
      </w:r>
    </w:p>
    <w:p>
      <w:pPr>
        <w:pStyle w:val="ListBullet"/>
        <w:widowControl/>
      </w:pPr>
      <w:r>
        <w:t>Confirm the opening motivation, personal reflection answers and decision rationales with Aaron. Approve the story before expanding it into a full script.</w:t>
      </w:r>
    </w:p>
    <w:p>
      <w:pPr>
        <w:pStyle w:val="ListBullet"/>
        <w:widowControl/>
      </w:pPr>
      <w:r>
        <w:t>Confirm chart populations and axes, including the completed training-only VADER histogram. Prepare a dataset flow, label/split flow, LoRA diagram, A–D validation chart and B confusion matrix.</w:t>
      </w:r>
    </w:p>
    <w:p>
      <w:pPr>
        <w:pStyle w:val="ListBullet"/>
        <w:widowControl/>
      </w:pPr>
      <w:r>
        <w:t>Match every displayed result to the correct split and run. Retain selected epochs, sample sizes and the distinction between validation and historical test results. Verify any missing value rather than filling it in.</w:t>
      </w:r>
    </w:p>
    <w:p>
      <w:pPr>
        <w:pStyle w:val="Heading2"/>
        <w:widowControl/>
      </w:pPr>
      <w:r>
        <w:t>Before recording and submission</w:t>
      </w:r>
    </w:p>
    <w:p>
      <w:pPr>
        <w:pStyle w:val="ListBullet"/>
        <w:widowControl/>
      </w:pPr>
      <w:r>
        <w:t>Check working commented code, dependencies, README files and reproducibility, including the new EDA script. Test the GitHub link and public or instructor-shared access.</w:t>
      </w:r>
    </w:p>
    <w:p>
      <w:pPr>
        <w:pStyle w:val="ListBullet"/>
        <w:widowControl/>
      </w:pPr>
      <w:r>
        <w:t>Review license and attribution obligations before publishing review text. All 500 metadata records indicate CC BY-NC-SA 3.0 and source URLs were retained, but redistribution clearance is still unverified.</w:t>
      </w:r>
    </w:p>
    <w:p>
      <w:pPr>
        <w:pStyle w:val="ListBullet"/>
        <w:widowControl/>
      </w:pPr>
      <w:r>
        <w:t>Rehearse 10–15 minutes total with a dedicated 2–3-minute GenAI reflection included. Confirm semitechnical language, legible visuals and no code walkthrough.</w:t>
      </w:r>
    </w:p>
    <w:p>
      <w:pPr>
        <w:pStyle w:val="ListBullet"/>
        <w:widowControl/>
      </w:pPr>
      <w:r>
        <w:t>Verify video playback and instructor access, then submit the video link through Canvas. Confirm the current deadline or late-submission arrangement and retain evidence of successful submission.</w:t>
      </w:r>
    </w:p>
    <w:p>
      <w:pPr>
        <w:pStyle w:val="Heading2"/>
        <w:widowControl/>
      </w:pPr>
      <w:r>
        <w:t>Evidence to keep with the working outline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552"/>
      </w:tblGrid>
      <w:tr>
        <w:trPr>
          <w:cantSplit/>
          <w:tblHeader/>
        </w:trPr>
        <w:tc>
          <w:tcPr>
            <w:tcW w:type="dxa" w:w="3528"/>
            <w:vAlign w:val="center"/>
            <w:tcMar>
              <w:top w:w="85" w:type="dxa"/>
              <w:bottom w:w="85" w:type="dxa"/>
              <w:left w:w="85" w:type="dxa"/>
              <w:right w:w="85" w:type="dxa"/>
            </w:tcMar>
            <w:shd w:fill="334155"/>
          </w:tcPr>
          <w:p>
            <w:pPr>
              <w:spacing w:after="0" w:line="245" w:lineRule="auto"/>
              <w:jc w:val="left"/>
            </w:pPr>
            <w:r>
              <w:rPr>
                <w:rFonts w:ascii="Arial" w:hAnsi="Arial"/>
                <w:b/>
                <w:color w:val="FFFFFF"/>
                <w:sz w:val="20"/>
              </w:rPr>
              <w:t>Claim or asset</w:t>
            </w:r>
          </w:p>
        </w:tc>
        <w:tc>
          <w:tcPr>
            <w:tcW w:type="dxa" w:w="6552"/>
            <w:vAlign w:val="center"/>
            <w:tcMar>
              <w:top w:w="85" w:type="dxa"/>
              <w:bottom w:w="85" w:type="dxa"/>
              <w:left w:w="85" w:type="dxa"/>
              <w:right w:w="85" w:type="dxa"/>
            </w:tcMar>
            <w:shd w:fill="334155"/>
          </w:tcPr>
          <w:p>
            <w:pPr>
              <w:spacing w:after="0" w:line="245" w:lineRule="auto"/>
              <w:jc w:val="left"/>
            </w:pPr>
            <w:r>
              <w:rPr>
                <w:rFonts w:ascii="Arial" w:hAnsi="Arial"/>
                <w:b/>
                <w:color w:val="FFFFFF"/>
                <w:sz w:val="20"/>
              </w:rPr>
              <w:t>Source to verify</w:t>
            </w:r>
          </w:p>
        </w:tc>
      </w:tr>
      <w:tr>
        <w:trPr>
          <w:cantSplit/>
        </w:trPr>
        <w:tc>
          <w:tcPr>
            <w:tcW w:type="dxa" w:w="3528"/>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Assignment scope and required deliverables</w:t>
            </w:r>
          </w:p>
        </w:tc>
        <w:tc>
          <w:tcPr>
            <w:tcW w:type="dxa" w:w="6552"/>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Original assignment text in the October 10 project discussion; Final Project 7.1 Scoring Rubric images uploaded October 19; current Canvas directions.</w:t>
            </w:r>
          </w:p>
        </w:tc>
      </w:tr>
      <w:tr>
        <w:trPr>
          <w:cantSplit/>
        </w:trPr>
        <w:tc>
          <w:tcPr>
            <w:tcW w:type="dxa" w:w="3528"/>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Collection filters and counts</w:t>
            </w:r>
          </w:p>
        </w:tc>
        <w:tc>
          <w:tcPr>
            <w:tcW w:type="dxa" w:w="6552"/>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collection_config.json and collection_audit.json</w:t>
            </w:r>
          </w:p>
        </w:tc>
      </w:tr>
      <w:tr>
        <w:trPr>
          <w:cantSplit/>
        </w:trPr>
        <w:tc>
          <w:tcPr>
            <w:tcW w:type="dxa" w:w="3528"/>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Completed sentiment EDA</w:t>
            </w:r>
          </w:p>
        </w:tc>
        <w:tc>
          <w:tcPr>
            <w:tcW w:type="dxa" w:w="6552"/>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09_training_sentiment_EDA_VADER; analyze_training_vader.py; results/training_vader_sentiment.png and SVG; score CSV, summary JSON, reproduction notes and hashes.</w:t>
            </w:r>
          </w:p>
        </w:tc>
      </w:tr>
      <w:tr>
        <w:trPr>
          <w:cantSplit/>
        </w:trPr>
        <w:tc>
          <w:tcPr>
            <w:tcW w:type="dxa" w:w="3528"/>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Cleaning and exploratory description</w:t>
            </w:r>
          </w:p>
        </w:tc>
        <w:tc>
          <w:tcPr>
            <w:tcW w:type="dxa" w:w="6552"/>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cleaning_audit.json; word_count_summary.json; 01_lengths_and_frequencies.png; notebook 02 and saved EDA artifacts</w:t>
            </w:r>
          </w:p>
        </w:tc>
      </w:tr>
      <w:tr>
        <w:trPr>
          <w:cantSplit/>
        </w:trPr>
        <w:tc>
          <w:tcPr>
            <w:tcW w:type="dxa" w:w="3528"/>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Class definitions and audit provenance</w:t>
            </w:r>
          </w:p>
        </w:tc>
        <w:tc>
          <w:tcPr>
            <w:tcW w:type="dxa" w:w="6552"/>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LABELING_GUIDE.md; audit_manifest.json; AUDIT_README.txt</w:t>
            </w:r>
          </w:p>
        </w:tc>
      </w:tr>
      <w:tr>
        <w:trPr>
          <w:cantSplit/>
        </w:trPr>
        <w:tc>
          <w:tcPr>
            <w:tcW w:type="dxa" w:w="3528"/>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Initial model and historical baselines</w:t>
            </w:r>
          </w:p>
        </w:tc>
        <w:tc>
          <w:tcPr>
            <w:tcW w:type="dxa" w:w="6552"/>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Executed 06 notebook and its saved evaluation outputs</w:t>
            </w:r>
          </w:p>
        </w:tc>
      </w:tr>
      <w:tr>
        <w:trPr>
          <w:cantSplit/>
        </w:trPr>
        <w:tc>
          <w:tcPr>
            <w:tcW w:type="dxa" w:w="3528"/>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A–D setup, validation metrics and diagnostics</w:t>
            </w:r>
          </w:p>
        </w:tc>
        <w:tc>
          <w:tcPr>
            <w:tcW w:type="dxa" w:w="6552"/>
            <w:vAlign w:val="center"/>
            <w:tcMar>
              <w:top w:w="85" w:type="dxa"/>
              <w:bottom w:w="85" w:type="dxa"/>
              <w:left w:w="85" w:type="dxa"/>
              <w:right w:w="85" w:type="dxa"/>
            </w:tcMar>
            <w:shd w:fill="FFFFFF"/>
          </w:tcPr>
          <w:p>
            <w:pPr>
              <w:spacing w:after="0" w:line="245" w:lineRule="auto"/>
              <w:jc w:val="left"/>
            </w:pPr>
            <w:r>
              <w:rPr>
                <w:rFonts w:ascii="Arial" w:hAnsi="Arial"/>
                <w:b w:val="0"/>
                <w:color w:val="000000"/>
                <w:sz w:val="20"/>
              </w:rPr>
              <w:t>Executed 07-2 and 08-5 notebooks; matching A, B, C and D archives, checkpoints and prediction outputs</w:t>
            </w:r>
          </w:p>
        </w:tc>
      </w:tr>
      <w:tr>
        <w:trPr>
          <w:cantSplit/>
        </w:trPr>
        <w:tc>
          <w:tcPr>
            <w:tcW w:type="dxa" w:w="3528"/>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Final delivery and access</w:t>
            </w:r>
          </w:p>
        </w:tc>
        <w:tc>
          <w:tcPr>
            <w:tcW w:type="dxa" w:w="6552"/>
            <w:vAlign w:val="center"/>
            <w:tcMar>
              <w:top w:w="85" w:type="dxa"/>
              <w:bottom w:w="85" w:type="dxa"/>
              <w:left w:w="85" w:type="dxa"/>
              <w:right w:w="85" w:type="dxa"/>
            </w:tcMar>
            <w:shd w:fill="F2F4F7"/>
          </w:tcPr>
          <w:p>
            <w:pPr>
              <w:spacing w:after="0" w:line="245" w:lineRule="auto"/>
              <w:jc w:val="left"/>
            </w:pPr>
            <w:r>
              <w:rPr>
                <w:rFonts w:ascii="Arial" w:hAnsi="Arial"/>
                <w:b w:val="0"/>
                <w:color w:val="000000"/>
                <w:sz w:val="20"/>
              </w:rPr>
              <w:t>GitHub repository, README files, recording URL and Canvas submission confirmation</w:t>
            </w:r>
          </w:p>
        </w:tc>
      </w:tr>
    </w:tbl>
    <w:p>
      <w:pPr>
        <w:widowControl/>
        <w:spacing w:before="120" w:after="100"/>
      </w:pPr>
      <w:r>
        <w:rPr>
          <w:sz w:val="19"/>
        </w:rPr>
        <w:t>Course alignment: M2_CleaningAndEDA_Student.ipynb cells 23–25 and Module 3 cells 6–7. The new EDA ran with existing NLTK 3.9.1 and its local lexicon, without installation, network access or training. Publication, recording and submission still require verification.</w:t>
      </w:r>
    </w:p>
    <w:sectPr w:rsidR="00FC693F" w:rsidRPr="0006063C" w:rsidSect="00034616">
      <w:headerReference w:type="default" r:id="rId9"/>
      <w:footerReference w:type="default" r:id="rId10"/>
      <w:pgSz w:w="12240" w:h="15840"/>
      <w:pgMar w:top="1008"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Presentation and script outline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ADS 509  |  Aaron Gabriel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0" w:lineRule="auto"/>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0" w:lineRule="auto"/>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Review Insight Finder Presentation and Script Outline</dc:title>
  <dc:subject>ADS 509 presentation planning and requirements review</dc:subject>
  <dc:creator>Aaron Gabriel</dc:creator>
  <cp:keywords>ADS 509, music reviews, presentation outline, LoRA, evaluation</cp:keywords>
  <dc:description>generated by python-docx</dc:description>
  <cp:lastModifiedBy/>
  <cp:revision>1</cp:revision>
  <dcterms:created xsi:type="dcterms:W3CDTF">2013-12-23T23:15:00Z</dcterms:created>
  <dcterms:modified xsi:type="dcterms:W3CDTF">2013-12-23T23:15:00Z</dcterms:modified>
  <cp:category/>
</cp:coreProperties>
</file>