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right"/>
      </w:pPr>
      <w:r>
        <w:drawing>
          <wp:inline xmlns:a="http://schemas.openxmlformats.org/drawingml/2006/main" xmlns:pic="http://schemas.openxmlformats.org/drawingml/2006/picture">
            <wp:extent cx="468000" cy="468000"/>
            <wp:docPr id="1" name="Picture 1"/>
            <wp:cNvGraphicFramePr>
              <a:graphicFrameLocks noChangeAspect="1"/>
            </wp:cNvGraphicFramePr>
            <a:graphic>
              <a:graphicData uri="http://schemas.openxmlformats.org/drawingml/2006/picture">
                <pic:pic>
                  <pic:nvPicPr>
                    <pic:cNvPr id="0" name="image1_nfk6ZZn.jpeg"/>
                    <pic:cNvPicPr/>
                  </pic:nvPicPr>
                  <pic:blipFill>
                    <a:blip r:embed="rId12"/>
                    <a:stretch>
                      <a:fillRect/>
                    </a:stretch>
                  </pic:blipFill>
                  <pic:spPr>
                    <a:xfrm>
                      <a:off x="0" y="0"/>
                      <a:ext cx="468000" cy="468000"/>
                    </a:xfrm>
                    <a:prstGeom prst="rect"/>
                  </pic:spPr>
                </pic:pic>
              </a:graphicData>
            </a:graphic>
          </wp:inline>
        </w:drawing>
      </w:r>
    </w:p>
    <w:p>
      <w:pPr>
        <w:keepNext/>
        <w:spacing w:after="80"/>
      </w:pPr>
      <w:r>
        <w:rPr>
          <w:rFonts w:ascii="Arial" w:hAnsi="Arial"/>
          <w:b/>
          <w:color w:val="183B73"/>
          <w:sz w:val="50"/>
        </w:rPr>
        <w:t>X Squared Capital Management LPF</w:t>
      </w:r>
    </w:p>
    <w:p>
      <w:pPr>
        <w:keepNext/>
        <w:spacing w:after="80"/>
      </w:pPr>
      <w:r>
        <w:rPr>
          <w:rFonts w:ascii="Arial" w:hAnsi="Arial"/>
          <w:b/>
          <w:color w:val="374655"/>
          <w:sz w:val="30"/>
        </w:rPr>
        <w:t>2026 Q1 Quarterly Newsletter | MANU</w:t>
      </w:r>
    </w:p>
    <w:p>
      <w:pPr>
        <w:spacing w:after="20"/>
      </w:pPr>
      <w:r>
        <w:rPr>
          <w:rFonts w:ascii="Arial" w:hAnsi="Arial"/>
          <w:color w:val="4B555F"/>
          <w:sz w:val="19"/>
        </w:rPr>
        <w:t>For Professional Investors only</w:t>
      </w:r>
    </w:p>
    <w:p>
      <w:pPr>
        <w:spacing w:after="20"/>
      </w:pPr>
      <w:r>
        <w:rPr>
          <w:rFonts w:ascii="Arial" w:hAnsi="Arial"/>
          <w:color w:val="4B555F"/>
          <w:sz w:val="19"/>
        </w:rPr>
        <w:t>All data as on 31 March 2026 unless stated otherwise</w:t>
      </w:r>
    </w:p>
    <w:p>
      <w:pPr>
        <w:spacing w:after="240"/>
        <w:pBdr>
          <w:bottom w:val="single" w:sz="10" w:color="183B73"/>
        </w:pBdr>
      </w:pPr>
    </w:p>
    <w:p>
      <w:pPr>
        <w:pStyle w:val="Heading1"/>
      </w:pPr>
      <w:r>
        <w:t>Investment Objective</w:t>
      </w:r>
    </w:p>
    <w:p>
      <w:r>
        <w:t>A unique long-short trading strategy across various asset classes to achieve medium-term risk-adjusted returns.</w:t>
      </w:r>
    </w:p>
    <w:p>
      <w:pPr>
        <w:pStyle w:val="Heading1"/>
      </w:pPr>
      <w:r>
        <w:t>Strategy Highlights and Characteristics</w:t>
      </w:r>
    </w:p>
    <w:p>
      <w:pPr>
        <w:pStyle w:val="ListBullet"/>
      </w:pPr>
      <w:r>
        <w:t>Diversified portfolio taking both long and short positions including equities, fixed income, currencies, and commodities.</w:t>
      </w:r>
    </w:p>
    <w:p>
      <w:pPr>
        <w:pStyle w:val="ListBullet"/>
      </w:pPr>
      <w:r>
        <w:t>Deploys an algorithmic-assisted approach that analyses data to identify trading opportunities and optimize the risk-reward ratio of each position.</w:t>
      </w:r>
    </w:p>
    <w:p>
      <w:pPr>
        <w:pStyle w:val="ListBullet"/>
      </w:pPr>
      <w:r>
        <w:t>The algorithm considers historical price trends, market volatility and economic indicators to support trading decisions.</w:t>
      </w:r>
    </w:p>
    <w:p>
      <w:pPr>
        <w:pStyle w:val="Heading1"/>
      </w:pPr>
      <w:r>
        <w:t>Fund Performance - Net Quarterly Returns</w:t>
      </w:r>
    </w:p>
    <w:tbl>
      <w:tblPr>
        <w:tblStyle w:val="TableGrid"/>
        <w:jc w:val="left"/>
        <w:tblLook w:firstColumn="1" w:firstRow="1" w:lastColumn="0" w:lastRow="0" w:noHBand="0" w:noVBand="1" w:val="04A0"/>
        <w:tblW w:w="9864" w:type="dxa"/>
        <w:tblInd w:w="120" w:type="dxa"/>
        <w:tblLayout w:type="fixed"/>
      </w:tblPr>
      <w:tblGrid>
        <w:gridCol w:w="1120"/>
        <w:gridCol w:w="1748"/>
        <w:gridCol w:w="1748"/>
        <w:gridCol w:w="1748"/>
        <w:gridCol w:w="1748"/>
        <w:gridCol w:w="1752"/>
      </w:tblGrid>
      <w:tr>
        <w:trPr>
          <w:cantSplit/>
          <w:tblHeader w:val="true"/>
        </w:trPr>
        <w:tc>
          <w:tcPr>
            <w:tcW w:type="dxa" w:w="1120"/>
            <w:tcMar>
              <w:top w:w="80" w:type="dxa"/>
              <w:start w:w="120" w:type="dxa"/>
              <w:bottom w:w="80" w:type="dxa"/>
              <w:end w:w="120" w:type="dxa"/>
            </w:tcMar>
            <w:vAlign w:val="center"/>
            <w:shd w:fill="394B59"/>
          </w:tcPr>
          <w:p>
            <w:pPr>
              <w:spacing w:before="0" w:after="0"/>
            </w:pPr>
            <w:r>
              <w:rPr>
                <w:rFonts w:ascii="Arial" w:hAnsi="Arial"/>
                <w:b/>
                <w:color w:val="FFFFFF"/>
                <w:sz w:val="19"/>
              </w:rPr>
              <w:t>Year</w:t>
            </w:r>
          </w:p>
        </w:tc>
        <w:tc>
          <w:tcPr>
            <w:tcW w:type="dxa" w:w="1748"/>
            <w:tcMar>
              <w:top w:w="80" w:type="dxa"/>
              <w:start w:w="120" w:type="dxa"/>
              <w:bottom w:w="80" w:type="dxa"/>
              <w:end w:w="120" w:type="dxa"/>
            </w:tcMar>
            <w:vAlign w:val="center"/>
            <w:shd w:fill="394B59"/>
          </w:tcPr>
          <w:p>
            <w:pPr>
              <w:spacing w:before="0" w:after="0"/>
            </w:pPr>
            <w:r>
              <w:rPr>
                <w:rFonts w:ascii="Arial" w:hAnsi="Arial"/>
                <w:b/>
                <w:color w:val="FFFFFF"/>
                <w:sz w:val="19"/>
              </w:rPr>
              <w:t>Q1</w:t>
            </w:r>
          </w:p>
        </w:tc>
        <w:tc>
          <w:tcPr>
            <w:tcW w:type="dxa" w:w="1748"/>
            <w:tcMar>
              <w:top w:w="80" w:type="dxa"/>
              <w:start w:w="120" w:type="dxa"/>
              <w:bottom w:w="80" w:type="dxa"/>
              <w:end w:w="120" w:type="dxa"/>
            </w:tcMar>
            <w:vAlign w:val="center"/>
            <w:shd w:fill="394B59"/>
          </w:tcPr>
          <w:p>
            <w:pPr>
              <w:spacing w:before="0" w:after="0"/>
            </w:pPr>
            <w:r>
              <w:rPr>
                <w:rFonts w:ascii="Arial" w:hAnsi="Arial"/>
                <w:b/>
                <w:color w:val="FFFFFF"/>
                <w:sz w:val="19"/>
              </w:rPr>
              <w:t>Q2</w:t>
            </w:r>
          </w:p>
        </w:tc>
        <w:tc>
          <w:tcPr>
            <w:tcW w:type="dxa" w:w="1748"/>
            <w:tcMar>
              <w:top w:w="80" w:type="dxa"/>
              <w:start w:w="120" w:type="dxa"/>
              <w:bottom w:w="80" w:type="dxa"/>
              <w:end w:w="120" w:type="dxa"/>
            </w:tcMar>
            <w:vAlign w:val="center"/>
            <w:shd w:fill="394B59"/>
          </w:tcPr>
          <w:p>
            <w:pPr>
              <w:spacing w:before="0" w:after="0"/>
            </w:pPr>
            <w:r>
              <w:rPr>
                <w:rFonts w:ascii="Arial" w:hAnsi="Arial"/>
                <w:b/>
                <w:color w:val="FFFFFF"/>
                <w:sz w:val="19"/>
              </w:rPr>
              <w:t>Q3</w:t>
            </w:r>
          </w:p>
        </w:tc>
        <w:tc>
          <w:tcPr>
            <w:tcW w:type="dxa" w:w="1748"/>
            <w:tcMar>
              <w:top w:w="80" w:type="dxa"/>
              <w:start w:w="120" w:type="dxa"/>
              <w:bottom w:w="80" w:type="dxa"/>
              <w:end w:w="120" w:type="dxa"/>
            </w:tcMar>
            <w:vAlign w:val="center"/>
            <w:shd w:fill="394B59"/>
          </w:tcPr>
          <w:p>
            <w:pPr>
              <w:spacing w:before="0" w:after="0"/>
            </w:pPr>
            <w:r>
              <w:rPr>
                <w:rFonts w:ascii="Arial" w:hAnsi="Arial"/>
                <w:b/>
                <w:color w:val="FFFFFF"/>
                <w:sz w:val="19"/>
              </w:rPr>
              <w:t>Q4</w:t>
            </w:r>
          </w:p>
        </w:tc>
        <w:tc>
          <w:tcPr>
            <w:tcW w:type="dxa" w:w="1752"/>
            <w:tcMar>
              <w:top w:w="80" w:type="dxa"/>
              <w:start w:w="120" w:type="dxa"/>
              <w:bottom w:w="80" w:type="dxa"/>
              <w:end w:w="120" w:type="dxa"/>
            </w:tcMar>
            <w:vAlign w:val="center"/>
            <w:shd w:fill="394B59"/>
          </w:tcPr>
          <w:p>
            <w:pPr>
              <w:spacing w:before="0" w:after="0"/>
            </w:pPr>
            <w:r>
              <w:rPr>
                <w:rFonts w:ascii="Arial" w:hAnsi="Arial"/>
                <w:b/>
                <w:color w:val="FFFFFF"/>
                <w:sz w:val="19"/>
              </w:rPr>
              <w:t>YTD</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2022</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48"/>
            <w:tcMar>
              <w:top w:w="80" w:type="dxa"/>
              <w:start w:w="120" w:type="dxa"/>
              <w:bottom w:w="80" w:type="dxa"/>
              <w:end w:w="120" w:type="dxa"/>
            </w:tcMar>
            <w:vAlign w:val="center"/>
          </w:tcPr>
          <w:p>
            <w:pPr>
              <w:spacing w:before="0" w:after="0"/>
            </w:pPr>
            <w:r>
              <w:rPr>
                <w:rFonts w:ascii="Arial" w:hAnsi="Arial"/>
                <w:b w:val="0"/>
                <w:sz w:val="19"/>
              </w:rPr>
              <w:t>-0.18%</w:t>
            </w:r>
          </w:p>
        </w:tc>
        <w:tc>
          <w:tcPr>
            <w:tcW w:type="dxa" w:w="1748"/>
            <w:tcMar>
              <w:top w:w="80" w:type="dxa"/>
              <w:start w:w="120" w:type="dxa"/>
              <w:bottom w:w="80" w:type="dxa"/>
              <w:end w:w="120" w:type="dxa"/>
            </w:tcMar>
            <w:vAlign w:val="center"/>
          </w:tcPr>
          <w:p>
            <w:pPr>
              <w:spacing w:before="0" w:after="0"/>
            </w:pPr>
            <w:r>
              <w:rPr>
                <w:rFonts w:ascii="Arial" w:hAnsi="Arial"/>
                <w:b w:val="0"/>
                <w:sz w:val="19"/>
              </w:rPr>
              <w:t>-4.28%</w:t>
            </w:r>
          </w:p>
        </w:tc>
        <w:tc>
          <w:tcPr>
            <w:tcW w:type="dxa" w:w="1752"/>
            <w:tcMar>
              <w:top w:w="80" w:type="dxa"/>
              <w:start w:w="120" w:type="dxa"/>
              <w:bottom w:w="80" w:type="dxa"/>
              <w:end w:w="120" w:type="dxa"/>
            </w:tcMar>
            <w:vAlign w:val="center"/>
          </w:tcPr>
          <w:p>
            <w:pPr>
              <w:spacing w:before="0" w:after="0"/>
            </w:pPr>
            <w:r>
              <w:rPr>
                <w:rFonts w:ascii="Arial" w:hAnsi="Arial"/>
                <w:b w:val="0"/>
                <w:sz w:val="19"/>
              </w:rPr>
              <w:t>-4.45%</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2023</w:t>
            </w:r>
          </w:p>
        </w:tc>
        <w:tc>
          <w:tcPr>
            <w:tcW w:type="dxa" w:w="1748"/>
            <w:tcMar>
              <w:top w:w="80" w:type="dxa"/>
              <w:start w:w="120" w:type="dxa"/>
              <w:bottom w:w="80" w:type="dxa"/>
              <w:end w:w="120" w:type="dxa"/>
            </w:tcMar>
            <w:vAlign w:val="center"/>
          </w:tcPr>
          <w:p>
            <w:pPr>
              <w:spacing w:before="0" w:after="0"/>
            </w:pPr>
            <w:r>
              <w:rPr>
                <w:rFonts w:ascii="Arial" w:hAnsi="Arial"/>
                <w:b w:val="0"/>
                <w:sz w:val="19"/>
              </w:rPr>
              <w:t>-12.17%</w:t>
            </w:r>
          </w:p>
        </w:tc>
        <w:tc>
          <w:tcPr>
            <w:tcW w:type="dxa" w:w="1748"/>
            <w:tcMar>
              <w:top w:w="80" w:type="dxa"/>
              <w:start w:w="120" w:type="dxa"/>
              <w:bottom w:w="80" w:type="dxa"/>
              <w:end w:w="120" w:type="dxa"/>
            </w:tcMar>
            <w:vAlign w:val="center"/>
          </w:tcPr>
          <w:p>
            <w:pPr>
              <w:spacing w:before="0" w:after="0"/>
            </w:pPr>
            <w:r>
              <w:rPr>
                <w:rFonts w:ascii="Arial" w:hAnsi="Arial"/>
                <w:b w:val="0"/>
                <w:sz w:val="19"/>
              </w:rPr>
              <w:t>-4.90%</w:t>
            </w:r>
          </w:p>
        </w:tc>
        <w:tc>
          <w:tcPr>
            <w:tcW w:type="dxa" w:w="1748"/>
            <w:tcMar>
              <w:top w:w="80" w:type="dxa"/>
              <w:start w:w="120" w:type="dxa"/>
              <w:bottom w:w="80" w:type="dxa"/>
              <w:end w:w="120" w:type="dxa"/>
            </w:tcMar>
            <w:vAlign w:val="center"/>
          </w:tcPr>
          <w:p>
            <w:pPr>
              <w:spacing w:before="0" w:after="0"/>
            </w:pPr>
            <w:r>
              <w:rPr>
                <w:rFonts w:ascii="Arial" w:hAnsi="Arial"/>
                <w:b w:val="0"/>
                <w:sz w:val="19"/>
              </w:rPr>
              <w:t>-4.56%</w:t>
            </w:r>
          </w:p>
        </w:tc>
        <w:tc>
          <w:tcPr>
            <w:tcW w:type="dxa" w:w="1748"/>
            <w:tcMar>
              <w:top w:w="80" w:type="dxa"/>
              <w:start w:w="120" w:type="dxa"/>
              <w:bottom w:w="80" w:type="dxa"/>
              <w:end w:w="120" w:type="dxa"/>
            </w:tcMar>
            <w:vAlign w:val="center"/>
          </w:tcPr>
          <w:p>
            <w:pPr>
              <w:spacing w:before="0" w:after="0"/>
            </w:pPr>
            <w:r>
              <w:rPr>
                <w:rFonts w:ascii="Arial" w:hAnsi="Arial"/>
                <w:b w:val="0"/>
                <w:sz w:val="19"/>
              </w:rPr>
              <w:t>3.52%</w:t>
            </w:r>
          </w:p>
        </w:tc>
        <w:tc>
          <w:tcPr>
            <w:tcW w:type="dxa" w:w="1752"/>
            <w:tcMar>
              <w:top w:w="80" w:type="dxa"/>
              <w:start w:w="120" w:type="dxa"/>
              <w:bottom w:w="80" w:type="dxa"/>
              <w:end w:w="120" w:type="dxa"/>
            </w:tcMar>
            <w:vAlign w:val="center"/>
          </w:tcPr>
          <w:p>
            <w:pPr>
              <w:spacing w:before="0" w:after="0"/>
            </w:pPr>
            <w:r>
              <w:rPr>
                <w:rFonts w:ascii="Arial" w:hAnsi="Arial"/>
                <w:b w:val="0"/>
                <w:sz w:val="19"/>
              </w:rPr>
              <w:t>-17.48%</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2024</w:t>
            </w:r>
          </w:p>
        </w:tc>
        <w:tc>
          <w:tcPr>
            <w:tcW w:type="dxa" w:w="1748"/>
            <w:tcMar>
              <w:top w:w="80" w:type="dxa"/>
              <w:start w:w="120" w:type="dxa"/>
              <w:bottom w:w="80" w:type="dxa"/>
              <w:end w:w="120" w:type="dxa"/>
            </w:tcMar>
            <w:vAlign w:val="center"/>
          </w:tcPr>
          <w:p>
            <w:pPr>
              <w:spacing w:before="0" w:after="0"/>
            </w:pPr>
            <w:r>
              <w:rPr>
                <w:rFonts w:ascii="Arial" w:hAnsi="Arial"/>
                <w:b w:val="0"/>
                <w:sz w:val="19"/>
              </w:rPr>
              <w:t>-3.25%</w:t>
            </w:r>
          </w:p>
        </w:tc>
        <w:tc>
          <w:tcPr>
            <w:tcW w:type="dxa" w:w="1748"/>
            <w:tcMar>
              <w:top w:w="80" w:type="dxa"/>
              <w:start w:w="120" w:type="dxa"/>
              <w:bottom w:w="80" w:type="dxa"/>
              <w:end w:w="120" w:type="dxa"/>
            </w:tcMar>
            <w:vAlign w:val="center"/>
          </w:tcPr>
          <w:p>
            <w:pPr>
              <w:spacing w:before="0" w:after="0"/>
            </w:pPr>
            <w:r>
              <w:rPr>
                <w:rFonts w:ascii="Arial" w:hAnsi="Arial"/>
                <w:b w:val="0"/>
                <w:sz w:val="19"/>
              </w:rPr>
              <w:t>-11.01%</w:t>
            </w:r>
          </w:p>
        </w:tc>
        <w:tc>
          <w:tcPr>
            <w:tcW w:type="dxa" w:w="1748"/>
            <w:tcMar>
              <w:top w:w="80" w:type="dxa"/>
              <w:start w:w="120" w:type="dxa"/>
              <w:bottom w:w="80" w:type="dxa"/>
              <w:end w:w="120" w:type="dxa"/>
            </w:tcMar>
            <w:vAlign w:val="center"/>
          </w:tcPr>
          <w:p>
            <w:pPr>
              <w:spacing w:before="0" w:after="0"/>
            </w:pPr>
            <w:r>
              <w:rPr>
                <w:rFonts w:ascii="Arial" w:hAnsi="Arial"/>
                <w:b w:val="0"/>
                <w:sz w:val="19"/>
              </w:rPr>
              <w:t>-18.34%</w:t>
            </w:r>
          </w:p>
        </w:tc>
        <w:tc>
          <w:tcPr>
            <w:tcW w:type="dxa" w:w="1748"/>
            <w:tcMar>
              <w:top w:w="80" w:type="dxa"/>
              <w:start w:w="120" w:type="dxa"/>
              <w:bottom w:w="80" w:type="dxa"/>
              <w:end w:w="120" w:type="dxa"/>
            </w:tcMar>
            <w:vAlign w:val="center"/>
          </w:tcPr>
          <w:p>
            <w:pPr>
              <w:spacing w:before="0" w:after="0"/>
            </w:pPr>
            <w:r>
              <w:rPr>
                <w:rFonts w:ascii="Arial" w:hAnsi="Arial"/>
                <w:b w:val="0"/>
                <w:sz w:val="19"/>
              </w:rPr>
              <w:t>38.07%</w:t>
            </w:r>
          </w:p>
        </w:tc>
        <w:tc>
          <w:tcPr>
            <w:tcW w:type="dxa" w:w="1752"/>
            <w:tcMar>
              <w:top w:w="80" w:type="dxa"/>
              <w:start w:w="120" w:type="dxa"/>
              <w:bottom w:w="80" w:type="dxa"/>
              <w:end w:w="120" w:type="dxa"/>
            </w:tcMar>
            <w:vAlign w:val="center"/>
          </w:tcPr>
          <w:p>
            <w:pPr>
              <w:spacing w:before="0" w:after="0"/>
            </w:pPr>
            <w:r>
              <w:rPr>
                <w:rFonts w:ascii="Arial" w:hAnsi="Arial"/>
                <w:b w:val="0"/>
                <w:sz w:val="19"/>
              </w:rPr>
              <w:t>-2.93%</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2025</w:t>
            </w:r>
          </w:p>
        </w:tc>
        <w:tc>
          <w:tcPr>
            <w:tcW w:type="dxa" w:w="1748"/>
            <w:tcMar>
              <w:top w:w="80" w:type="dxa"/>
              <w:start w:w="120" w:type="dxa"/>
              <w:bottom w:w="80" w:type="dxa"/>
              <w:end w:w="120" w:type="dxa"/>
            </w:tcMar>
            <w:vAlign w:val="center"/>
          </w:tcPr>
          <w:p>
            <w:pPr>
              <w:spacing w:before="0" w:after="0"/>
            </w:pPr>
            <w:r>
              <w:rPr>
                <w:rFonts w:ascii="Arial" w:hAnsi="Arial"/>
                <w:b w:val="0"/>
                <w:sz w:val="19"/>
              </w:rPr>
              <w:t>-33.50%</w:t>
            </w:r>
          </w:p>
        </w:tc>
        <w:tc>
          <w:tcPr>
            <w:tcW w:type="dxa" w:w="1748"/>
            <w:tcMar>
              <w:top w:w="80" w:type="dxa"/>
              <w:start w:w="120" w:type="dxa"/>
              <w:bottom w:w="80" w:type="dxa"/>
              <w:end w:w="120" w:type="dxa"/>
            </w:tcMar>
            <w:vAlign w:val="center"/>
          </w:tcPr>
          <w:p>
            <w:pPr>
              <w:spacing w:before="0" w:after="0"/>
            </w:pPr>
            <w:r>
              <w:rPr>
                <w:rFonts w:ascii="Arial" w:hAnsi="Arial"/>
                <w:b w:val="0"/>
                <w:sz w:val="19"/>
              </w:rPr>
              <w:t>14.00%</w:t>
            </w:r>
          </w:p>
        </w:tc>
        <w:tc>
          <w:tcPr>
            <w:tcW w:type="dxa" w:w="1748"/>
            <w:tcMar>
              <w:top w:w="80" w:type="dxa"/>
              <w:start w:w="120" w:type="dxa"/>
              <w:bottom w:w="80" w:type="dxa"/>
              <w:end w:w="120" w:type="dxa"/>
            </w:tcMar>
            <w:vAlign w:val="center"/>
          </w:tcPr>
          <w:p>
            <w:pPr>
              <w:spacing w:before="0" w:after="0"/>
            </w:pPr>
            <w:r>
              <w:rPr>
                <w:rFonts w:ascii="Arial" w:hAnsi="Arial"/>
                <w:b w:val="0"/>
                <w:sz w:val="19"/>
              </w:rPr>
              <w:t>20.44%</w:t>
            </w:r>
          </w:p>
        </w:tc>
        <w:tc>
          <w:tcPr>
            <w:tcW w:type="dxa" w:w="1748"/>
            <w:tcMar>
              <w:top w:w="80" w:type="dxa"/>
              <w:start w:w="120" w:type="dxa"/>
              <w:bottom w:w="80" w:type="dxa"/>
              <w:end w:w="120" w:type="dxa"/>
            </w:tcMar>
            <w:vAlign w:val="center"/>
          </w:tcPr>
          <w:p>
            <w:pPr>
              <w:spacing w:before="0" w:after="0"/>
            </w:pPr>
            <w:r>
              <w:rPr>
                <w:rFonts w:ascii="Arial" w:hAnsi="Arial"/>
                <w:b w:val="0"/>
                <w:sz w:val="19"/>
              </w:rPr>
              <w:t>32.01%</w:t>
            </w:r>
          </w:p>
        </w:tc>
        <w:tc>
          <w:tcPr>
            <w:tcW w:type="dxa" w:w="1752"/>
            <w:tcMar>
              <w:top w:w="80" w:type="dxa"/>
              <w:start w:w="120" w:type="dxa"/>
              <w:bottom w:w="80" w:type="dxa"/>
              <w:end w:w="120" w:type="dxa"/>
            </w:tcMar>
            <w:vAlign w:val="center"/>
          </w:tcPr>
          <w:p>
            <w:pPr>
              <w:spacing w:before="0" w:after="0"/>
            </w:pPr>
            <w:r>
              <w:rPr>
                <w:rFonts w:ascii="Arial" w:hAnsi="Arial"/>
                <w:b w:val="0"/>
                <w:sz w:val="19"/>
              </w:rPr>
              <w:t>20.54%</w:t>
            </w:r>
          </w:p>
        </w:tc>
      </w:tr>
      <w:tr>
        <w:trPr>
          <w:cantSplit/>
        </w:trPr>
        <w:tc>
          <w:tcPr>
            <w:tcW w:type="dxa" w:w="1120"/>
            <w:tcMar>
              <w:top w:w="80" w:type="dxa"/>
              <w:start w:w="120" w:type="dxa"/>
              <w:bottom w:w="80" w:type="dxa"/>
              <w:end w:w="120" w:type="dxa"/>
            </w:tcMar>
            <w:vAlign w:val="center"/>
          </w:tcPr>
          <w:p>
            <w:pPr>
              <w:spacing w:before="0" w:after="0"/>
            </w:pPr>
            <w:r>
              <w:rPr>
                <w:rFonts w:ascii="Arial" w:hAnsi="Arial"/>
                <w:b w:val="0"/>
                <w:sz w:val="19"/>
              </w:rPr>
              <w:t>2026</w:t>
            </w:r>
          </w:p>
        </w:tc>
        <w:tc>
          <w:tcPr>
            <w:tcW w:type="dxa" w:w="1748"/>
            <w:tcMar>
              <w:top w:w="80" w:type="dxa"/>
              <w:start w:w="120" w:type="dxa"/>
              <w:bottom w:w="80" w:type="dxa"/>
              <w:end w:w="120" w:type="dxa"/>
            </w:tcMar>
            <w:vAlign w:val="center"/>
          </w:tcPr>
          <w:p>
            <w:pPr>
              <w:spacing w:before="0" w:after="0"/>
            </w:pPr>
            <w:r>
              <w:rPr>
                <w:rFonts w:ascii="Arial" w:hAnsi="Arial"/>
                <w:b w:val="0"/>
                <w:sz w:val="19"/>
              </w:rPr>
              <w:t>-16.24%</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48"/>
            <w:tcMar>
              <w:top w:w="80" w:type="dxa"/>
              <w:start w:w="120" w:type="dxa"/>
              <w:bottom w:w="80" w:type="dxa"/>
              <w:end w:w="120" w:type="dxa"/>
            </w:tcMar>
            <w:vAlign w:val="center"/>
          </w:tcPr>
          <w:p>
            <w:pPr>
              <w:spacing w:before="0" w:after="0"/>
            </w:pPr>
            <w:r>
              <w:rPr>
                <w:rFonts w:ascii="Arial" w:hAnsi="Arial"/>
                <w:b w:val="0"/>
                <w:sz w:val="19"/>
              </w:rPr>
              <w:t>—</w:t>
            </w:r>
          </w:p>
        </w:tc>
        <w:tc>
          <w:tcPr>
            <w:tcW w:type="dxa" w:w="1752"/>
            <w:tcMar>
              <w:top w:w="80" w:type="dxa"/>
              <w:start w:w="120" w:type="dxa"/>
              <w:bottom w:w="80" w:type="dxa"/>
              <w:end w:w="120" w:type="dxa"/>
            </w:tcMar>
            <w:vAlign w:val="center"/>
          </w:tcPr>
          <w:p>
            <w:pPr>
              <w:spacing w:before="0" w:after="0"/>
            </w:pPr>
            <w:r>
              <w:rPr>
                <w:rFonts w:ascii="Arial" w:hAnsi="Arial"/>
                <w:b w:val="0"/>
                <w:sz w:val="19"/>
              </w:rPr>
              <w:t>-16.24%</w:t>
            </w:r>
          </w:p>
        </w:tc>
      </w:tr>
    </w:tbl>
    <w:p>
      <w:pPr>
        <w:spacing w:before="80"/>
      </w:pPr>
      <w:r>
        <w:rPr>
          <w:i/>
          <w:color w:val="696E73"/>
          <w:sz w:val="18"/>
        </w:rPr>
        <w:t>Note: Please refer to the fund offering documents for a detailed fee structure.</w:t>
      </w:r>
    </w:p>
    <w:p>
      <w:pPr>
        <w:pStyle w:val="Heading1"/>
      </w:pPr>
      <w:r>
        <w:t>NAV per Share</w:t>
      </w:r>
    </w:p>
    <w:p>
      <w:pPr>
        <w:jc w:val="center"/>
      </w:pPr>
      <w:r>
        <w:drawing>
          <wp:inline xmlns:a="http://schemas.openxmlformats.org/drawingml/2006/main" xmlns:pic="http://schemas.openxmlformats.org/drawingml/2006/picture">
            <wp:extent cx="5989320" cy="2582872"/>
            <wp:docPr id="2" name="Picture 2"/>
            <wp:cNvGraphicFramePr>
              <a:graphicFrameLocks noChangeAspect="1"/>
            </wp:cNvGraphicFramePr>
            <a:graphic>
              <a:graphicData uri="http://schemas.openxmlformats.org/drawingml/2006/picture">
                <pic:pic>
                  <pic:nvPicPr>
                    <pic:cNvPr id="0" name="nav-chart.png"/>
                    <pic:cNvPicPr/>
                  </pic:nvPicPr>
                  <pic:blipFill>
                    <a:blip r:embed="rId13"/>
                    <a:stretch>
                      <a:fillRect/>
                    </a:stretch>
                  </pic:blipFill>
                  <pic:spPr>
                    <a:xfrm>
                      <a:off x="0" y="0"/>
                      <a:ext cx="5989320" cy="2582872"/>
                    </a:xfrm>
                    <a:prstGeom prst="rect"/>
                  </pic:spPr>
                </pic:pic>
              </a:graphicData>
            </a:graphic>
          </wp:inline>
        </w:drawing>
      </w:r>
    </w:p>
    <w:p>
      <w:pPr>
        <w:pStyle w:val="Heading1"/>
      </w:pPr>
      <w:r>
        <w:t>Fund Statistics</w:t>
      </w:r>
    </w:p>
    <w:tbl>
      <w:tblPr>
        <w:tblStyle w:val="TableGrid"/>
        <w:jc w:val="left"/>
        <w:tblLook w:firstColumn="1" w:firstRow="1" w:lastColumn="0" w:lastRow="0" w:noHBand="0" w:noVBand="1" w:val="04A0"/>
        <w:tblW w:w="9864" w:type="dxa"/>
        <w:tblInd w:w="120" w:type="dxa"/>
        <w:tblLayout w:type="fixed"/>
      </w:tblPr>
      <w:tblGrid>
        <w:gridCol w:w="6000"/>
        <w:gridCol w:w="3864"/>
      </w:tblGrid>
      <w:tr>
        <w:trPr>
          <w:cantSplit/>
          <w:tblHeader w:val="true"/>
        </w:trPr>
        <w:tc>
          <w:tcPr>
            <w:tcW w:type="dxa" w:w="6000"/>
            <w:tcMar>
              <w:top w:w="80" w:type="dxa"/>
              <w:start w:w="120" w:type="dxa"/>
              <w:bottom w:w="80" w:type="dxa"/>
              <w:end w:w="120" w:type="dxa"/>
            </w:tcMar>
            <w:vAlign w:val="center"/>
            <w:shd w:fill="E8EEF5"/>
          </w:tcPr>
          <w:p>
            <w:pPr>
              <w:spacing w:before="0" w:after="0"/>
            </w:pPr>
            <w:r>
              <w:rPr>
                <w:rFonts w:ascii="Arial" w:hAnsi="Arial"/>
                <w:b/>
                <w:sz w:val="19"/>
              </w:rPr>
              <w:t>Statistic</w:t>
            </w:r>
          </w:p>
        </w:tc>
        <w:tc>
          <w:tcPr>
            <w:tcW w:type="dxa" w:w="3864"/>
            <w:tcMar>
              <w:top w:w="80" w:type="dxa"/>
              <w:start w:w="120" w:type="dxa"/>
              <w:bottom w:w="80" w:type="dxa"/>
              <w:end w:w="120" w:type="dxa"/>
            </w:tcMar>
            <w:vAlign w:val="center"/>
            <w:shd w:fill="E8EEF5"/>
          </w:tcPr>
          <w:p>
            <w:pPr>
              <w:spacing w:before="0" w:after="0"/>
            </w:pPr>
            <w:r>
              <w:rPr>
                <w:rFonts w:ascii="Arial" w:hAnsi="Arial"/>
                <w:b/>
                <w:sz w:val="19"/>
              </w:rPr>
              <w:t>Value</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Inception Date</w:t>
            </w:r>
          </w:p>
        </w:tc>
        <w:tc>
          <w:tcPr>
            <w:tcW w:type="dxa" w:w="3864"/>
            <w:tcMar>
              <w:top w:w="80" w:type="dxa"/>
              <w:start w:w="120" w:type="dxa"/>
              <w:bottom w:w="80" w:type="dxa"/>
              <w:end w:w="120" w:type="dxa"/>
            </w:tcMar>
            <w:vAlign w:val="center"/>
          </w:tcPr>
          <w:p>
            <w:pPr>
              <w:spacing w:before="0" w:after="0"/>
            </w:pPr>
            <w:r>
              <w:rPr>
                <w:rFonts w:ascii="Arial" w:hAnsi="Arial"/>
                <w:b w:val="0"/>
                <w:sz w:val="19"/>
              </w:rPr>
              <w:t>2022-07-29</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Return ITD</w:t>
            </w:r>
          </w:p>
        </w:tc>
        <w:tc>
          <w:tcPr>
            <w:tcW w:type="dxa" w:w="3864"/>
            <w:tcMar>
              <w:top w:w="80" w:type="dxa"/>
              <w:start w:w="120" w:type="dxa"/>
              <w:bottom w:w="80" w:type="dxa"/>
              <w:end w:w="120" w:type="dxa"/>
            </w:tcMar>
            <w:vAlign w:val="center"/>
          </w:tcPr>
          <w:p>
            <w:pPr>
              <w:spacing w:before="0" w:after="0"/>
            </w:pPr>
            <w:r>
              <w:rPr>
                <w:rFonts w:ascii="Arial" w:hAnsi="Arial"/>
                <w:b w:val="0"/>
                <w:sz w:val="19"/>
              </w:rPr>
              <w:t>-22.72%</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Return YTD</w:t>
            </w:r>
          </w:p>
        </w:tc>
        <w:tc>
          <w:tcPr>
            <w:tcW w:type="dxa" w:w="3864"/>
            <w:tcMar>
              <w:top w:w="80" w:type="dxa"/>
              <w:start w:w="120" w:type="dxa"/>
              <w:bottom w:w="80" w:type="dxa"/>
              <w:end w:w="120" w:type="dxa"/>
            </w:tcMar>
            <w:vAlign w:val="center"/>
          </w:tcPr>
          <w:p>
            <w:pPr>
              <w:spacing w:before="0" w:after="0"/>
            </w:pPr>
            <w:r>
              <w:rPr>
                <w:rFonts w:ascii="Arial" w:hAnsi="Arial"/>
                <w:b w:val="0"/>
                <w:sz w:val="19"/>
              </w:rPr>
              <w:t>-16.24%</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Annualized Return</w:t>
            </w:r>
          </w:p>
        </w:tc>
        <w:tc>
          <w:tcPr>
            <w:tcW w:type="dxa" w:w="3864"/>
            <w:tcMar>
              <w:top w:w="80" w:type="dxa"/>
              <w:start w:w="120" w:type="dxa"/>
              <w:bottom w:w="80" w:type="dxa"/>
              <w:end w:w="120" w:type="dxa"/>
            </w:tcMar>
            <w:vAlign w:val="center"/>
          </w:tcPr>
          <w:p>
            <w:pPr>
              <w:spacing w:before="0" w:after="0"/>
            </w:pPr>
            <w:r>
              <w:rPr>
                <w:rFonts w:ascii="Arial" w:hAnsi="Arial"/>
                <w:b w:val="0"/>
                <w:sz w:val="19"/>
              </w:rPr>
              <w:t>-6.64%</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Positive Months</w:t>
            </w:r>
          </w:p>
        </w:tc>
        <w:tc>
          <w:tcPr>
            <w:tcW w:type="dxa" w:w="3864"/>
            <w:tcMar>
              <w:top w:w="80" w:type="dxa"/>
              <w:start w:w="120" w:type="dxa"/>
              <w:bottom w:w="80" w:type="dxa"/>
              <w:end w:w="120" w:type="dxa"/>
            </w:tcMar>
            <w:vAlign w:val="center"/>
          </w:tcPr>
          <w:p>
            <w:pPr>
              <w:spacing w:before="0" w:after="0"/>
            </w:pPr>
            <w:r>
              <w:rPr>
                <w:rFonts w:ascii="Arial" w:hAnsi="Arial"/>
                <w:b w:val="0"/>
                <w:sz w:val="19"/>
              </w:rPr>
              <w:t>38%</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Negative Months</w:t>
            </w:r>
          </w:p>
        </w:tc>
        <w:tc>
          <w:tcPr>
            <w:tcW w:type="dxa" w:w="3864"/>
            <w:tcMar>
              <w:top w:w="80" w:type="dxa"/>
              <w:start w:w="120" w:type="dxa"/>
              <w:bottom w:w="80" w:type="dxa"/>
              <w:end w:w="120" w:type="dxa"/>
            </w:tcMar>
            <w:vAlign w:val="center"/>
          </w:tcPr>
          <w:p>
            <w:pPr>
              <w:spacing w:before="0" w:after="0"/>
            </w:pPr>
            <w:r>
              <w:rPr>
                <w:rFonts w:ascii="Arial" w:hAnsi="Arial"/>
                <w:b w:val="0"/>
                <w:sz w:val="19"/>
              </w:rPr>
              <w:t>62%</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Annualized Volatility</w:t>
            </w:r>
          </w:p>
        </w:tc>
        <w:tc>
          <w:tcPr>
            <w:tcW w:type="dxa" w:w="3864"/>
            <w:tcMar>
              <w:top w:w="80" w:type="dxa"/>
              <w:start w:w="120" w:type="dxa"/>
              <w:bottom w:w="80" w:type="dxa"/>
              <w:end w:w="120" w:type="dxa"/>
            </w:tcMar>
            <w:vAlign w:val="center"/>
          </w:tcPr>
          <w:p>
            <w:pPr>
              <w:spacing w:before="0" w:after="0"/>
            </w:pPr>
            <w:r>
              <w:rPr>
                <w:rFonts w:ascii="Arial" w:hAnsi="Arial"/>
                <w:b w:val="0"/>
                <w:sz w:val="19"/>
              </w:rPr>
              <w:t>53.92%</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Maximum Drawdown</w:t>
            </w:r>
          </w:p>
        </w:tc>
        <w:tc>
          <w:tcPr>
            <w:tcW w:type="dxa" w:w="3864"/>
            <w:tcMar>
              <w:top w:w="80" w:type="dxa"/>
              <w:start w:w="120" w:type="dxa"/>
              <w:bottom w:w="80" w:type="dxa"/>
              <w:end w:w="120" w:type="dxa"/>
            </w:tcMar>
            <w:vAlign w:val="center"/>
          </w:tcPr>
          <w:p>
            <w:pPr>
              <w:spacing w:before="0" w:after="0"/>
            </w:pPr>
            <w:r>
              <w:rPr>
                <w:rFonts w:ascii="Arial" w:hAnsi="Arial"/>
                <w:b w:val="0"/>
                <w:sz w:val="19"/>
              </w:rPr>
              <w:t>-57.44%</w:t>
            </w:r>
          </w:p>
        </w:tc>
      </w:tr>
      <w:tr>
        <w:trPr>
          <w:cantSplit/>
        </w:trPr>
        <w:tc>
          <w:tcPr>
            <w:tcW w:type="dxa" w:w="6000"/>
            <w:tcMar>
              <w:top w:w="80" w:type="dxa"/>
              <w:start w:w="120" w:type="dxa"/>
              <w:bottom w:w="80" w:type="dxa"/>
              <w:end w:w="120" w:type="dxa"/>
            </w:tcMar>
            <w:vAlign w:val="center"/>
          </w:tcPr>
          <w:p>
            <w:pPr>
              <w:spacing w:before="0" w:after="0"/>
            </w:pPr>
            <w:r>
              <w:rPr>
                <w:rFonts w:ascii="Arial" w:hAnsi="Arial"/>
                <w:b w:val="0"/>
                <w:sz w:val="19"/>
              </w:rPr>
              <w:t>Sharpe Ratio</w:t>
            </w:r>
          </w:p>
        </w:tc>
        <w:tc>
          <w:tcPr>
            <w:tcW w:type="dxa" w:w="3864"/>
            <w:tcMar>
              <w:top w:w="80" w:type="dxa"/>
              <w:start w:w="120" w:type="dxa"/>
              <w:bottom w:w="80" w:type="dxa"/>
              <w:end w:w="120" w:type="dxa"/>
            </w:tcMar>
            <w:vAlign w:val="center"/>
          </w:tcPr>
          <w:p>
            <w:pPr>
              <w:spacing w:before="0" w:after="0"/>
            </w:pPr>
            <w:r>
              <w:rPr>
                <w:rFonts w:ascii="Arial" w:hAnsi="Arial"/>
                <w:b w:val="0"/>
                <w:sz w:val="19"/>
              </w:rPr>
              <w:t>-0.201</w:t>
            </w:r>
          </w:p>
        </w:tc>
      </w:tr>
    </w:tbl>
    <w:p>
      <w:pPr>
        <w:pStyle w:val="Heading1"/>
      </w:pPr>
      <w:r>
        <w:t>Manager Commentary</w:t>
      </w:r>
    </w:p>
    <w:p>
      <w:pPr>
        <w:keepNext/>
      </w:pPr>
      <w:r>
        <w:rPr>
          <w:b/>
        </w:rPr>
        <w:t>2026 Q1 Portfolio Review</w:t>
      </w:r>
    </w:p>
    <w:p>
      <w:r>
        <w:rPr>
          <w:b w:val="0"/>
          <w:i w:val="0"/>
        </w:rPr>
        <w:t>Quarterly review 1.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2.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3.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4.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5.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6.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7.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8.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9.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10.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11.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12.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13.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14.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15.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16.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r>
        <w:rPr>
          <w:b w:val="0"/>
          <w:i w:val="0"/>
        </w:rPr>
        <w:t>Quarterly review 17.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pPr>
        <w:keepNext/>
      </w:pPr>
      <w:r>
        <w:rPr>
          <w:b w:val="0"/>
          <w:i w:val="0"/>
        </w:rPr>
        <w:t>Quarterly review 18. During the quarter, portfolio positioning was actively adjusted as volatility moved across asset classes. Risk limits, liquidity, and concentration were reviewed continuously, while exposures were sized with regard to the strategy's medium-term objectives. The manager remains focused on disciplined implementation, drawdown control, and preserving flexibility as market conditions evolve.</w:t>
      </w:r>
    </w:p>
    <w:p>
      <w:pPr>
        <w:keepLines/>
      </w:pPr>
      <w:r>
        <w:rPr>
          <w:i/>
        </w:rPr>
        <w:t>— Archie Ma, Portfolio Manager</w:t>
      </w:r>
    </w:p>
    <w:p>
      <w:r>
        <w:br w:type="page"/>
      </w:r>
    </w:p>
    <w:p>
      <w:pPr>
        <w:pStyle w:val="Heading1"/>
      </w:pPr>
      <w:r>
        <w:t>General Information</w:t>
      </w:r>
    </w:p>
    <w:tbl>
      <w:tblPr>
        <w:tblStyle w:val="TableGrid"/>
        <w:jc w:val="left"/>
        <w:tblLook w:firstColumn="1" w:firstRow="1" w:lastColumn="0" w:lastRow="0" w:noHBand="0" w:noVBand="1" w:val="04A0"/>
        <w:tblW w:w="9864" w:type="dxa"/>
        <w:tblInd w:w="120" w:type="dxa"/>
        <w:tblLayout w:type="fixed"/>
      </w:tblPr>
      <w:tblGrid>
        <w:gridCol w:w="3000"/>
        <w:gridCol w:w="6864"/>
      </w:tblGrid>
      <w:tr>
        <w:trPr>
          <w:cantSplit/>
          <w:tblHeader w:val="true"/>
        </w:trPr>
        <w:tc>
          <w:tcPr>
            <w:tcW w:type="dxa" w:w="3000"/>
            <w:tcMar>
              <w:top w:w="80" w:type="dxa"/>
              <w:start w:w="120" w:type="dxa"/>
              <w:bottom w:w="80" w:type="dxa"/>
              <w:end w:w="120" w:type="dxa"/>
            </w:tcMar>
            <w:vAlign w:val="center"/>
            <w:shd w:fill="E8EEF5"/>
          </w:tcPr>
          <w:p>
            <w:pPr>
              <w:spacing w:before="0" w:after="0"/>
            </w:pPr>
            <w:r>
              <w:rPr>
                <w:rFonts w:ascii="Arial" w:hAnsi="Arial"/>
                <w:b/>
                <w:sz w:val="19"/>
              </w:rPr>
              <w:t>Item</w:t>
            </w:r>
          </w:p>
        </w:tc>
        <w:tc>
          <w:tcPr>
            <w:tcW w:type="dxa" w:w="6864"/>
            <w:tcMar>
              <w:top w:w="80" w:type="dxa"/>
              <w:start w:w="120" w:type="dxa"/>
              <w:bottom w:w="80" w:type="dxa"/>
              <w:end w:w="120" w:type="dxa"/>
            </w:tcMar>
            <w:vAlign w:val="center"/>
            <w:shd w:fill="E8EEF5"/>
          </w:tcPr>
          <w:p>
            <w:pPr>
              <w:spacing w:before="0" w:after="0"/>
            </w:pPr>
            <w:r>
              <w:rPr>
                <w:rFonts w:ascii="Arial" w:hAnsi="Arial"/>
                <w:b/>
                <w:sz w:val="19"/>
              </w:rPr>
              <w:t>Details</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Structure</w:t>
            </w:r>
          </w:p>
        </w:tc>
        <w:tc>
          <w:tcPr>
            <w:tcW w:type="dxa" w:w="6864"/>
            <w:tcMar>
              <w:top w:w="80" w:type="dxa"/>
              <w:start w:w="120" w:type="dxa"/>
              <w:bottom w:w="80" w:type="dxa"/>
              <w:end w:w="120" w:type="dxa"/>
            </w:tcMar>
            <w:vAlign w:val="center"/>
          </w:tcPr>
          <w:p>
            <w:pPr>
              <w:spacing w:before="0" w:after="0"/>
            </w:pPr>
            <w:r>
              <w:rPr>
                <w:rFonts w:ascii="Arial" w:hAnsi="Arial"/>
                <w:b w:val="0"/>
                <w:sz w:val="19"/>
              </w:rPr>
              <w:t>Hong Kong Limited Partnership Fund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Domicile</w:t>
            </w:r>
          </w:p>
        </w:tc>
        <w:tc>
          <w:tcPr>
            <w:tcW w:type="dxa" w:w="6864"/>
            <w:tcMar>
              <w:top w:w="80" w:type="dxa"/>
              <w:start w:w="120" w:type="dxa"/>
              <w:bottom w:w="80" w:type="dxa"/>
              <w:end w:w="120" w:type="dxa"/>
            </w:tcMar>
            <w:vAlign w:val="center"/>
          </w:tcPr>
          <w:p>
            <w:pPr>
              <w:spacing w:before="0" w:after="0"/>
            </w:pPr>
            <w:r>
              <w:rPr>
                <w:rFonts w:ascii="Arial" w:hAnsi="Arial"/>
                <w:b w:val="0"/>
                <w:sz w:val="19"/>
              </w:rPr>
              <w:t>Hong Kong</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Currency</w:t>
            </w:r>
          </w:p>
        </w:tc>
        <w:tc>
          <w:tcPr>
            <w:tcW w:type="dxa" w:w="6864"/>
            <w:tcMar>
              <w:top w:w="80" w:type="dxa"/>
              <w:start w:w="120" w:type="dxa"/>
              <w:bottom w:w="80" w:type="dxa"/>
              <w:end w:w="120" w:type="dxa"/>
            </w:tcMar>
            <w:vAlign w:val="center"/>
          </w:tcPr>
          <w:p>
            <w:pPr>
              <w:spacing w:before="0" w:after="0"/>
            </w:pPr>
            <w:r>
              <w:rPr>
                <w:rFonts w:ascii="Arial" w:hAnsi="Arial"/>
                <w:b w:val="0"/>
                <w:sz w:val="19"/>
              </w:rPr>
              <w:t>USD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Return Basis</w:t>
            </w:r>
          </w:p>
        </w:tc>
        <w:tc>
          <w:tcPr>
            <w:tcW w:type="dxa" w:w="6864"/>
            <w:tcMar>
              <w:top w:w="80" w:type="dxa"/>
              <w:start w:w="120" w:type="dxa"/>
              <w:bottom w:w="80" w:type="dxa"/>
              <w:end w:w="120" w:type="dxa"/>
            </w:tcMar>
            <w:vAlign w:val="center"/>
          </w:tcPr>
          <w:p>
            <w:pPr>
              <w:spacing w:before="0" w:after="0"/>
            </w:pPr>
            <w:r>
              <w:rPr>
                <w:rFonts w:ascii="Arial" w:hAnsi="Arial"/>
                <w:b w:val="0"/>
                <w:sz w:val="19"/>
              </w:rPr>
              <w:t>Net</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Portfolio Manager</w:t>
            </w:r>
          </w:p>
        </w:tc>
        <w:tc>
          <w:tcPr>
            <w:tcW w:type="dxa" w:w="6864"/>
            <w:tcMar>
              <w:top w:w="80" w:type="dxa"/>
              <w:start w:w="120" w:type="dxa"/>
              <w:bottom w:w="80" w:type="dxa"/>
              <w:end w:w="120" w:type="dxa"/>
            </w:tcMar>
            <w:vAlign w:val="center"/>
          </w:tcPr>
          <w:p>
            <w:pPr>
              <w:spacing w:before="0" w:after="0"/>
            </w:pPr>
            <w:r>
              <w:rPr>
                <w:rFonts w:ascii="Arial" w:hAnsi="Arial"/>
                <w:b w:val="0"/>
                <w:sz w:val="19"/>
              </w:rPr>
              <w:t>Archie Ma</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General Partner</w:t>
            </w:r>
          </w:p>
        </w:tc>
        <w:tc>
          <w:tcPr>
            <w:tcW w:type="dxa" w:w="6864"/>
            <w:tcMar>
              <w:top w:w="80" w:type="dxa"/>
              <w:start w:w="120" w:type="dxa"/>
              <w:bottom w:w="80" w:type="dxa"/>
              <w:end w:w="120" w:type="dxa"/>
            </w:tcMar>
            <w:vAlign w:val="center"/>
          </w:tcPr>
          <w:p>
            <w:pPr>
              <w:spacing w:before="0" w:after="0"/>
            </w:pPr>
            <w:r>
              <w:rPr>
                <w:rFonts w:ascii="Arial" w:hAnsi="Arial"/>
                <w:b w:val="0"/>
                <w:sz w:val="19"/>
              </w:rPr>
              <w:t>ARC Partners Limited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Investment Manager</w:t>
            </w:r>
          </w:p>
        </w:tc>
        <w:tc>
          <w:tcPr>
            <w:tcW w:type="dxa" w:w="6864"/>
            <w:tcMar>
              <w:top w:w="80" w:type="dxa"/>
              <w:start w:w="120" w:type="dxa"/>
              <w:bottom w:w="80" w:type="dxa"/>
              <w:end w:w="120" w:type="dxa"/>
            </w:tcMar>
            <w:vAlign w:val="center"/>
          </w:tcPr>
          <w:p>
            <w:pPr>
              <w:spacing w:before="0" w:after="0"/>
            </w:pPr>
            <w:r>
              <w:rPr>
                <w:rFonts w:ascii="Arial" w:hAnsi="Arial"/>
                <w:b w:val="0"/>
                <w:sz w:val="19"/>
              </w:rPr>
              <w:t>Solomon Capital Management Limited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Fund Administrator</w:t>
            </w:r>
          </w:p>
        </w:tc>
        <w:tc>
          <w:tcPr>
            <w:tcW w:type="dxa" w:w="6864"/>
            <w:tcMar>
              <w:top w:w="80" w:type="dxa"/>
              <w:start w:w="120" w:type="dxa"/>
              <w:bottom w:w="80" w:type="dxa"/>
              <w:end w:w="120" w:type="dxa"/>
            </w:tcMar>
            <w:vAlign w:val="center"/>
          </w:tcPr>
          <w:p>
            <w:pPr>
              <w:spacing w:before="0" w:after="0"/>
            </w:pPr>
            <w:r>
              <w:rPr>
                <w:rFonts w:ascii="Arial" w:hAnsi="Arial"/>
                <w:b w:val="0"/>
                <w:sz w:val="19"/>
              </w:rPr>
              <w:t>HKB Fund Services (Hong Kong) Limited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Minimum Contribution</w:t>
            </w:r>
          </w:p>
        </w:tc>
        <w:tc>
          <w:tcPr>
            <w:tcW w:type="dxa" w:w="6864"/>
            <w:tcMar>
              <w:top w:w="80" w:type="dxa"/>
              <w:start w:w="120" w:type="dxa"/>
              <w:bottom w:w="80" w:type="dxa"/>
              <w:end w:w="120" w:type="dxa"/>
            </w:tcMar>
            <w:vAlign w:val="center"/>
          </w:tcPr>
          <w:p>
            <w:pPr>
              <w:spacing w:before="0" w:after="0"/>
            </w:pPr>
            <w:r>
              <w:rPr>
                <w:rFonts w:ascii="Arial" w:hAnsi="Arial"/>
                <w:b w:val="0"/>
                <w:sz w:val="19"/>
              </w:rPr>
              <w:t>USD100,000</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Valuation Frequency</w:t>
            </w:r>
          </w:p>
        </w:tc>
        <w:tc>
          <w:tcPr>
            <w:tcW w:type="dxa" w:w="6864"/>
            <w:tcMar>
              <w:top w:w="80" w:type="dxa"/>
              <w:start w:w="120" w:type="dxa"/>
              <w:bottom w:w="80" w:type="dxa"/>
              <w:end w:w="120" w:type="dxa"/>
            </w:tcMar>
            <w:vAlign w:val="center"/>
          </w:tcPr>
          <w:p>
            <w:pPr>
              <w:spacing w:before="0" w:after="0"/>
            </w:pPr>
            <w:r>
              <w:rPr>
                <w:rFonts w:ascii="Arial" w:hAnsi="Arial"/>
                <w:b w:val="0"/>
                <w:sz w:val="19"/>
              </w:rPr>
              <w:t>Monthly</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Base Currency</w:t>
            </w:r>
          </w:p>
        </w:tc>
        <w:tc>
          <w:tcPr>
            <w:tcW w:type="dxa" w:w="6864"/>
            <w:tcMar>
              <w:top w:w="80" w:type="dxa"/>
              <w:start w:w="120" w:type="dxa"/>
              <w:bottom w:w="80" w:type="dxa"/>
              <w:end w:w="120" w:type="dxa"/>
            </w:tcMar>
            <w:vAlign w:val="center"/>
          </w:tcPr>
          <w:p>
            <w:pPr>
              <w:spacing w:before="0" w:after="0"/>
            </w:pPr>
            <w:r>
              <w:rPr>
                <w:rFonts w:ascii="Arial" w:hAnsi="Arial"/>
                <w:b w:val="0"/>
                <w:sz w:val="19"/>
              </w:rPr>
              <w:t>USD</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Bloomberg Code</w:t>
            </w:r>
          </w:p>
        </w:tc>
        <w:tc>
          <w:tcPr>
            <w:tcW w:type="dxa" w:w="6864"/>
            <w:tcMar>
              <w:top w:w="80" w:type="dxa"/>
              <w:start w:w="120" w:type="dxa"/>
              <w:bottom w:w="80" w:type="dxa"/>
              <w:end w:w="120" w:type="dxa"/>
            </w:tcMar>
            <w:vAlign w:val="center"/>
          </w:tcPr>
          <w:p>
            <w:pPr>
              <w:spacing w:before="0" w:after="0"/>
            </w:pPr>
            <w:r>
              <w:rPr>
                <w:rFonts w:ascii="Arial" w:hAnsi="Arial"/>
                <w:b w:val="0"/>
                <w:sz w:val="19"/>
              </w:rPr>
              <w:t>XSQMANU HK Equity</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Year End Date</w:t>
            </w:r>
          </w:p>
        </w:tc>
        <w:tc>
          <w:tcPr>
            <w:tcW w:type="dxa" w:w="6864"/>
            <w:tcMar>
              <w:top w:w="80" w:type="dxa"/>
              <w:start w:w="120" w:type="dxa"/>
              <w:bottom w:w="80" w:type="dxa"/>
              <w:end w:w="120" w:type="dxa"/>
            </w:tcMar>
            <w:vAlign w:val="center"/>
          </w:tcPr>
          <w:p>
            <w:pPr>
              <w:spacing w:before="0" w:after="0"/>
            </w:pPr>
            <w:r>
              <w:rPr>
                <w:rFonts w:ascii="Arial" w:hAnsi="Arial"/>
                <w:b w:val="0"/>
                <w:sz w:val="19"/>
              </w:rPr>
              <w:t>December 31st</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Management Fee</w:t>
            </w:r>
          </w:p>
        </w:tc>
        <w:tc>
          <w:tcPr>
            <w:tcW w:type="dxa" w:w="6864"/>
            <w:tcMar>
              <w:top w:w="80" w:type="dxa"/>
              <w:start w:w="120" w:type="dxa"/>
              <w:bottom w:w="80" w:type="dxa"/>
              <w:end w:w="120" w:type="dxa"/>
            </w:tcMar>
            <w:vAlign w:val="center"/>
          </w:tcPr>
          <w:p>
            <w:pPr>
              <w:spacing w:before="0" w:after="0"/>
            </w:pPr>
            <w:r>
              <w:rPr>
                <w:rFonts w:ascii="Arial" w:hAnsi="Arial"/>
                <w:b w:val="0"/>
                <w:sz w:val="19"/>
              </w:rPr>
              <w:t>2% per annum</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Lock-up Period</w:t>
            </w:r>
          </w:p>
        </w:tc>
        <w:tc>
          <w:tcPr>
            <w:tcW w:type="dxa" w:w="6864"/>
            <w:tcMar>
              <w:top w:w="80" w:type="dxa"/>
              <w:start w:w="120" w:type="dxa"/>
              <w:bottom w:w="80" w:type="dxa"/>
              <w:end w:w="120" w:type="dxa"/>
            </w:tcMar>
            <w:vAlign w:val="center"/>
          </w:tcPr>
          <w:p>
            <w:pPr>
              <w:spacing w:before="0" w:after="0"/>
            </w:pPr>
            <w:r>
              <w:rPr>
                <w:rFonts w:ascii="Arial" w:hAnsi="Arial"/>
                <w:b w:val="0"/>
                <w:sz w:val="19"/>
              </w:rPr>
              <w:t>36 months</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Carried Interest</w:t>
            </w:r>
          </w:p>
        </w:tc>
        <w:tc>
          <w:tcPr>
            <w:tcW w:type="dxa" w:w="6864"/>
            <w:tcMar>
              <w:top w:w="80" w:type="dxa"/>
              <w:start w:w="120" w:type="dxa"/>
              <w:bottom w:w="80" w:type="dxa"/>
              <w:end w:w="120" w:type="dxa"/>
            </w:tcMar>
            <w:vAlign w:val="center"/>
          </w:tcPr>
          <w:p>
            <w:pPr>
              <w:spacing w:before="0" w:after="0"/>
            </w:pPr>
            <w:r>
              <w:rPr>
                <w:rFonts w:ascii="Arial" w:hAnsi="Arial"/>
                <w:b w:val="0"/>
                <w:sz w:val="19"/>
              </w:rPr>
              <w:t>20%</w:t>
            </w:r>
          </w:p>
        </w:tc>
      </w:tr>
    </w:tbl>
    <w:p>
      <w:pPr>
        <w:pStyle w:val="Heading1"/>
      </w:pPr>
      <w:r>
        <w:t>Contacts</w:t>
      </w:r>
    </w:p>
    <w:tbl>
      <w:tblPr>
        <w:tblStyle w:val="TableGrid"/>
        <w:jc w:val="left"/>
        <w:tblLook w:firstColumn="1" w:firstRow="1" w:lastColumn="0" w:lastRow="0" w:noHBand="0" w:noVBand="1" w:val="04A0"/>
        <w:tblW w:w="9864" w:type="dxa"/>
        <w:tblInd w:w="120" w:type="dxa"/>
        <w:tblLayout w:type="fixed"/>
      </w:tblPr>
      <w:tblGrid>
        <w:gridCol w:w="3000"/>
        <w:gridCol w:w="6864"/>
      </w:tblGrid>
      <w:tr>
        <w:trPr>
          <w:cantSplit/>
          <w:tblHeader w:val="true"/>
        </w:trPr>
        <w:tc>
          <w:tcPr>
            <w:tcW w:type="dxa" w:w="3000"/>
            <w:tcMar>
              <w:top w:w="80" w:type="dxa"/>
              <w:start w:w="120" w:type="dxa"/>
              <w:bottom w:w="80" w:type="dxa"/>
              <w:end w:w="120" w:type="dxa"/>
            </w:tcMar>
            <w:vAlign w:val="center"/>
            <w:shd w:fill="E8EEF5"/>
          </w:tcPr>
          <w:p>
            <w:pPr>
              <w:spacing w:before="0" w:after="0"/>
            </w:pPr>
            <w:r>
              <w:rPr>
                <w:rFonts w:ascii="Arial" w:hAnsi="Arial"/>
                <w:b/>
                <w:sz w:val="19"/>
              </w:rPr>
              <w:t>Contact</w:t>
            </w:r>
          </w:p>
        </w:tc>
        <w:tc>
          <w:tcPr>
            <w:tcW w:type="dxa" w:w="6864"/>
            <w:tcMar>
              <w:top w:w="80" w:type="dxa"/>
              <w:start w:w="120" w:type="dxa"/>
              <w:bottom w:w="80" w:type="dxa"/>
              <w:end w:w="120" w:type="dxa"/>
            </w:tcMar>
            <w:vAlign w:val="center"/>
            <w:shd w:fill="E8EEF5"/>
          </w:tcPr>
          <w:p>
            <w:pPr>
              <w:spacing w:before="0" w:after="0"/>
            </w:pPr>
            <w:r>
              <w:rPr>
                <w:rFonts w:ascii="Arial" w:hAnsi="Arial"/>
                <w:b/>
                <w:sz w:val="19"/>
              </w:rPr>
              <w:t>Details</w:t>
            </w:r>
          </w:p>
        </w:tc>
      </w:tr>
      <w:tr>
        <w:trPr>
          <w:cantSplit/>
        </w:trPr>
        <w:tc>
          <w:tcPr>
            <w:tcW w:type="dxa" w:w="3000"/>
            <w:tcMar>
              <w:top w:w="80" w:type="dxa"/>
              <w:start w:w="120" w:type="dxa"/>
              <w:bottom w:w="80" w:type="dxa"/>
              <w:end w:w="120" w:type="dxa"/>
            </w:tcMar>
            <w:vAlign w:val="center"/>
          </w:tcPr>
          <w:p>
            <w:pPr>
              <w:spacing w:before="0" w:after="0"/>
            </w:pPr>
            <w:r>
              <w:rPr>
                <w:rFonts w:ascii="Arial" w:hAnsi="Arial"/>
                <w:b w:val="0"/>
                <w:sz w:val="19"/>
              </w:rPr>
              <w:t>Portfolio Manager</w:t>
            </w:r>
          </w:p>
        </w:tc>
        <w:tc>
          <w:tcPr>
            <w:tcW w:type="dxa" w:w="6864"/>
            <w:tcMar>
              <w:top w:w="80" w:type="dxa"/>
              <w:start w:w="120" w:type="dxa"/>
              <w:bottom w:w="80" w:type="dxa"/>
              <w:end w:w="120" w:type="dxa"/>
            </w:tcMar>
            <w:vAlign w:val="center"/>
          </w:tcPr>
          <w:p>
            <w:pPr>
              <w:spacing w:before="0" w:after="0"/>
            </w:pPr>
            <w:r>
              <w:rPr>
                <w:rFonts w:ascii="Arial" w:hAnsi="Arial"/>
                <w:b w:val="0"/>
                <w:sz w:val="19"/>
              </w:rPr>
              <w:t>Archie Ma</w:t>
              <w:br/>
              <w:t>archie.ma@xsquaredcapital.com</w:t>
            </w:r>
          </w:p>
        </w:tc>
      </w:tr>
    </w:tbl>
    <w:p>
      <w:r>
        <w:br w:type="page"/>
      </w:r>
    </w:p>
    <w:p>
      <w:pPr>
        <w:pStyle w:val="Heading1"/>
      </w:pPr>
      <w:r>
        <w:t>Disclaimer</w:t>
      </w:r>
    </w:p>
    <w:p>
      <w:pPr>
        <w:pStyle w:val="Disclaimer"/>
      </w:pPr>
      <w:r>
        <w:t>This document is prepared for general communication for informational purposes only.</w:t>
      </w:r>
    </w:p>
    <w:p>
      <w:pPr>
        <w:pStyle w:val="Disclaimer"/>
      </w:pPr>
      <w:r>
        <w:t>X Squared Capital Management LPF (the “Fund”) is a limited partnership fund registered under the laws of Hong Kong.</w:t>
      </w:r>
    </w:p>
    <w:p>
      <w:pPr>
        <w:pStyle w:val="Disclaimer"/>
      </w:pPr>
      <w:r>
        <w:t>This document has not been reviewed by any Hong Kong authority or the Securities and Futures Commission of Hong Kong (“HKSFC”). ARC Partners Limited is the General Partner of the Fund. Solomon Capital Management Limited (“Solomon”), the Investment Manager of the Fund, is regulated by the HKSFC to conduct Type 1, Type 4 and Type 9 regulated activities. The Type 9 regulated activity is subject to the condition that Solomon shall only provide services to professional investors.</w:t>
      </w:r>
    </w:p>
    <w:p>
      <w:pPr>
        <w:pStyle w:val="Disclaimer"/>
      </w:pPr>
      <w:r>
        <w:t>Different fee structures and terms are applicable subject to the respective series of interests. Potential investors should read the offering documents carefully before deciding whether to invest.</w:t>
      </w:r>
    </w:p>
    <w:p>
      <w:pPr>
        <w:pStyle w:val="Disclaimer"/>
      </w:pPr>
      <w:r>
        <w:t>While reasonable care has been exercised in preparing this document, Solomon does not warrant its completeness or accuracy and is not responsible for damages arising from reliance upon this information.</w:t>
      </w:r>
    </w:p>
    <w:p>
      <w:pPr>
        <w:pStyle w:val="Disclaimer"/>
      </w:pPr>
      <w:r>
        <w:t>This document is for information only and is not an offer, solicitation or recommendation. Past performance and forecasts are not necessarily indicative of future performance.</w:t>
      </w:r>
    </w:p>
    <w:p>
      <w:pPr>
        <w:pStyle w:val="Disclaimer"/>
      </w:pPr>
      <w:r>
        <w:t>Investing in equities, fixed income, commodities, FX and derivatives involves a high degree of risk. Investors should consider their circumstances and seek professional advice.</w:t>
      </w:r>
    </w:p>
    <w:p>
      <w:pPr>
        <w:pStyle w:val="Disclaimer"/>
      </w:pPr>
      <w:r>
        <w:t>All opinions, projections and estimates are as of the publication date and may change without notice. Forward-looking statements involve risks and uncertainties. This information is confidential and intended only for the recipient.</w:t>
      </w:r>
    </w:p>
    <w:p>
      <w:pPr>
        <w:pStyle w:val="Disclaimer"/>
      </w:pPr>
      <w:r>
        <w:rPr>
          <w:b/>
        </w:rPr>
        <w:t xml:space="preserve">Calculation and provenance: </w:t>
      </w:r>
      <w:r>
        <w:t>legacy_excel_v1 | Report ID 1 | Version 1 | Snapshot 2026-07-18T02:52:18.470747+00:00 | RFR MANUAL / MANUAL</w:t>
      </w:r>
    </w:p>
    <w:sectPr w:rsidR="00FC693F" w:rsidRPr="0006063C" w:rsidSect="00034616">
      <w:footerReference w:type="default" r:id="rId9"/>
      <w:footerReference w:type="even" r:id="rId10"/>
      <w:footerReference w:type="first" r:id="rId11"/>
      <w:pgSz w:w="11906" w:h="16838"/>
      <w:pgMar w:top="1020" w:right="1020" w:bottom="1020" w:left="102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07D"/>
        <w:sz w:val="16"/>
      </w:rPr>
      <w:t xml:space="preserve">xsq | Report 1 | 2026 Q1 v1 | Generated 2026-07-18 02:52 UTC | Page </w:t>
    </w:r>
    <w:r>
      <w:rPr>
        <w:rFonts w:ascii="Arial" w:hAnsi="Arial"/>
        <w:color w:val="64707D"/>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07D"/>
        <w:sz w:val="16"/>
      </w:rPr>
      <w:t xml:space="preserve">xsq | Report 1 | 2026 Q1 v1 | Generated 2026-07-18 02:52 UTC | Page </w:t>
    </w:r>
    <w:r>
      <w:rPr>
        <w:rFonts w:ascii="Arial" w:hAnsi="Arial"/>
        <w:color w:val="64707D"/>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07D"/>
        <w:sz w:val="16"/>
      </w:rPr>
      <w:t xml:space="preserve">xsq | Report 1 | 2026 Q1 v1 | Generated 2026-07-18 02:52 UTC | Page </w:t>
    </w:r>
    <w:r>
      <w:rPr>
        <w:rFonts w:ascii="Arial" w:hAnsi="Arial"/>
        <w:color w:val="64707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83B7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83B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83B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claimer">
    <w:name w:val="Disclaimer"/>
    <w:pPr>
      <w:spacing w:after="120" w:line="276" w:lineRule="auto"/>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jpe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 Squared Capital Management LPF - 2026 Q1 Quarterly Report</dc:title>
  <dc:subject>NAV quarterly report for MANU</dc:subject>
  <dc:creator>NAV Quarterly Reporting</dc:creator>
  <cp:keywords>report_id=1; version=1; formula=legacy_excel_v1</cp:keywords>
  <dc:description>Snapshot captured at 2026-07-18T02:52:18.470747+00:00</dc:description>
  <cp:lastModifiedBy/>
  <cp:revision>1</cp:revision>
  <dcterms:created xsi:type="dcterms:W3CDTF">2013-12-23T23:15:00Z</dcterms:created>
  <dcterms:modified xsi:type="dcterms:W3CDTF">2013-12-23T23:15:00Z</dcterms:modified>
  <cp:category/>
</cp:coreProperties>
</file>