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/>
        </w:rPr>
      </w:pPr>
      <w:r>
        <w:rPr>
          <w:b/>
          <w:bCs/>
          <w:sz w:val="56"/>
          <w:szCs w:val="56"/>
          <w:u w:val="single"/>
        </w:rPr>
        <w:t>PRÁCTICA UX – USABILIDAD.</w:t>
      </w:r>
      <w:r>
        <w:rPr>
          <w:rFonts w:hint="default"/>
        </w:rPr>
        <w:br w:type="textWrapping"/>
      </w:r>
    </w:p>
    <w:p>
      <w:pPr>
        <w:jc w:val="center"/>
        <w:rPr>
          <w:rFonts w:hint="default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Buscar una página web y realizar el análisis UX y de usabilidad según los patrones</w:t>
      </w:r>
      <w:r>
        <w:rPr>
          <w:rFonts w:hint="default"/>
          <w:b/>
          <w:bCs/>
          <w:sz w:val="22"/>
          <w:szCs w:val="22"/>
        </w:rPr>
        <w:br w:type="textWrapping"/>
      </w:r>
      <w:r>
        <w:rPr>
          <w:rFonts w:hint="default"/>
          <w:b/>
          <w:bCs/>
          <w:sz w:val="22"/>
          <w:szCs w:val="22"/>
        </w:rPr>
        <w:t>establecidos.</w:t>
      </w:r>
    </w:p>
    <w:p>
      <w:pPr>
        <w:numPr>
          <w:numId w:val="0"/>
        </w:numPr>
        <w:jc w:val="both"/>
        <w:rPr>
          <w:rFonts w:hint="default"/>
        </w:rPr>
      </w:pPr>
    </w:p>
    <w:p/>
    <w:p>
      <w:r>
        <w:drawing>
          <wp:inline distT="0" distB="0" distL="114300" distR="114300">
            <wp:extent cx="5262880" cy="2392045"/>
            <wp:effectExtent l="0" t="0" r="1397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En el caso de esta página, </w:t>
      </w:r>
      <w:r>
        <w:rPr>
          <w:rFonts w:hint="default"/>
          <w:lang w:val="es-ES"/>
        </w:rPr>
        <w:fldChar w:fldCharType="begin"/>
      </w:r>
      <w:r>
        <w:rPr>
          <w:rFonts w:hint="default"/>
          <w:lang w:val="es-ES"/>
        </w:rPr>
        <w:instrText xml:space="preserve"> HYPERLINK "https://www.snouts.es/" </w:instrText>
      </w:r>
      <w:r>
        <w:rPr>
          <w:rFonts w:hint="default"/>
          <w:lang w:val="es-ES"/>
        </w:rPr>
        <w:fldChar w:fldCharType="separate"/>
      </w:r>
      <w:r>
        <w:rPr>
          <w:rStyle w:val="4"/>
          <w:rFonts w:hint="default"/>
          <w:lang w:val="es-ES"/>
        </w:rPr>
        <w:t>Snouts</w:t>
      </w:r>
      <w:r>
        <w:rPr>
          <w:rFonts w:hint="default"/>
          <w:lang w:val="es-ES"/>
        </w:rPr>
        <w:fldChar w:fldCharType="end"/>
      </w:r>
      <w:r>
        <w:rPr>
          <w:rFonts w:hint="default"/>
          <w:lang w:val="es-ES"/>
        </w:rPr>
        <w:t>, son muchos los errores de usabilidad que se pueden apreciar.</w:t>
      </w:r>
    </w:p>
    <w:p/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En primer lugar, en esta pantalla de inicio, es evidente que se utiliza un diseño que no es minimalista ni estético, utilizando imágenes con distintos estilos: realista (la imagen de las verduras y el aceite), logos blancos (los de la sal, leche, azucar...), logos a color (los de las redes sociales, la cesta...), además de usar distintas fuentes de letras sin motivo ni coherencia.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En cuanto a la visibilidad del sistema, la página hace bien al iluminar los enlaces, o mostrar interacción en los productos al colocar el cursor sobre ello.</w:t>
      </w:r>
    </w:p>
    <w:p>
      <w:r>
        <w:rPr>
          <w:color w:val="FFFFFF" w:themeColor="background1"/>
          <w:sz w:val="20"/>
          <w14:textFill>
            <w14:solidFill>
              <w14:schemeClr w14:val="bg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-229870</wp:posOffset>
                </wp:positionH>
                <wp:positionV relativeFrom="paragraph">
                  <wp:posOffset>106680</wp:posOffset>
                </wp:positionV>
                <wp:extent cx="2752725" cy="2704465"/>
                <wp:effectExtent l="14605" t="14605" r="13970" b="24130"/>
                <wp:wrapNone/>
                <wp:docPr id="4" name="Óva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305" y="7583805"/>
                          <a:ext cx="2752725" cy="2704465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8.1pt;margin-top:8.4pt;height:212.95pt;width:216.75pt;z-index:251659264;v-text-anchor:middle;mso-width-relative:page;mso-height-relative:page;" filled="f" stroked="t" coordsize="21600,21600" o:gfxdata="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AqtOvvZAAAACgEAAA8AAAAAAAAAAQAgAAAAIgAA&#10;AGRycy9kb3ducmV2LnhtbFBLAQIUABQAAAAIAIdO4kAvx0BheQIAAOYEAAAOAAAAAAAAAAEAIAAA&#10;ACgBAABkcnMvZTJvRG9jLnhtbFBLBQYAAAAABgAGAFkBAAATBgAAAAA=&#10;">
                <v:fill on="f" focussize="0,0"/>
                <v:stroke weight="2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w:drawing>
          <wp:inline distT="0" distB="0" distL="114300" distR="114300">
            <wp:extent cx="5179695" cy="2395220"/>
            <wp:effectExtent l="0" t="0" r="190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5"/>
                    <a:srcRect l="7749" t="15581" r="10207" b="16952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Encuentro un error grave de control y libertad de usuario a la hora de entrar por primera vez a la página, ya que aparentemente no puedes crear una cuenta sin hacer un pedido, y en la página principal solo se te permite iniciar sesión en una cuenta ya existente, no hay forma de registrarse directamente.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5267960" cy="2417445"/>
            <wp:effectExtent l="0" t="0" r="8890" b="190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La prevención de errores es la adecuada, mostrando el error al acceder a una pagina que no existe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o los errores cometidos a la hora de, por ejemplo, iniciar sesión.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269230" cy="2411730"/>
            <wp:effectExtent l="0" t="0" r="7620" b="762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5271770" cy="2407920"/>
            <wp:effectExtent l="0" t="0" r="5080" b="1143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D15B9C"/>
    <w:multiLevelType w:val="singleLevel"/>
    <w:tmpl w:val="37D15B9C"/>
    <w:lvl w:ilvl="0" w:tentative="0">
      <w:start w:val="1"/>
      <w:numFmt w:val="upperLetter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AD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Office_12.2.0.13208_F1E327BC-269C-435d-A152-05C5408002CA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2023-09-15T10:24:20Z</dcterms:created>
  <dc:creator>Mañana_posx</dc:creator>
  <cp:lastModifiedBy>Mañana_pos1</cp:lastModifiedBy>
  <dcterms:modified xsi:type="dcterms:W3CDTF">2023-09-15T10:45:04Z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3082-12.2.0.13208</vt:lpwstr>
  </property>
  <property fmtid="{D5CDD505-2E9C-101B-9397-08002B2CF9AE}" pid="3" name="ICV">
    <vt:lpwstr>BE7A23D7FED54EA8BDED908BFAF04A42_12</vt:lpwstr>
  </property>
</Properties>
</file>