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aramond" w:hAnsi="Garamond"/>
          <w:b/>
          <w:color w:val="1F3864"/>
          <w:sz w:val="44"/>
        </w:rPr>
        <w:t>SPX Weekly Ops &amp; Compliance Report</w:t>
      </w:r>
    </w:p>
    <w:p>
      <w:r>
        <w:rPr>
          <w:rFonts w:ascii="Garamond" w:hAnsi="Garamond"/>
          <w:color w:val="888888"/>
          <w:sz w:val="22"/>
        </w:rPr>
        <w:t>Week of 16 April 2026  ·  Auto-generated by Cowork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FEE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1F3864"/>
                <w:sz w:val="48"/>
              </w:rPr>
              <w:t>3</w:t>
            </w:r>
          </w:p>
          <w:p>
            <w:pPr>
              <w:jc w:val="center"/>
            </w:pPr>
            <w:r>
              <w:rPr>
                <w:rFonts w:ascii="Garamond" w:hAnsi="Garamond"/>
                <w:color w:val="888888"/>
                <w:sz w:val="18"/>
              </w:rPr>
              <w:t>KPI Flags</w:t>
            </w:r>
          </w:p>
        </w:tc>
        <w:tc>
          <w:tcPr>
            <w:tcW w:type="dxa" w:w="2351"/>
            <w:shd w:val="clear" w:color="auto" w:fill="FFCC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1F3864"/>
                <w:sz w:val="48"/>
              </w:rPr>
              <w:t>3</w:t>
            </w:r>
          </w:p>
          <w:p>
            <w:pPr>
              <w:jc w:val="center"/>
            </w:pPr>
            <w:r>
              <w:rPr>
                <w:rFonts w:ascii="Garamond" w:hAnsi="Garamond"/>
                <w:color w:val="888888"/>
                <w:sz w:val="18"/>
              </w:rPr>
              <w:t>Permit RED</w:t>
            </w:r>
          </w:p>
        </w:tc>
        <w:tc>
          <w:tcPr>
            <w:tcW w:type="dxa" w:w="2351"/>
            <w:shd w:val="clear" w:color="auto" w:fill="FFCC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1F3864"/>
                <w:sz w:val="48"/>
              </w:rPr>
              <w:t>1</w:t>
            </w:r>
          </w:p>
          <w:p>
            <w:pPr>
              <w:jc w:val="center"/>
            </w:pPr>
            <w:r>
              <w:rPr>
                <w:rFonts w:ascii="Garamond" w:hAnsi="Garamond"/>
                <w:color w:val="888888"/>
                <w:sz w:val="18"/>
              </w:rPr>
              <w:t>Overdue Actions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1F3864"/>
                <w:sz w:val="48"/>
              </w:rPr>
              <w:t>4</w:t>
            </w:r>
          </w:p>
          <w:p>
            <w:pPr>
              <w:jc w:val="center"/>
            </w:pPr>
            <w:r>
              <w:rPr>
                <w:rFonts w:ascii="Garamond" w:hAnsi="Garamond"/>
                <w:color w:val="888888"/>
                <w:sz w:val="18"/>
              </w:rPr>
              <w:t>Incidents (Week)</w:t>
            </w:r>
          </w:p>
        </w:tc>
      </w:tr>
    </w:tbl>
    <w:p/>
    <w:p>
      <w:pPr>
        <w:spacing w:before="360" w:after="80"/>
        <w:pBdr>
          <w:bottom w:val="single" w:sz="8" w:space="4" w:color="1F3864"/>
        </w:pBdr>
      </w:pPr>
      <w:r>
        <w:rPr>
          <w:rFonts w:ascii="Garamond" w:hAnsi="Garamond"/>
          <w:b/>
          <w:color w:val="1F3864"/>
          <w:sz w:val="32"/>
        </w:rPr>
        <w:t>1. KPI Performance Dashboard</w:t>
      </w:r>
    </w:p>
    <w:p>
      <w:pPr>
        <w:spacing w:before="40" w:after="80"/>
      </w:pPr>
      <w:r>
        <w:rPr>
          <w:rFonts w:ascii="Garamond" w:hAnsi="Garamond"/>
          <w:b w:val="0"/>
          <w:color w:val="000000"/>
          <w:sz w:val="20"/>
        </w:rPr>
        <w:t>Week ending 16 Apr 2026. Threshold: flag on ±5% WoW change. 3 metric(s) flagged this week.</w:t>
      </w:r>
    </w:p>
    <w:p>
      <w:pPr>
        <w:spacing w:before="240" w:after="80"/>
      </w:pPr>
      <w:r>
        <w:rPr>
          <w:rFonts w:ascii="Garamond" w:hAnsi="Garamond"/>
          <w:b/>
          <w:color w:val="1B6B93"/>
          <w:sz w:val="26"/>
        </w:rPr>
        <w:t>Top Misses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Hub</w:t>
            </w:r>
          </w:p>
        </w:tc>
        <w:tc>
          <w:tcPr>
            <w:tcW w:type="dxa" w:w="2835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417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This Week</w:t>
            </w:r>
          </w:p>
        </w:tc>
        <w:tc>
          <w:tcPr>
            <w:tcW w:type="dxa" w:w="1417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Last Week</w:t>
            </w:r>
          </w:p>
        </w:tc>
        <w:tc>
          <w:tcPr>
            <w:tcW w:type="dxa" w:w="1417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Δ %</w:t>
            </w:r>
          </w:p>
        </w:tc>
      </w:tr>
      <w:tr>
        <w:tc>
          <w:tcPr>
            <w:tcW w:type="dxa" w:w="188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Cebu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Exception Rate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5.8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4.1</w:t>
            </w:r>
          </w:p>
        </w:tc>
        <w:tc>
          <w:tcPr>
            <w:tcW w:type="dxa" w:w="1881"/>
            <w:shd w:val="clear" w:color="auto" w:fill="FFEE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+41.5%</w:t>
            </w:r>
          </w:p>
        </w:tc>
      </w:tr>
      <w:tr>
        <w:tc>
          <w:tcPr>
            <w:tcW w:type="dxa" w:w="188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Arayat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Exception Rate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3.2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2.8</w:t>
            </w:r>
          </w:p>
        </w:tc>
        <w:tc>
          <w:tcPr>
            <w:tcW w:type="dxa" w:w="1881"/>
            <w:shd w:val="clear" w:color="auto" w:fill="FFEE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+14.3%</w:t>
            </w:r>
          </w:p>
        </w:tc>
      </w:tr>
      <w:tr>
        <w:tc>
          <w:tcPr>
            <w:tcW w:type="dxa" w:w="188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Cebu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SLA Rate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79.3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88.5</w:t>
            </w:r>
          </w:p>
        </w:tc>
        <w:tc>
          <w:tcPr>
            <w:tcW w:type="dxa" w:w="1881"/>
            <w:shd w:val="clear" w:color="auto" w:fill="FFEE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-10.4%</w:t>
            </w:r>
          </w:p>
        </w:tc>
      </w:tr>
    </w:tbl>
    <w:p>
      <w:pPr>
        <w:spacing w:before="240" w:after="80"/>
      </w:pPr>
      <w:r>
        <w:rPr>
          <w:rFonts w:ascii="Garamond" w:hAnsi="Garamond"/>
          <w:b/>
          <w:color w:val="1B6B93"/>
          <w:sz w:val="26"/>
        </w:rPr>
        <w:t>Full KPI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701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Hub</w:t>
            </w:r>
          </w:p>
        </w:tc>
        <w:tc>
          <w:tcPr>
            <w:tcW w:type="dxa" w:w="2551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134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This Wk</w:t>
            </w:r>
          </w:p>
        </w:tc>
        <w:tc>
          <w:tcPr>
            <w:tcW w:type="dxa" w:w="1134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Last Wk</w:t>
            </w:r>
          </w:p>
        </w:tc>
        <w:tc>
          <w:tcPr>
            <w:tcW w:type="dxa" w:w="1134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134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Δ %</w:t>
            </w:r>
          </w:p>
        </w:tc>
        <w:tc>
          <w:tcPr>
            <w:tcW w:type="dxa" w:w="850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RAG</w:t>
            </w:r>
          </w:p>
        </w:tc>
      </w:tr>
      <w:tr>
        <w:tc>
          <w:tcPr>
            <w:tcW w:type="dxa" w:w="134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Arayat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SLA Rate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92.1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95.4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95.0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-3.5%</w:t>
            </w:r>
          </w:p>
        </w:tc>
        <w:tc>
          <w:tcPr>
            <w:tcW w:type="dxa" w:w="1344"/>
            <w:shd w:val="clear" w:color="auto" w:fill="FFCC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RED</w:t>
            </w:r>
          </w:p>
        </w:tc>
      </w:tr>
      <w:tr>
        <w:tc>
          <w:tcPr>
            <w:tcW w:type="dxa" w:w="134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Arayat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Productivity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88.0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89.5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90.0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-1.7%</w:t>
            </w:r>
          </w:p>
        </w:tc>
        <w:tc>
          <w:tcPr>
            <w:tcW w:type="dxa" w:w="1344"/>
            <w:shd w:val="clear" w:color="auto" w:fill="FFF0B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AMBER</w:t>
            </w:r>
          </w:p>
        </w:tc>
      </w:tr>
      <w:tr>
        <w:tc>
          <w:tcPr>
            <w:tcW w:type="dxa" w:w="134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Arayat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Scan Compliance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97.2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97.0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98.0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+0.2%</w:t>
            </w:r>
          </w:p>
        </w:tc>
        <w:tc>
          <w:tcPr>
            <w:tcW w:type="dxa" w:w="1344"/>
            <w:shd w:val="clear" w:color="auto" w:fill="FFF0B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AMBER</w:t>
            </w:r>
          </w:p>
        </w:tc>
      </w:tr>
      <w:tr>
        <w:tc>
          <w:tcPr>
            <w:tcW w:type="dxa" w:w="134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Arayat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Exception Rate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3.2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2.8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3.0</w:t>
            </w:r>
          </w:p>
        </w:tc>
        <w:tc>
          <w:tcPr>
            <w:tcW w:type="dxa" w:w="1344"/>
            <w:shd w:val="clear" w:color="auto" w:fill="FFEE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+14.3%</w:t>
            </w:r>
          </w:p>
        </w:tc>
        <w:tc>
          <w:tcPr>
            <w:tcW w:type="dxa" w:w="1344"/>
            <w:shd w:val="clear" w:color="auto" w:fill="FFCC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RED</w:t>
            </w:r>
          </w:p>
        </w:tc>
      </w:tr>
      <w:tr>
        <w:tc>
          <w:tcPr>
            <w:tcW w:type="dxa" w:w="134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Laguna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SLA Rate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94.5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94.2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95.0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+0.3%</w:t>
            </w:r>
          </w:p>
        </w:tc>
        <w:tc>
          <w:tcPr>
            <w:tcW w:type="dxa" w:w="1344"/>
            <w:shd w:val="clear" w:color="auto" w:fill="FFF0B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AMBER</w:t>
            </w:r>
          </w:p>
        </w:tc>
      </w:tr>
      <w:tr>
        <w:tc>
          <w:tcPr>
            <w:tcW w:type="dxa" w:w="134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Laguna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Productivity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91.3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90.8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90.0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+0.6%</w:t>
            </w:r>
          </w:p>
        </w:tc>
        <w:tc>
          <w:tcPr>
            <w:tcW w:type="dxa" w:w="1344"/>
            <w:shd w:val="clear" w:color="auto" w:fill="CCFF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GREEN</w:t>
            </w:r>
          </w:p>
        </w:tc>
      </w:tr>
      <w:tr>
        <w:tc>
          <w:tcPr>
            <w:tcW w:type="dxa" w:w="134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Laguna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Scan Compliance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98.1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98.5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98.0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-0.4%</w:t>
            </w:r>
          </w:p>
        </w:tc>
        <w:tc>
          <w:tcPr>
            <w:tcW w:type="dxa" w:w="1344"/>
            <w:shd w:val="clear" w:color="auto" w:fill="CCFF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GREEN</w:t>
            </w:r>
          </w:p>
        </w:tc>
      </w:tr>
      <w:tr>
        <w:tc>
          <w:tcPr>
            <w:tcW w:type="dxa" w:w="134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Laguna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Exception Rate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2.1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2.3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3.0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-8.7%</w:t>
            </w:r>
          </w:p>
        </w:tc>
        <w:tc>
          <w:tcPr>
            <w:tcW w:type="dxa" w:w="1344"/>
            <w:shd w:val="clear" w:color="auto" w:fill="CCFF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GREEN</w:t>
            </w:r>
          </w:p>
        </w:tc>
      </w:tr>
      <w:tr>
        <w:tc>
          <w:tcPr>
            <w:tcW w:type="dxa" w:w="134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Cebu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SLA Rate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79.3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88.5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95.0</w:t>
            </w:r>
          </w:p>
        </w:tc>
        <w:tc>
          <w:tcPr>
            <w:tcW w:type="dxa" w:w="1344"/>
            <w:shd w:val="clear" w:color="auto" w:fill="FFEE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-10.4%</w:t>
            </w:r>
          </w:p>
        </w:tc>
        <w:tc>
          <w:tcPr>
            <w:tcW w:type="dxa" w:w="1344"/>
            <w:shd w:val="clear" w:color="auto" w:fill="FFCC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RED</w:t>
            </w:r>
          </w:p>
        </w:tc>
      </w:tr>
      <w:tr>
        <w:tc>
          <w:tcPr>
            <w:tcW w:type="dxa" w:w="134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Cebu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Productivity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82.4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85.1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90.0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-3.2%</w:t>
            </w:r>
          </w:p>
        </w:tc>
        <w:tc>
          <w:tcPr>
            <w:tcW w:type="dxa" w:w="1344"/>
            <w:shd w:val="clear" w:color="auto" w:fill="FFCC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RED</w:t>
            </w:r>
          </w:p>
        </w:tc>
      </w:tr>
      <w:tr>
        <w:tc>
          <w:tcPr>
            <w:tcW w:type="dxa" w:w="134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Cebu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Scan Compliance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94.0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96.2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98.0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-2.3%</w:t>
            </w:r>
          </w:p>
        </w:tc>
        <w:tc>
          <w:tcPr>
            <w:tcW w:type="dxa" w:w="1344"/>
            <w:shd w:val="clear" w:color="auto" w:fill="FFCC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RED</w:t>
            </w:r>
          </w:p>
        </w:tc>
      </w:tr>
      <w:tr>
        <w:tc>
          <w:tcPr>
            <w:tcW w:type="dxa" w:w="134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Cebu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Exception Rate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5.8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4.1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3.0</w:t>
            </w:r>
          </w:p>
        </w:tc>
        <w:tc>
          <w:tcPr>
            <w:tcW w:type="dxa" w:w="1344"/>
            <w:shd w:val="clear" w:color="auto" w:fill="FFEE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+41.5%</w:t>
            </w:r>
          </w:p>
        </w:tc>
        <w:tc>
          <w:tcPr>
            <w:tcW w:type="dxa" w:w="1344"/>
            <w:shd w:val="clear" w:color="auto" w:fill="FFCC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RED</w:t>
            </w:r>
          </w:p>
        </w:tc>
      </w:tr>
      <w:tr>
        <w:tc>
          <w:tcPr>
            <w:tcW w:type="dxa" w:w="134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Davao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SLA Rate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96.2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95.8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95.0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+0.4%</w:t>
            </w:r>
          </w:p>
        </w:tc>
        <w:tc>
          <w:tcPr>
            <w:tcW w:type="dxa" w:w="1344"/>
            <w:shd w:val="clear" w:color="auto" w:fill="CCFF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GREEN</w:t>
            </w:r>
          </w:p>
        </w:tc>
      </w:tr>
      <w:tr>
        <w:tc>
          <w:tcPr>
            <w:tcW w:type="dxa" w:w="134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Davao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Productivity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92.0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91.5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90.0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+0.5%</w:t>
            </w:r>
          </w:p>
        </w:tc>
        <w:tc>
          <w:tcPr>
            <w:tcW w:type="dxa" w:w="1344"/>
            <w:shd w:val="clear" w:color="auto" w:fill="CCFF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GREEN</w:t>
            </w:r>
          </w:p>
        </w:tc>
      </w:tr>
      <w:tr>
        <w:tc>
          <w:tcPr>
            <w:tcW w:type="dxa" w:w="134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Davao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Scan Compliance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99.1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98.8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98.0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+0.3%</w:t>
            </w:r>
          </w:p>
        </w:tc>
        <w:tc>
          <w:tcPr>
            <w:tcW w:type="dxa" w:w="1344"/>
            <w:shd w:val="clear" w:color="auto" w:fill="CCFF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GREEN</w:t>
            </w:r>
          </w:p>
        </w:tc>
      </w:tr>
      <w:tr>
        <w:tc>
          <w:tcPr>
            <w:tcW w:type="dxa" w:w="134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Davao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Exception Rate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1.9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2.0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3.0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-5.0%</w:t>
            </w:r>
          </w:p>
        </w:tc>
        <w:tc>
          <w:tcPr>
            <w:tcW w:type="dxa" w:w="1344"/>
            <w:shd w:val="clear" w:color="auto" w:fill="CCFF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GREEN</w:t>
            </w:r>
          </w:p>
        </w:tc>
      </w:tr>
    </w:tbl>
    <w:p>
      <w:r>
        <w:br w:type="page"/>
      </w:r>
    </w:p>
    <w:p>
      <w:pPr>
        <w:spacing w:before="360" w:after="80"/>
        <w:pBdr>
          <w:bottom w:val="single" w:sz="8" w:space="4" w:color="1F3864"/>
        </w:pBdr>
      </w:pPr>
      <w:r>
        <w:rPr>
          <w:rFonts w:ascii="Garamond" w:hAnsi="Garamond"/>
          <w:b/>
          <w:color w:val="1F3864"/>
          <w:sz w:val="32"/>
        </w:rPr>
        <w:t>2. Compliance Permit Risk Matrix</w:t>
      </w:r>
    </w:p>
    <w:p>
      <w:pPr>
        <w:spacing w:before="40" w:after="80"/>
      </w:pPr>
      <w:r>
        <w:rPr>
          <w:rFonts w:ascii="Garamond" w:hAnsi="Garamond"/>
          <w:b w:val="0"/>
          <w:color w:val="000000"/>
          <w:sz w:val="20"/>
        </w:rPr>
        <w:t>Total permits tracked: 12  ·  RED (≤30 days): 3  ·  AMBER (31–60 days): 1  ·  GREEN (&gt;60 days): 8</w:t>
      </w:r>
    </w:p>
    <w:p>
      <w:pPr>
        <w:spacing w:before="240" w:after="80"/>
      </w:pPr>
      <w:r>
        <w:rPr>
          <w:rFonts w:ascii="Garamond" w:hAnsi="Garamond"/>
          <w:b/>
          <w:color w:val="1B6B93"/>
          <w:sz w:val="26"/>
        </w:rPr>
        <w:t>Action Required (RED + AMBER)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701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Hub</w:t>
            </w:r>
          </w:p>
        </w:tc>
        <w:tc>
          <w:tcPr>
            <w:tcW w:type="dxa" w:w="1134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Site</w:t>
            </w:r>
          </w:p>
        </w:tc>
        <w:tc>
          <w:tcPr>
            <w:tcW w:type="dxa" w:w="2268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Permit Type</w:t>
            </w:r>
          </w:p>
        </w:tc>
        <w:tc>
          <w:tcPr>
            <w:tcW w:type="dxa" w:w="1417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Expiry Date</w:t>
            </w:r>
          </w:p>
        </w:tc>
        <w:tc>
          <w:tcPr>
            <w:tcW w:type="dxa" w:w="850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Days</w:t>
            </w:r>
          </w:p>
        </w:tc>
        <w:tc>
          <w:tcPr>
            <w:tcW w:type="dxa" w:w="1701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Cebu</w:t>
            </w:r>
          </w:p>
        </w:tc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CEB-003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Business Permit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2026-04-10</w:t>
            </w:r>
          </w:p>
        </w:tc>
        <w:tc>
          <w:tcPr>
            <w:tcW w:type="dxa" w:w="1568"/>
            <w:shd w:val="clear" w:color="auto" w:fill="FFCC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EXPIRED 6d ago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Pending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Arayat</w:t>
            </w:r>
          </w:p>
        </w:tc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ARA-001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BFP Certificate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2026-04-20</w:t>
            </w:r>
          </w:p>
        </w:tc>
        <w:tc>
          <w:tcPr>
            <w:tcW w:type="dxa" w:w="1568"/>
            <w:shd w:val="clear" w:color="auto" w:fill="FFCC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4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Pending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Arayat</w:t>
            </w:r>
          </w:p>
        </w:tc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ARA-001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Business Permit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2026-05-01</w:t>
            </w:r>
          </w:p>
        </w:tc>
        <w:tc>
          <w:tcPr>
            <w:tcW w:type="dxa" w:w="1568"/>
            <w:shd w:val="clear" w:color="auto" w:fill="FFCC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15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Filed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Cebu</w:t>
            </w:r>
          </w:p>
        </w:tc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CEB-003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Sanitary Permit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2026-05-25</w:t>
            </w:r>
          </w:p>
        </w:tc>
        <w:tc>
          <w:tcPr>
            <w:tcW w:type="dxa" w:w="1568"/>
            <w:shd w:val="clear" w:color="auto" w:fill="FFF0B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39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Not Started</w:t>
            </w:r>
          </w:p>
        </w:tc>
      </w:tr>
    </w:tbl>
    <w:p>
      <w:pPr>
        <w:spacing w:before="240" w:after="80"/>
      </w:pPr>
      <w:r>
        <w:rPr>
          <w:rFonts w:ascii="Garamond" w:hAnsi="Garamond"/>
          <w:b/>
          <w:color w:val="1B6B93"/>
          <w:sz w:val="26"/>
        </w:rPr>
        <w:t>Full Permit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701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Hub</w:t>
            </w:r>
          </w:p>
        </w:tc>
        <w:tc>
          <w:tcPr>
            <w:tcW w:type="dxa" w:w="1134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Site</w:t>
            </w:r>
          </w:p>
        </w:tc>
        <w:tc>
          <w:tcPr>
            <w:tcW w:type="dxa" w:w="2268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Permit Type</w:t>
            </w:r>
          </w:p>
        </w:tc>
        <w:tc>
          <w:tcPr>
            <w:tcW w:type="dxa" w:w="1417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Expiry Date</w:t>
            </w:r>
          </w:p>
        </w:tc>
        <w:tc>
          <w:tcPr>
            <w:tcW w:type="dxa" w:w="850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Days</w:t>
            </w:r>
          </w:p>
        </w:tc>
        <w:tc>
          <w:tcPr>
            <w:tcW w:type="dxa" w:w="1701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RAG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Cebu</w:t>
            </w:r>
          </w:p>
        </w:tc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CEB-003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Business Permit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2026-04-10</w:t>
            </w:r>
          </w:p>
        </w:tc>
        <w:tc>
          <w:tcPr>
            <w:tcW w:type="dxa" w:w="1568"/>
            <w:shd w:val="clear" w:color="auto" w:fill="FFCC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EXPIRED 6d</w:t>
            </w:r>
          </w:p>
        </w:tc>
        <w:tc>
          <w:tcPr>
            <w:tcW w:type="dxa" w:w="1568"/>
            <w:shd w:val="clear" w:color="auto" w:fill="FFCC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RED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Arayat</w:t>
            </w:r>
          </w:p>
        </w:tc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ARA-001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BFP Certificate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2026-04-20</w:t>
            </w:r>
          </w:p>
        </w:tc>
        <w:tc>
          <w:tcPr>
            <w:tcW w:type="dxa" w:w="1568"/>
            <w:shd w:val="clear" w:color="auto" w:fill="FFCC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568"/>
            <w:shd w:val="clear" w:color="auto" w:fill="FFCC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RED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Arayat</w:t>
            </w:r>
          </w:p>
        </w:tc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ARA-001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Business Permit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2026-05-01</w:t>
            </w:r>
          </w:p>
        </w:tc>
        <w:tc>
          <w:tcPr>
            <w:tcW w:type="dxa" w:w="1568"/>
            <w:shd w:val="clear" w:color="auto" w:fill="FFCC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1568"/>
            <w:shd w:val="clear" w:color="auto" w:fill="FFCC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RED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Cebu</w:t>
            </w:r>
          </w:p>
        </w:tc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CEB-003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Sanitary Permit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2026-05-25</w:t>
            </w:r>
          </w:p>
        </w:tc>
        <w:tc>
          <w:tcPr>
            <w:tcW w:type="dxa" w:w="1568"/>
            <w:shd w:val="clear" w:color="auto" w:fill="FFF0B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39</w:t>
            </w:r>
          </w:p>
        </w:tc>
        <w:tc>
          <w:tcPr>
            <w:tcW w:type="dxa" w:w="1568"/>
            <w:shd w:val="clear" w:color="auto" w:fill="FFF0B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AMBER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Davao</w:t>
            </w:r>
          </w:p>
        </w:tc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DAV-004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Sanitary Permit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2026-06-18</w:t>
            </w:r>
          </w:p>
        </w:tc>
        <w:tc>
          <w:tcPr>
            <w:tcW w:type="dxa" w:w="1568"/>
            <w:shd w:val="clear" w:color="auto" w:fill="CCFF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63</w:t>
            </w:r>
          </w:p>
        </w:tc>
        <w:tc>
          <w:tcPr>
            <w:tcW w:type="dxa" w:w="1568"/>
            <w:shd w:val="clear" w:color="auto" w:fill="CCFF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GREEN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Laguna</w:t>
            </w:r>
          </w:p>
        </w:tc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LAG-002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Business Permit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2026-06-30</w:t>
            </w:r>
          </w:p>
        </w:tc>
        <w:tc>
          <w:tcPr>
            <w:tcW w:type="dxa" w:w="1568"/>
            <w:shd w:val="clear" w:color="auto" w:fill="CCFF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75</w:t>
            </w:r>
          </w:p>
        </w:tc>
        <w:tc>
          <w:tcPr>
            <w:tcW w:type="dxa" w:w="1568"/>
            <w:shd w:val="clear" w:color="auto" w:fill="CCFF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GREEN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Arayat</w:t>
            </w:r>
          </w:p>
        </w:tc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ARA-001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Sanitary Permit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2026-07-15</w:t>
            </w:r>
          </w:p>
        </w:tc>
        <w:tc>
          <w:tcPr>
            <w:tcW w:type="dxa" w:w="1568"/>
            <w:shd w:val="clear" w:color="auto" w:fill="CCFF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90</w:t>
            </w:r>
          </w:p>
        </w:tc>
        <w:tc>
          <w:tcPr>
            <w:tcW w:type="dxa" w:w="1568"/>
            <w:shd w:val="clear" w:color="auto" w:fill="CCFF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GREEN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Laguna</w:t>
            </w:r>
          </w:p>
        </w:tc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LAG-002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Sanitary Permit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2026-08-20</w:t>
            </w:r>
          </w:p>
        </w:tc>
        <w:tc>
          <w:tcPr>
            <w:tcW w:type="dxa" w:w="1568"/>
            <w:shd w:val="clear" w:color="auto" w:fill="CCFF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126</w:t>
            </w:r>
          </w:p>
        </w:tc>
        <w:tc>
          <w:tcPr>
            <w:tcW w:type="dxa" w:w="1568"/>
            <w:shd w:val="clear" w:color="auto" w:fill="CCFF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GREEN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Laguna</w:t>
            </w:r>
          </w:p>
        </w:tc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LAG-002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BFP Certificate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2026-09-10</w:t>
            </w:r>
          </w:p>
        </w:tc>
        <w:tc>
          <w:tcPr>
            <w:tcW w:type="dxa" w:w="1568"/>
            <w:shd w:val="clear" w:color="auto" w:fill="CCFF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147</w:t>
            </w:r>
          </w:p>
        </w:tc>
        <w:tc>
          <w:tcPr>
            <w:tcW w:type="dxa" w:w="1568"/>
            <w:shd w:val="clear" w:color="auto" w:fill="CCFF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GREEN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Davao</w:t>
            </w:r>
          </w:p>
        </w:tc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DAV-004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BFP Certificate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2026-10-05</w:t>
            </w:r>
          </w:p>
        </w:tc>
        <w:tc>
          <w:tcPr>
            <w:tcW w:type="dxa" w:w="1568"/>
            <w:shd w:val="clear" w:color="auto" w:fill="CCFF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172</w:t>
            </w:r>
          </w:p>
        </w:tc>
        <w:tc>
          <w:tcPr>
            <w:tcW w:type="dxa" w:w="1568"/>
            <w:shd w:val="clear" w:color="auto" w:fill="CCFF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GREEN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Davao</w:t>
            </w:r>
          </w:p>
        </w:tc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DAV-004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Business Permit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2026-11-15</w:t>
            </w:r>
          </w:p>
        </w:tc>
        <w:tc>
          <w:tcPr>
            <w:tcW w:type="dxa" w:w="1568"/>
            <w:shd w:val="clear" w:color="auto" w:fill="CCFF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213</w:t>
            </w:r>
          </w:p>
        </w:tc>
        <w:tc>
          <w:tcPr>
            <w:tcW w:type="dxa" w:w="1568"/>
            <w:shd w:val="clear" w:color="auto" w:fill="CCFF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GREEN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Cebu</w:t>
            </w:r>
          </w:p>
        </w:tc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CEB-003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BFP Certificate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2026-12-31</w:t>
            </w:r>
          </w:p>
        </w:tc>
        <w:tc>
          <w:tcPr>
            <w:tcW w:type="dxa" w:w="1568"/>
            <w:shd w:val="clear" w:color="auto" w:fill="CCFF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259</w:t>
            </w:r>
          </w:p>
        </w:tc>
        <w:tc>
          <w:tcPr>
            <w:tcW w:type="dxa" w:w="1568"/>
            <w:shd w:val="clear" w:color="auto" w:fill="CCFF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GREEN</w:t>
            </w:r>
          </w:p>
        </w:tc>
      </w:tr>
    </w:tbl>
    <w:p>
      <w:r>
        <w:br w:type="page"/>
      </w:r>
    </w:p>
    <w:p>
      <w:pPr>
        <w:spacing w:before="360" w:after="80"/>
        <w:pBdr>
          <w:bottom w:val="single" w:sz="8" w:space="4" w:color="1F3864"/>
        </w:pBdr>
      </w:pPr>
      <w:r>
        <w:rPr>
          <w:rFonts w:ascii="Garamond" w:hAnsi="Garamond"/>
          <w:b/>
          <w:color w:val="1F3864"/>
          <w:sz w:val="32"/>
        </w:rPr>
        <w:t>3. HSE Compliance &amp; Incident Trends</w:t>
      </w:r>
    </w:p>
    <w:p>
      <w:pPr>
        <w:spacing w:before="40" w:after="80"/>
      </w:pPr>
      <w:r>
        <w:rPr>
          <w:rFonts w:ascii="Garamond" w:hAnsi="Garamond"/>
          <w:b w:val="0"/>
          <w:color w:val="000000"/>
          <w:sz w:val="20"/>
        </w:rPr>
        <w:t>This week: 4 incident(s)  ·  MTC=2  FAC=1  NM=1  ·  Based on 4 week(s) of data</w:t>
      </w:r>
    </w:p>
    <w:p>
      <w:pPr>
        <w:spacing w:before="240" w:after="80"/>
      </w:pPr>
      <w:r>
        <w:rPr>
          <w:rFonts w:ascii="Garamond" w:hAnsi="Garamond"/>
          <w:b/>
          <w:color w:val="1B6B93"/>
          <w:sz w:val="26"/>
        </w:rPr>
        <w:t>Incident Count vs Rolling Average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01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This Week</w:t>
            </w:r>
          </w:p>
        </w:tc>
        <w:tc>
          <w:tcPr>
            <w:tcW w:type="dxa" w:w="2551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Rolling Avg (4wk)</w:t>
            </w:r>
          </w:p>
        </w:tc>
        <w:tc>
          <w:tcPr>
            <w:tcW w:type="dxa" w:w="1417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vs Avg</w:t>
            </w:r>
          </w:p>
        </w:tc>
      </w:tr>
      <w:tr>
        <w:tc>
          <w:tcPr>
            <w:tcW w:type="dxa" w:w="235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MTC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1.2</w:t>
            </w:r>
          </w:p>
        </w:tc>
        <w:tc>
          <w:tcPr>
            <w:tcW w:type="dxa" w:w="2351"/>
            <w:shd w:val="clear" w:color="auto" w:fill="FFCC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+0.8</w:t>
            </w:r>
          </w:p>
        </w:tc>
      </w:tr>
      <w:tr>
        <w:tc>
          <w:tcPr>
            <w:tcW w:type="dxa" w:w="235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FAC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1.0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0.0</w:t>
            </w:r>
          </w:p>
        </w:tc>
      </w:tr>
      <w:tr>
        <w:tc>
          <w:tcPr>
            <w:tcW w:type="dxa" w:w="235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NM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1.2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-0.2</w:t>
            </w:r>
          </w:p>
        </w:tc>
      </w:tr>
    </w:tbl>
    <w:p>
      <w:pPr>
        <w:spacing w:before="240" w:after="80"/>
      </w:pPr>
      <w:r>
        <w:rPr>
          <w:rFonts w:ascii="Garamond" w:hAnsi="Garamond"/>
          <w:b/>
          <w:color w:val="1B6B93"/>
          <w:sz w:val="26"/>
        </w:rPr>
        <w:t>Overdue Corrective Actions (1)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Hub</w:t>
            </w:r>
          </w:p>
        </w:tc>
        <w:tc>
          <w:tcPr>
            <w:tcW w:type="dxa" w:w="850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969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417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Due Date</w:t>
            </w:r>
          </w:p>
        </w:tc>
        <w:tc>
          <w:tcPr>
            <w:tcW w:type="dxa" w:w="1417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Days Overdue</w:t>
            </w:r>
          </w:p>
        </w:tc>
      </w:tr>
      <w:tr>
        <w:tc>
          <w:tcPr>
            <w:tcW w:type="dxa" w:w="188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Cebu</w:t>
            </w:r>
          </w:p>
        </w:tc>
        <w:tc>
          <w:tcPr>
            <w:tcW w:type="dxa" w:w="1881"/>
            <w:shd w:val="clear" w:color="auto" w:fill="FFCC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NM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Forklift near-miss in sorting area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2026-04-08</w:t>
            </w:r>
          </w:p>
        </w:tc>
        <w:tc>
          <w:tcPr>
            <w:tcW w:type="dxa" w:w="1881"/>
            <w:shd w:val="clear" w:color="auto" w:fill="FFCC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000000"/>
                <w:sz w:val="18"/>
              </w:rPr>
              <w:t>8</w:t>
            </w:r>
          </w:p>
        </w:tc>
      </w:tr>
    </w:tbl>
    <w:p>
      <w:r>
        <w:br w:type="page"/>
      </w:r>
    </w:p>
    <w:p>
      <w:pPr>
        <w:spacing w:before="360" w:after="80"/>
        <w:pBdr>
          <w:bottom w:val="single" w:sz="8" w:space="4" w:color="1F3864"/>
        </w:pBdr>
      </w:pPr>
      <w:r>
        <w:rPr>
          <w:rFonts w:ascii="Garamond" w:hAnsi="Garamond"/>
          <w:b/>
          <w:color w:val="1F3864"/>
          <w:sz w:val="32"/>
        </w:rPr>
        <w:t>4. Recommended Actions</w:t>
      </w:r>
    </w:p>
    <w:p>
      <w:pPr>
        <w:spacing w:before="40" w:after="80"/>
      </w:pPr>
      <w:r>
        <w:rPr>
          <w:rFonts w:ascii="Garamond" w:hAnsi="Garamond"/>
          <w:b w:val="0"/>
          <w:color w:val="000000"/>
          <w:sz w:val="20"/>
        </w:rPr>
        <w:t>Auto-generated priority action list. Assign owners before Wednesday standup.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417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1417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Hub</w:t>
            </w:r>
          </w:p>
        </w:tc>
        <w:tc>
          <w:tcPr>
            <w:tcW w:type="dxa" w:w="5102"/>
            <w:shd w:val="clear" w:color="auto" w:fill="1B6B93"/>
            <w:tcBorders>
              <w:top w:val="single" w:sz="4" w:space="0" w:color="1B6B93"/>
              <w:left w:val="single" w:sz="4" w:space="0" w:color="1B6B93"/>
              <w:bottom w:val="single" w:sz="4" w:space="0" w:color="1B6B93"/>
              <w:right w:val="single" w:sz="4" w:space="0" w:color="1B6B93"/>
            </w:tcBorders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2351"/>
            <w:shd w:val="clear" w:color="auto" w:fill="FFCC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CRITICAL</w:t>
            </w:r>
          </w:p>
        </w:tc>
        <w:tc>
          <w:tcPr>
            <w:tcW w:type="dxa" w:w="235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Compliance</w:t>
            </w:r>
          </w:p>
        </w:tc>
        <w:tc>
          <w:tcPr>
            <w:tcW w:type="dxa" w:w="235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Cebu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Business Permit EXPIRED 6d ago — status: Pending</w:t>
            </w:r>
          </w:p>
        </w:tc>
      </w:tr>
      <w:tr>
        <w:tc>
          <w:tcPr>
            <w:tcW w:type="dxa" w:w="2351"/>
            <w:shd w:val="clear" w:color="auto" w:fill="FFCC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CRITICAL</w:t>
            </w:r>
          </w:p>
        </w:tc>
        <w:tc>
          <w:tcPr>
            <w:tcW w:type="dxa" w:w="235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Compliance</w:t>
            </w:r>
          </w:p>
        </w:tc>
        <w:tc>
          <w:tcPr>
            <w:tcW w:type="dxa" w:w="235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Arayat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BFP Certificate expires in 4d — status: Pending</w:t>
            </w:r>
          </w:p>
        </w:tc>
      </w:tr>
      <w:tr>
        <w:tc>
          <w:tcPr>
            <w:tcW w:type="dxa" w:w="2351"/>
            <w:shd w:val="clear" w:color="auto" w:fill="FFCC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CRITICAL</w:t>
            </w:r>
          </w:p>
        </w:tc>
        <w:tc>
          <w:tcPr>
            <w:tcW w:type="dxa" w:w="235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Compliance</w:t>
            </w:r>
          </w:p>
        </w:tc>
        <w:tc>
          <w:tcPr>
            <w:tcW w:type="dxa" w:w="235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Arayat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Business Permit expires in 15d — status: Filed</w:t>
            </w:r>
          </w:p>
        </w:tc>
      </w:tr>
      <w:tr>
        <w:tc>
          <w:tcPr>
            <w:tcW w:type="dxa" w:w="2351"/>
            <w:shd w:val="clear" w:color="auto" w:fill="FFF0B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HIGH</w:t>
            </w:r>
          </w:p>
        </w:tc>
        <w:tc>
          <w:tcPr>
            <w:tcW w:type="dxa" w:w="235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KPI</w:t>
            </w:r>
          </w:p>
        </w:tc>
        <w:tc>
          <w:tcPr>
            <w:tcW w:type="dxa" w:w="235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Cebu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Exception Rate dropped 41.5% WoW — investigate root cause</w:t>
            </w:r>
          </w:p>
        </w:tc>
      </w:tr>
      <w:tr>
        <w:tc>
          <w:tcPr>
            <w:tcW w:type="dxa" w:w="2351"/>
            <w:shd w:val="clear" w:color="auto" w:fill="FFF0B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HIGH</w:t>
            </w:r>
          </w:p>
        </w:tc>
        <w:tc>
          <w:tcPr>
            <w:tcW w:type="dxa" w:w="235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KPI</w:t>
            </w:r>
          </w:p>
        </w:tc>
        <w:tc>
          <w:tcPr>
            <w:tcW w:type="dxa" w:w="235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Arayat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Exception Rate dropped 14.3% WoW — investigate root cause</w:t>
            </w:r>
          </w:p>
        </w:tc>
      </w:tr>
      <w:tr>
        <w:tc>
          <w:tcPr>
            <w:tcW w:type="dxa" w:w="2351"/>
            <w:shd w:val="clear" w:color="auto" w:fill="FFF0B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HIGH</w:t>
            </w:r>
          </w:p>
        </w:tc>
        <w:tc>
          <w:tcPr>
            <w:tcW w:type="dxa" w:w="235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KPI</w:t>
            </w:r>
          </w:p>
        </w:tc>
        <w:tc>
          <w:tcPr>
            <w:tcW w:type="dxa" w:w="235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Cebu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SLA Rate dropped 10.4% WoW — investigate root cause</w:t>
            </w:r>
          </w:p>
        </w:tc>
      </w:tr>
      <w:tr>
        <w:tc>
          <w:tcPr>
            <w:tcW w:type="dxa" w:w="2351"/>
            <w:shd w:val="clear" w:color="auto" w:fill="FFF0B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HIGH</w:t>
            </w:r>
          </w:p>
        </w:tc>
        <w:tc>
          <w:tcPr>
            <w:tcW w:type="dxa" w:w="235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HSE</w:t>
            </w:r>
          </w:p>
        </w:tc>
        <w:tc>
          <w:tcPr>
            <w:tcW w:type="dxa" w:w="235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Cebu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[NM] Forklift near-miss in sorting area — 8d overdue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MEDIUM</w:t>
            </w:r>
          </w:p>
        </w:tc>
        <w:tc>
          <w:tcPr>
            <w:tcW w:type="dxa" w:w="235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Compliance</w:t>
            </w:r>
          </w:p>
        </w:tc>
        <w:tc>
          <w:tcPr>
            <w:tcW w:type="dxa" w:w="235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/>
                <w:color w:val="000000"/>
                <w:sz w:val="18"/>
              </w:rPr>
              <w:t>Cebu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Garamond" w:hAnsi="Garamond"/>
                <w:b w:val="0"/>
                <w:color w:val="000000"/>
                <w:sz w:val="18"/>
              </w:rPr>
              <w:t>Sanitary Permit expires in 39d — status: Not Started</w:t>
            </w:r>
          </w:p>
        </w:tc>
      </w:tr>
    </w:tbl>
    <w:p/>
    <w:p>
      <w:pPr>
        <w:jc w:val="center"/>
      </w:pPr>
      <w:r>
        <w:rPr>
          <w:rFonts w:ascii="Garamond" w:hAnsi="Garamond"/>
          <w:color w:val="888888"/>
          <w:sz w:val="16"/>
        </w:rPr>
        <w:t>Auto-generated by SPX Cowork Automation  ·  16 Apr 2026  ·  Not for external distribution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