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rPr>
          <w:rFonts w:ascii="Garamond" w:cs="Garamond" w:eastAsia="Garamond" w:hAnsi="Garamond"/>
          <w:sz w:val="22"/>
          <w:szCs w:val="22"/>
        </w:rPr>
        <w:t xml:space="preserve"> </w:t>
      </w:r>
    </w:p>
    <w:p>
      <w:pPr>
        <w:spacing w:after="80" w:before="0"/>
        <w:jc w:val="left"/>
      </w:pPr>
      <w:r>
        <w:rPr>
          <w:rFonts w:ascii="Garamond" w:cs="Garamond" w:eastAsia="Garamond" w:hAnsi="Garamond"/>
          <w:b/>
          <w:bCs/>
          <w:caps/>
          <w:color w:val="1F3864"/>
          <w:sz w:val="52"/>
          <w:szCs w:val="52"/>
        </w:rPr>
        <w:t xml:space="preserve">COWORK AUTOMATION</w:t>
      </w:r>
    </w:p>
    <w:p>
      <w:pPr>
        <w:spacing w:after="60" w:before="0"/>
        <w:jc w:val="left"/>
      </w:pPr>
      <w:r>
        <w:rPr>
          <w:rFonts w:ascii="Garamond" w:cs="Garamond" w:eastAsia="Garamond" w:hAnsi="Garamond"/>
          <w:color w:val="1B6B93"/>
          <w:sz w:val="36"/>
          <w:szCs w:val="36"/>
        </w:rPr>
        <w:t xml:space="preserve">Design Specification for Approval</w:t>
      </w:r>
    </w:p>
    <w:p>
      <w:pPr>
        <w:pBdr>
          <w:bottom w:val="single" w:color="1F3864" w:sz="12" w:space="4"/>
        </w:pBdr>
        <w:spacing w:after="20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aramond" w:cs="Garamond" w:eastAsia="Garamond" w:hAnsi="Garamond"/>
                <w:b/>
                <w:bCs/>
                <w:color w:val="1F3864"/>
                <w:sz w:val="48"/>
                <w:szCs w:val="48"/>
              </w:rPr>
              <w:t xml:space="preserve">Ops &amp; Compliance Reporting</w:t>
            </w:r>
          </w:p>
          <w:p>
            <w:pPr>
              <w:spacing w:after="20" w:before="0"/>
            </w:pPr>
            <w:r>
              <w:rPr>
                <w:rFonts w:ascii="Garamond" w:cs="Garamond" w:eastAsia="Garamond" w:hAnsi="Garamond"/>
                <w:b/>
                <w:bCs/>
                <w:color w:val="1B6B93"/>
                <w:sz w:val="20"/>
                <w:szCs w:val="20"/>
              </w:rPr>
              <w:t xml:space="preserve">Workflow</w:t>
            </w:r>
          </w:p>
          <w:p>
            <w:pPr>
              <w:spacing w:after="0" w:before="0"/>
            </w:pPr>
            <w:r>
              <w:rPr>
                <w:rFonts w:ascii="Garamond" w:cs="Garamond" w:eastAsia="Garamond" w:hAnsi="Garamond"/>
                <w:color w:val="666666"/>
                <w:sz w:val="16"/>
                <w:szCs w:val="16"/>
              </w:rPr>
              <w:t xml:space="preserve">Weekly automated report generation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aramond" w:cs="Garamond" w:eastAsia="Garamond" w:hAnsi="Garamond"/>
                <w:b/>
                <w:bCs/>
                <w:color w:val="1F3864"/>
                <w:sz w:val="48"/>
                <w:szCs w:val="48"/>
              </w:rPr>
              <w:t xml:space="preserve">3 roles</w:t>
            </w:r>
          </w:p>
          <w:p>
            <w:pPr>
              <w:spacing w:after="20" w:before="0"/>
            </w:pPr>
            <w:r>
              <w:rPr>
                <w:rFonts w:ascii="Garamond" w:cs="Garamond" w:eastAsia="Garamond" w:hAnsi="Garamond"/>
                <w:b/>
                <w:bCs/>
                <w:color w:val="1B6B93"/>
                <w:sz w:val="20"/>
                <w:szCs w:val="20"/>
              </w:rPr>
              <w:t xml:space="preserve">Roles Covered</w:t>
            </w:r>
          </w:p>
          <w:p>
            <w:pPr>
              <w:spacing w:after="0" w:before="0"/>
            </w:pPr>
            <w:r>
              <w:rPr>
                <w:rFonts w:ascii="Garamond" w:cs="Garamond" w:eastAsia="Garamond" w:hAnsi="Garamond"/>
                <w:color w:val="666666"/>
                <w:sz w:val="16"/>
                <w:szCs w:val="16"/>
              </w:rPr>
              <w:t xml:space="preserve">OPX-002  ·  OFF-013  ·  HSE-002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aramond" w:cs="Garamond" w:eastAsia="Garamond" w:hAnsi="Garamond"/>
                <w:b/>
                <w:bCs/>
                <w:color w:val="1F3864"/>
                <w:sz w:val="48"/>
                <w:szCs w:val="48"/>
              </w:rPr>
              <w:t xml:space="preserve">~34 pax</w:t>
            </w:r>
          </w:p>
          <w:p>
            <w:pPr>
              <w:spacing w:after="20" w:before="0"/>
            </w:pPr>
            <w:r>
              <w:rPr>
                <w:rFonts w:ascii="Garamond" w:cs="Garamond" w:eastAsia="Garamond" w:hAnsi="Garamond"/>
                <w:b/>
                <w:bCs/>
                <w:color w:val="1B6B93"/>
                <w:sz w:val="20"/>
                <w:szCs w:val="20"/>
              </w:rPr>
              <w:t xml:space="preserve">HC Impacted</w:t>
            </w:r>
          </w:p>
          <w:p>
            <w:pPr>
              <w:spacing w:after="0" w:before="0"/>
            </w:pPr>
            <w:r>
              <w:rPr>
                <w:rFonts w:ascii="Garamond" w:cs="Garamond" w:eastAsia="Garamond" w:hAnsi="Garamond"/>
                <w:color w:val="666666"/>
                <w:sz w:val="16"/>
                <w:szCs w:val="16"/>
              </w:rPr>
              <w:t xml:space="preserve">17–19 OPX + 6 Compliance + 9 HSE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aramond" w:cs="Garamond" w:eastAsia="Garamond" w:hAnsi="Garamond"/>
                <w:b/>
                <w:bCs/>
                <w:color w:val="1F3864"/>
                <w:sz w:val="48"/>
                <w:szCs w:val="48"/>
              </w:rPr>
              <w:t xml:space="preserve">~12–15 hrs</w:t>
            </w:r>
          </w:p>
          <w:p>
            <w:pPr>
              <w:spacing w:after="20" w:before="0"/>
            </w:pPr>
            <w:r>
              <w:rPr>
                <w:rFonts w:ascii="Garamond" w:cs="Garamond" w:eastAsia="Garamond" w:hAnsi="Garamond"/>
                <w:b/>
                <w:bCs/>
                <w:color w:val="1B6B93"/>
                <w:sz w:val="20"/>
                <w:szCs w:val="20"/>
              </w:rPr>
              <w:t xml:space="preserve">Hours Recovered / wk</w:t>
            </w:r>
          </w:p>
          <w:p>
            <w:pPr>
              <w:spacing w:after="0" w:before="0"/>
            </w:pPr>
            <w:r>
              <w:rPr>
                <w:rFonts w:ascii="Garamond" w:cs="Garamond" w:eastAsia="Garamond" w:hAnsi="Garamond"/>
                <w:color w:val="666666"/>
                <w:sz w:val="16"/>
                <w:szCs w:val="16"/>
              </w:rPr>
              <w:t xml:space="preserve">Across reporting + monitoring tasks</w:t>
            </w:r>
          </w:p>
        </w:tc>
      </w:tr>
      <w:tr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aramond" w:cs="Garamond" w:eastAsia="Garamond" w:hAnsi="Garamond"/>
                <w:b/>
                <w:bCs/>
                <w:color w:val="1F3864"/>
                <w:sz w:val="48"/>
                <w:szCs w:val="48"/>
              </w:rPr>
              <w:t xml:space="preserve">Scheduled</w:t>
            </w:r>
          </w:p>
          <w:p>
            <w:pPr>
              <w:spacing w:after="20" w:before="0"/>
            </w:pPr>
            <w:r>
              <w:rPr>
                <w:rFonts w:ascii="Garamond" w:cs="Garamond" w:eastAsia="Garamond" w:hAnsi="Garamond"/>
                <w:b/>
                <w:bCs/>
                <w:color w:val="1B6B93"/>
                <w:sz w:val="20"/>
                <w:szCs w:val="20"/>
              </w:rPr>
              <w:t xml:space="preserve">Trigger Type</w:t>
            </w:r>
          </w:p>
          <w:p>
            <w:pPr>
              <w:spacing w:after="0" w:before="0"/>
            </w:pPr>
            <w:r>
              <w:rPr>
                <w:rFonts w:ascii="Garamond" w:cs="Garamond" w:eastAsia="Garamond" w:hAnsi="Garamond"/>
                <w:color w:val="666666"/>
                <w:sz w:val="16"/>
                <w:szCs w:val="16"/>
              </w:rPr>
              <w:t xml:space="preserve">Every Monday 06:00 PH time</w:t>
            </w:r>
          </w:p>
        </w:tc>
        <w:tc>
          <w:tcPr>
            <w:tcW w:type="dxa" w:w="4680"/>
            <w:tcBorders>
              <w:top w:val="single" w:color="D5E8F0" w:sz="1"/>
              <w:left w:val="single" w:color="D5E8F0" w:sz="1"/>
              <w:bottom w:val="single" w:color="D5E8F0" w:sz="1"/>
              <w:right w:val="single" w:color="D5E8F0" w:sz="1"/>
            </w:tcBorders>
            <w:shd w:fill="D5E8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Garamond" w:cs="Garamond" w:eastAsia="Garamond" w:hAnsi="Garamond"/>
                <w:b/>
                <w:bCs/>
                <w:color w:val="1F3864"/>
                <w:sz w:val="48"/>
                <w:szCs w:val="48"/>
              </w:rPr>
              <w:t xml:space="preserve">2 weeks</w:t>
            </w:r>
          </w:p>
          <w:p>
            <w:pPr>
              <w:spacing w:after="20" w:before="0"/>
            </w:pPr>
            <w:r>
              <w:rPr>
                <w:rFonts w:ascii="Garamond" w:cs="Garamond" w:eastAsia="Garamond" w:hAnsi="Garamond"/>
                <w:b/>
                <w:bCs/>
                <w:color w:val="1B6B93"/>
                <w:sz w:val="20"/>
                <w:szCs w:val="20"/>
              </w:rPr>
              <w:t xml:space="preserve">Sprint Length</w:t>
            </w:r>
          </w:p>
          <w:p>
            <w:pPr>
              <w:spacing w:after="0" w:before="0"/>
            </w:pPr>
            <w:r>
              <w:rPr>
                <w:rFonts w:ascii="Garamond" w:cs="Garamond" w:eastAsia="Garamond" w:hAnsi="Garamond"/>
                <w:color w:val="666666"/>
                <w:sz w:val="16"/>
                <w:szCs w:val="16"/>
              </w:rPr>
              <w:t xml:space="preserve">6 build tasks + test + deploy</w:t>
            </w:r>
          </w:p>
        </w:tc>
      </w:tr>
    </w:tbl>
    <w:p>
      <w:pPr>
        <w:spacing w:after="0" w:before="200"/>
      </w:pPr>
    </w:p>
    <w:p>
      <w:pPr>
        <w:spacing w:after="40" w:before="80"/>
      </w:pPr>
      <w:r>
        <w:rPr>
          <w:rFonts w:ascii="Garamond" w:cs="Garamond" w:eastAsia="Garamond" w:hAnsi="Garamond"/>
          <w:b/>
          <w:bCs/>
          <w:color w:val="1F3864"/>
          <w:sz w:val="20"/>
          <w:szCs w:val="20"/>
        </w:rPr>
        <w:t xml:space="preserve">Prepared for:  </w:t>
      </w:r>
      <w:r>
        <w:rPr>
          <w:rFonts w:ascii="Garamond" w:cs="Garamond" w:eastAsia="Garamond" w:hAnsi="Garamond"/>
          <w:color w:val="444444"/>
          <w:sz w:val="20"/>
          <w:szCs w:val="20"/>
        </w:rPr>
        <w:t xml:space="preserve">Pice Preeyakorn, Head of SPX Philippines</w:t>
      </w:r>
    </w:p>
    <w:p>
      <w:pPr>
        <w:spacing w:after="40" w:before="0"/>
      </w:pPr>
      <w:r>
        <w:rPr>
          <w:rFonts w:ascii="Garamond" w:cs="Garamond" w:eastAsia="Garamond" w:hAnsi="Garamond"/>
          <w:b/>
          <w:bCs/>
          <w:color w:val="1F3864"/>
          <w:sz w:val="20"/>
          <w:szCs w:val="20"/>
        </w:rPr>
        <w:t xml:space="preserve">Hiring Manager:  </w:t>
      </w:r>
      <w:r>
        <w:rPr>
          <w:rFonts w:ascii="Garamond" w:cs="Garamond" w:eastAsia="Garamond" w:hAnsi="Garamond"/>
          <w:color w:val="444444"/>
          <w:sz w:val="20"/>
          <w:szCs w:val="20"/>
        </w:rPr>
        <w:t xml:space="preserve">therese.lucas@spxexpress.com</w:t>
      </w:r>
    </w:p>
    <w:p>
      <w:pPr>
        <w:spacing w:after="40" w:before="0"/>
      </w:pPr>
      <w:r>
        <w:rPr>
          <w:rFonts w:ascii="Garamond" w:cs="Garamond" w:eastAsia="Garamond" w:hAnsi="Garamond"/>
          <w:b/>
          <w:bCs/>
          <w:color w:val="1F3864"/>
          <w:sz w:val="20"/>
          <w:szCs w:val="20"/>
        </w:rPr>
        <w:t xml:space="preserve">Status:  </w:t>
      </w:r>
      <w:r>
        <w:rPr>
          <w:rFonts w:ascii="Garamond" w:cs="Garamond" w:eastAsia="Garamond" w:hAnsi="Garamond"/>
          <w:b/>
          <w:bCs/>
          <w:color w:val="FFC000"/>
          <w:sz w:val="20"/>
          <w:szCs w:val="20"/>
        </w:rPr>
        <w:t xml:space="preserve">PENDING APPROVAL</w:t>
      </w:r>
    </w:p>
    <w:p>
      <w:pPr>
        <w:spacing w:after="0" w:before="360"/>
      </w:pP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1. Selection Rationale</w:t>
      </w:r>
    </w:p>
    <w:p>
      <w:pPr>
        <w:spacing w:after="80" w:before="80"/>
      </w:pPr>
      <w:r>
        <w:rPr>
          <w:rFonts w:ascii="Garamond" w:cs="Garamond" w:eastAsia="Garamond" w:hAnsi="Garamond"/>
          <w:sz w:val="22"/>
          <w:szCs w:val="22"/>
        </w:rPr>
        <w:t xml:space="preserve">From 11 roles and 80+ tasks in the submitted dataset, this workflow targets the highest-ROI automation cluster: the weekly reporting and compliance monitoring pipeline shared across three support roles under a single hiring manager. Below is why this cluster wins over alternatives.</w:t>
      </w:r>
    </w:p>
    <w:p>
      <w:pPr>
        <w:spacing w:after="0" w:before="120"/>
      </w:pPr>
    </w:p>
    <w:p>
      <w:pPr>
        <w:pStyle w:val="Heading2"/>
        <w:spacing w:after="100" w:before="240"/>
      </w:pPr>
      <w:r>
        <w:rPr>
          <w:rFonts w:ascii="Garamond" w:cs="Garamond" w:eastAsia="Garamond" w:hAnsi="Garamond"/>
          <w:b/>
          <w:bCs/>
          <w:color w:val="1B6B93"/>
          <w:sz w:val="24"/>
          <w:szCs w:val="24"/>
        </w:rPr>
        <w:t xml:space="preserve">Why This Cluster, Not Others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60"/>
        <w:gridCol w:w="26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4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Assessment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Ops &amp; Compliance Reporting
(THIS SPEC)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Structured data → report. Weekly recurring. No FMS/physical dependency. Single HM. 3 roles converge on same output type. Claude does this natively.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✅ SELECTED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Linehaul Allocation (FOP-014)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High frequency but requires live FMS access for trip/vehicle data. Cannot automate without API integration. 80% chase work = human judgment.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❌ FMS dependency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Hub Coordinator (MG-005)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70% active/physical work on shift. Scanning, sorting, dispatch — requires on-site presence. Not file-based.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❌ Physical ops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GenAI Engineer (BI-009)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Already building automation tools — meta-circular. Role owner is technical; lower leverage from Claude assist.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❌ Overlapping scope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Network Expansion (OFF-008)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Multi-phase project, heavy negotiation and physical site work. T02 (RAID tracker) automatable but not enough to justify standalone sprint.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⚠️ Partial only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40"/>
      </w:pPr>
      <w:r>
        <w:rPr>
          <w:rFonts w:ascii="Garamond" w:cs="Garamond" w:eastAsia="Garamond" w:hAnsi="Garamond"/>
          <w:b/>
          <w:bCs/>
          <w:color w:val="1B6B93"/>
          <w:sz w:val="24"/>
          <w:szCs w:val="24"/>
        </w:rPr>
        <w:t xml:space="preserve">Selection Criteria Score</w:t>
      </w:r>
    </w:p>
    <w:p>
      <w:pPr>
        <w:spacing w:after="80" w:before="80"/>
      </w:pPr>
      <w:r>
        <w:rPr>
          <w:rFonts w:ascii="Garamond" w:cs="Garamond" w:eastAsia="Garamond" w:hAnsi="Garamond"/>
          <w:sz w:val="22"/>
          <w:szCs w:val="22"/>
        </w:rPr>
        <w:t xml:space="preserve">Five criteria used to score each cluster: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1200"/>
        <w:gridCol w:w="1200"/>
        <w:gridCol w:w="13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File-based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Recurring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No FMS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Single HM</w:t>
            </w:r>
          </w:p>
        </w:tc>
        <w:tc>
          <w:tcPr>
            <w:tcW w:type="dxa" w:w="1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Ops &amp; Compliance Reporting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5/5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Linehaul Allocation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2/5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Hub Coordinator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2/5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GenAI Engineer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✗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3/5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Network Expansion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✓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4/5</w:t>
            </w:r>
          </w:p>
        </w:tc>
      </w:tr>
    </w:tbl>
    <w:p>
      <w:pPr>
        <w:spacing w:after="0" w:before="360"/>
      </w:pP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2. Workflow Scope</w:t>
      </w:r>
    </w:p>
    <w:p>
      <w:pPr>
        <w:spacing w:after="80" w:before="80"/>
      </w:pPr>
      <w:r>
        <w:rPr>
          <w:rFonts w:ascii="Garamond" w:cs="Garamond" w:eastAsia="Garamond" w:hAnsi="Garamond"/>
          <w:sz w:val="22"/>
          <w:szCs w:val="22"/>
        </w:rPr>
        <w:t xml:space="preserve">The workflow covers six tasks across three roles. All tasks share the same pattern: pull structured data from a tracker, apply logic, produce a formatted report. The combined time savings is estimated at 12–15 person-hours per week across the HC base.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600"/>
        <w:gridCol w:w="900"/>
        <w:gridCol w:w="1000"/>
        <w:gridCol w:w="600"/>
        <w:gridCol w:w="1160"/>
      </w:tblGrid>
      <w:tr>
        <w:trPr>
          <w:tblHeader/>
        </w:trPr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Task ID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Time %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Nature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rPr>
          <w:tblHeader/>
        </w:trPr>
        <w:tc>
          <w:tcPr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OPX-002  |  Operations Excellence Executive  (17–19 HC)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T01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Monitor weekly KPI dashboards and flag metric dips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active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T02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Generate weekly operations health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Sheets → Slides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T03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Check data quality, reconcile KPIs vs 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5%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active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OFF-013  |  SPX Compliance PIC  (6 HC)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T01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Pull facility compliance status, prioritize expiring permits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12%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active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T09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Generate weekly compliance risk summary + action 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8%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Weekly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active work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tblHeader/>
        </w:trPr>
        <w:tc>
          <w:tcPr>
            <w:gridSpan w:val="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20"/>
                <w:szCs w:val="20"/>
              </w:rPr>
              <w:t xml:space="preserve">HSE-002  |  HSE Executive  (9 HC)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T07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Compile weekly/monthly HSE compliance + incident trend 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10%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Monthly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Sheets → Slides</w:t>
            </w:r>
          </w:p>
        </w:tc>
      </w:tr>
    </w:tbl>
    <w:p>
      <w:pPr>
        <w:spacing w:after="80" w:before="200"/>
      </w:pPr>
    </w:p>
    <w:p>
      <w:pPr>
        <w:spacing w:after="60" w:before="60"/>
      </w:pPr>
      <w:r>
        <w:rPr>
          <w:rFonts w:ascii="Garamond" w:cs="Garamond" w:eastAsia="Garamond" w:hAnsi="Garamond"/>
          <w:b/>
          <w:bCs/>
          <w:color w:val="1F3864"/>
          <w:sz w:val="19"/>
          <w:szCs w:val="19"/>
        </w:rPr>
        <w:t xml:space="preserve">OUT OF SCOPE (this sprint): </w:t>
      </w:r>
      <w:r>
        <w:rPr>
          <w:rFonts w:ascii="Garamond" w:cs="Garamond" w:eastAsia="Garamond" w:hAnsi="Garamond"/>
          <w:color w:val="444444"/>
          <w:sz w:val="19"/>
          <w:szCs w:val="19"/>
        </w:rPr>
        <w:t xml:space="preserve">Permit submission to LGU portals (T04), contractor follow-ups (T05), incident investigation (T03 HSE), physical site inspections. These require human judgment, physical presence, or external system access.</w:t>
      </w:r>
    </w:p>
    <w:p>
      <w:pPr>
        <w:spacing w:after="0" w:before="360"/>
      </w:pP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3. Workflow Design</w:t>
      </w:r>
    </w:p>
    <w:p>
      <w:pPr>
        <w:pStyle w:val="Heading2"/>
        <w:spacing w:after="100" w:before="240"/>
      </w:pPr>
      <w:r>
        <w:rPr>
          <w:rFonts w:ascii="Garamond" w:cs="Garamond" w:eastAsia="Garamond" w:hAnsi="Garamond"/>
          <w:b/>
          <w:bCs/>
          <w:color w:val="1B6B93"/>
          <w:sz w:val="24"/>
          <w:szCs w:val="24"/>
        </w:rPr>
        <w:t xml:space="preserve">3.1  Inputs Required</w:t>
      </w:r>
    </w:p>
    <w:p>
      <w:pPr>
        <w:spacing w:after="80" w:before="80"/>
      </w:pPr>
      <w:r>
        <w:rPr>
          <w:rFonts w:ascii="Garamond" w:cs="Garamond" w:eastAsia="Garamond" w:hAnsi="Garamond"/>
          <w:sz w:val="22"/>
          <w:szCs w:val="22"/>
        </w:rPr>
        <w:t xml:space="preserve">Users drop the following Google Sheets exports (CSV or .xlsx) into a designated Cowork folder each week. No live API integration required in Sprint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22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Source Owner</w:t>
            </w:r>
          </w:p>
        </w:tc>
        <w:tc>
          <w:tcPr>
            <w:tcW w:type="dxa" w:w="2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Expected Cadence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kpi_tracker.csv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Weekly KPI values by metric + hub, with prior week for delta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OPX-002 team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Friday EOD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compliance_tracker.csv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Facility list with permit types, expiry dates, renewal 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OFF-013 PIC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Friday EOD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hse_tracker.csv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Incident log + corrective action status + PPE audit data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HSE-002 executive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Friday EOD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Garamond" w:cs="Garamond" w:eastAsia="Garamond" w:hAnsi="Garamond"/>
          <w:b/>
          <w:bCs/>
          <w:color w:val="1B6B93"/>
          <w:sz w:val="24"/>
          <w:szCs w:val="24"/>
        </w:rPr>
        <w:t xml:space="preserve">3.2  Processing Logic</w:t>
      </w:r>
    </w:p>
    <w:p>
      <w:pPr>
        <w:spacing w:after="80" w:before="80"/>
      </w:pPr>
      <w:r>
        <w:rPr>
          <w:rFonts w:ascii="Garamond" w:cs="Garamond" w:eastAsia="Garamond" w:hAnsi="Garamond"/>
          <w:sz w:val="22"/>
          <w:szCs w:val="22"/>
        </w:rPr>
        <w:t xml:space="preserve">Claude reads each input file and applies three logic blocks: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1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Logic Applied</w:t>
            </w:r>
          </w:p>
        </w:tc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Ops KPI Monitor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Compare this week vs last week per metric. Flag dips &gt;5% WoW or below defined threshold. Rank top 3 misses by severity.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KPI delta table + top-miss callouts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Compliance Expiry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Calculate days-to-expiry per permit per facility. Bucket into Red (&lt;30 days), Amber (30–60 days), Green (&gt;60 days). Sort by urgency.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Color-coded permit risk matrix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HSE Trend Analysis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Count incidents by type (MTC, FAC, NM). Compare vs prior 4-week rolling average. Flag corrective actions overdue by &gt;7 days.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7"/>
                <w:szCs w:val="17"/>
              </w:rPr>
              <w:t xml:space="preserve">Incident count trend + overdue action list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Garamond" w:cs="Garamond" w:eastAsia="Garamond" w:hAnsi="Garamond"/>
          <w:b/>
          <w:bCs/>
          <w:color w:val="1B6B93"/>
          <w:sz w:val="24"/>
          <w:szCs w:val="24"/>
        </w:rPr>
        <w:t xml:space="preserve">3.3  Output</w:t>
      </w:r>
    </w:p>
    <w:p>
      <w:pPr>
        <w:spacing w:after="80" w:before="80"/>
      </w:pPr>
      <w:r>
        <w:rPr>
          <w:rFonts w:ascii="Garamond" w:cs="Garamond" w:eastAsia="Garamond" w:hAnsi="Garamond"/>
          <w:sz w:val="22"/>
          <w:szCs w:val="22"/>
        </w:rPr>
        <w:t xml:space="preserve">A single consolidated Word document (Garamond, navy headers — matching SPX format standards) saved to the Cowork output folder. Sections: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160"/>
        <w:gridCol w:w="57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Executive Summary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3-line narrative: overall ops health, top compliance risk, HSE status. Auto-generated from logic outputs.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Ops KPI Dashboard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KPI delta table with color-coded WoW change. Top 3 metric misses with size of gap.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Compliance Risk Matrix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Facility × permit matrix with Red/Amber/Green status. Prioritized action list for the week.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HSE Compliance + Trends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Incident type counts vs rolling average. Overdue corrective actions table.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Recommended Actions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Auto-generated action list ranked by urgency across all three functions.</w:t>
            </w:r>
          </w:p>
        </w:tc>
      </w:tr>
    </w:tbl>
    <w:p>
      <w:pPr>
        <w:spacing w:after="0" w:before="200"/>
      </w:pPr>
    </w:p>
    <w:p>
      <w:pPr>
        <w:pStyle w:val="Heading2"/>
        <w:spacing w:after="100" w:before="240"/>
      </w:pPr>
      <w:r>
        <w:rPr>
          <w:rFonts w:ascii="Garamond" w:cs="Garamond" w:eastAsia="Garamond" w:hAnsi="Garamond"/>
          <w:b/>
          <w:bCs/>
          <w:color w:val="1B6B93"/>
          <w:sz w:val="24"/>
          <w:szCs w:val="24"/>
        </w:rPr>
        <w:t xml:space="preserve">3.4  Trigger &amp; Schedule</w:t>
      </w:r>
    </w:p>
    <w:p>
      <w:pPr>
        <w:spacing w:after="80" w:before="80"/>
      </w:pPr>
      <w:r>
        <w:rPr>
          <w:rFonts w:ascii="Garamond" w:cs="Garamond" w:eastAsia="Garamond" w:hAnsi="Garamond"/>
          <w:sz w:val="22"/>
          <w:szCs w:val="22"/>
        </w:rPr>
        <w:t xml:space="preserve">The workflow runs as a scheduled Cowork task every Monday at 06:00 PH time. It also supports manual trigger (drop files and run on demand). No user action required once files are in the folder.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Schedule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Every Monday, 06:00 PH (UTC+8) — cron: 0 6 * * 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Input 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/Cowork Automation/inputs/weekly-reports/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Output folder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/Cowork Automation/outputs/weekly-reports/YYYY-MM-DD/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Filename pattern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SPX_Weekly_OpsCompliance_YYYY-MM-DD.docx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On failure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Write error log to output folder; skip report generation; notify via desktop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7"/>
                <w:szCs w:val="17"/>
              </w:rPr>
              <w:t xml:space="preserve">Retention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7"/>
                <w:szCs w:val="17"/>
              </w:rPr>
              <w:t xml:space="preserve">Reports retained for 90 days; inputs retained for 30 days</w:t>
            </w:r>
          </w:p>
        </w:tc>
      </w:tr>
    </w:tbl>
    <w:p>
      <w:pPr>
        <w:spacing w:after="0" w:before="360"/>
      </w:pP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4. Sprint Plan (2 Weeks)</w:t>
      </w:r>
    </w:p>
    <w:p>
      <w:pPr>
        <w:spacing w:after="80" w:before="80"/>
      </w:pPr>
      <w:r>
        <w:rPr>
          <w:rFonts w:ascii="Garamond" w:cs="Garamond" w:eastAsia="Garamond" w:hAnsi="Garamond"/>
          <w:sz w:val="22"/>
          <w:szCs w:val="22"/>
        </w:rPr>
        <w:t xml:space="preserve">Six build tasks plus test and deploy. Each task is executable by Claude in Cowork mode. Assumes data schema is agreed in Week 1 Day 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160"/>
        <w:gridCol w:w="1200"/>
        <w:gridCol w:w="1100"/>
        <w:gridCol w:w="2200"/>
      </w:tblGrid>
      <w:tr>
        <w:trPr>
          <w:tblHeader/>
        </w:trPr>
        <w:tc>
          <w:tcPr>
            <w:tcW w:type="dxa" w:w="7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1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2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Dependency</w:t>
            </w:r>
          </w:p>
        </w:tc>
      </w:tr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1F3864"/>
                <w:sz w:val="18"/>
                <w:szCs w:val="18"/>
              </w:rPr>
              <w:t xml:space="preserve">WEEK 1  ·  Build &amp; Schema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S01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Define input CSV schemas and agree column names with therese.lucas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HM + 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S02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Build Python data ingestion and validation scripts (read CSVs, check completeness, surface errors)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S01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S03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Build OPX KPI processing logic (delta calc, threshold flags, top-miss ranking)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S02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S04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Build Compliance expiry logic (days-to-expiry calc, RAG bucketing, sort by urgency)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S02</w:t>
            </w:r>
          </w:p>
        </w:tc>
      </w:tr>
      <w:tr>
        <w:tc>
          <w:tcPr>
            <w:gridSpan w:val="5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1F3864"/>
                <w:sz w:val="18"/>
                <w:szCs w:val="18"/>
              </w:rPr>
              <w:t xml:space="preserve">WEEK 2  ·  Report + Test + Deploy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S05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Build HSE trend logic (incident type counts, WoW vs rolling avg, overdue action flag)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S02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S06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Build Word doc report generator (Garamond/navy template with all 5 sections)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1.5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S03–S05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S07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Wire scheduled trigger (Monday 06:00 cron, folder watch, error handling)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S06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S08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Test with sample data — validate outputs vs manually prepared reports for 1 week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HM + 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1 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S07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S09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Fix issues and deploy to production folder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Claude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0.5 days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S08</w:t>
            </w:r>
          </w:p>
        </w:tc>
      </w:tr>
    </w:tbl>
    <w:p>
      <w:pPr>
        <w:spacing w:after="0" w:before="360"/>
      </w:pP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5. Assumptions &amp; Flags</w:t>
      </w:r>
    </w:p>
    <w:p>
      <w:pPr>
        <w:spacing w:after="80" w:before="80"/>
      </w:pPr>
      <w:r>
        <w:rPr>
          <w:rFonts w:ascii="Garamond" w:cs="Garamond" w:eastAsia="Garamond" w:hAnsi="Garamond"/>
          <w:sz w:val="22"/>
          <w:szCs w:val="22"/>
        </w:rPr>
        <w:t xml:space="preserve">The following assumptions are made and must be confirmed before sprint start. Incorrect assumptions will affect scope or delivery date.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960"/>
        <w:gridCol w:w="2800"/>
      </w:tblGrid>
      <w:tr>
        <w:trPr>
          <w:tblHeader/>
        </w:trPr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Assumption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Impact if Wrong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A1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KPI tracker, compliance tracker, and HSE tracker are each maintained in Google Sheets and can be exported as CSV weekly by the respective role owners.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If no tracker exists, schema-building adds 3–5 days to Week 1.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A2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KPI thresholds for flagging dips (e.g., &gt;5% WoW drop) will be provided by therese.lucas or the OPX team before S03 starts.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Claude will use a default ±5% rule; actual thresholds may differ.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A3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Permit types and renewal timelines in the compliance tracker are standardized across hubs (same column structure for all sites).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Non-standard structures will require pre-processing logic; +1 day.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A4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Incident categories in HSE tracker are consistent with SPX standard definitions (MTC, FAC, NM or equivalent).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If categories vary by site, incident trend logic needs customization.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A5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The Cowork folder is accessible from the machine where files are deposited each Friday. No SharePoint or Google Drive API integration required for Sprint 1.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If source files are cloud-only, Sprint 2 should include a Google Drive connector.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A6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A sample dataset of 2–3 prior weeks is available for testing (S08). Claude cannot validate output quality without historical data.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Testing phase extends or is deferred.</w:t>
            </w:r>
          </w:p>
        </w:tc>
      </w:tr>
    </w:tbl>
    <w:p>
      <w:pPr>
        <w:spacing w:after="0" w:before="360"/>
      </w:pP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6.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1400"/>
        <w:gridCol w:w="3160"/>
      </w:tblGrid>
      <w:tr>
        <w:trPr>
          <w:tblHeader/>
        </w:trPr>
        <w:tc>
          <w:tcPr>
            <w:tcW w:type="dxa" w:w="3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Trackers not maintained consistently — missing weeks or ad-hoc column changes break ingestion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Add data validation gate in S02; log errors clearly; alert HM on failure.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KPI threshold calibration takes longer than expected (stakeholder alignment)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Default to ±5% WoW flag; HM can override via config file without code change.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Report format requires significant revision after first run (sections, language, structure)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Share draft output after S08 test; build section config so HM can toggle on/off.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File drop discipline — role owners forget to export and deposit CSVs by Friday EOD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sz w:val="18"/>
                <w:szCs w:val="18"/>
              </w:rPr>
              <w:t xml:space="preserve">Add a reminder SeaTalk message trigger; document SOP in 1 page; escalate to HM if missing by 05:00 Monday.</w:t>
            </w:r>
          </w:p>
        </w:tc>
      </w:tr>
    </w:tbl>
    <w:p>
      <w:pPr>
        <w:spacing w:after="0" w:before="400"/>
      </w:pPr>
    </w:p>
    <w:p>
      <w:pPr>
        <w:pStyle w:val="Heading1"/>
        <w:pBdr>
          <w:bottom w:val="single" w:color="1F3864" w:sz="8" w:space="4"/>
        </w:pBdr>
        <w:spacing w:after="120" w:before="360"/>
      </w:pPr>
      <w:r>
        <w:rPr>
          <w:rFonts w:ascii="Garamond" w:cs="Garamond" w:eastAsia="Garamond" w:hAnsi="Garamond"/>
          <w:b/>
          <w:bCs/>
          <w:color w:val="1F3864"/>
          <w:sz w:val="28"/>
          <w:szCs w:val="28"/>
        </w:rPr>
        <w:t xml:space="preserve">7. Approval</w:t>
      </w:r>
    </w:p>
    <w:p>
      <w:pPr>
        <w:spacing w:after="80" w:before="80"/>
      </w:pPr>
      <w:r>
        <w:rPr>
          <w:rFonts w:ascii="Garamond" w:cs="Garamond" w:eastAsia="Garamond" w:hAnsi="Garamond"/>
          <w:sz w:val="22"/>
          <w:szCs w:val="22"/>
        </w:rPr>
        <w:t xml:space="preserve">Reply with your approval to proceed. Alternatively, flag any sections for revision before sprint 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2000"/>
        <w:gridCol w:w="19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2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1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B6B9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Pice Preeyakorn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>Head of SPX Philippines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Garamond" w:cs="Garamond" w:eastAsia="Garamond" w:hAnsi="Garamond"/>
                <w:b/>
                <w:bCs/>
                <w:sz w:val="18"/>
                <w:szCs w:val="18"/>
              </w:rPr>
              <w:t xml:space="preserve">☐  Approved  ☐  Revise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Garamond" w:cs="Garamond" w:eastAsia="Garamond" w:hAnsi="Garamond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4"/>
      </w:pBdr>
      <w:tabs>
        <w:tab w:val="right" w:pos="9026"/>
      </w:tabs>
    </w:pPr>
    <w:r>
      <w:rPr>
        <w:rFonts w:ascii="Garamond" w:cs="Garamond" w:eastAsia="Garamond" w:hAnsi="Garamond"/>
        <w:color w:val="888888"/>
        <w:sz w:val="16"/>
        <w:szCs w:val="16"/>
      </w:rPr>
      <w:t xml:space="preserve">SPX Express Philippines  |  Cowork Automation Program</w:t>
    </w:r>
    <w:r>
      <w:rPr>
        <w:rFonts w:ascii="Garamond" w:cs="Garamond" w:eastAsia="Garamond" w:hAnsi="Garamond"/>
        <w:color w:val="888888"/>
        <w:sz w:val="16"/>
        <w:szCs w:val="16"/>
      </w:rPr>
      <w:t xml:space="preserve">	Page </w:t>
    </w:r>
    <w:r>
      <w:rPr>
        <w:rFonts w:ascii="Garamond" w:cs="Garamond" w:eastAsia="Garamond" w:hAnsi="Garamond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 w:space="4"/>
      </w:pBdr>
      <w:tabs>
        <w:tab w:val="right" w:pos="9026"/>
      </w:tabs>
    </w:pPr>
    <w:r>
      <w:rPr>
        <w:rFonts w:ascii="Garamond" w:cs="Garamond" w:eastAsia="Garamond" w:hAnsi="Garamond"/>
        <w:color w:val="888888"/>
        <w:sz w:val="18"/>
        <w:szCs w:val="18"/>
      </w:rPr>
      <w:t xml:space="preserve">SPX Philippines  |  Cowork Automation Design Spec</w:t>
    </w:r>
    <w:r>
      <w:rPr>
        <w:rFonts w:ascii="Garamond" w:cs="Garamond" w:eastAsia="Garamond" w:hAnsi="Garamond"/>
        <w:color w:val="888888"/>
        <w:sz w:val="18"/>
        <w:szCs w:val="18"/>
      </w:rPr>
      <w:t xml:space="preserve">	CONFIDENTIAL  |  v1.0  |  16 Apr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Garamond" w:cs="Garamond" w:eastAsia="Garamond" w:hAnsi="Garamond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aramond" w:cs="Garamond" w:eastAsia="Garamond" w:hAnsi="Garamond"/>
      <w:b/>
      <w:bCs/>
      <w:color w:val="1B6B9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2026-04-16T04:25:42.937Z</dcterms:created>
  <dcterms:modified xsi:type="dcterms:W3CDTF">2026-04-16T04:25:42.938Z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