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p>
    <w:p>
      <w:pPr>
        <w:spacing w:after="60" w:before="0"/>
      </w:pPr>
      <w:r>
        <w:rPr>
          <w:rFonts w:ascii="Garamond" w:cs="Garamond" w:eastAsia="Garamond" w:hAnsi="Garamond"/>
          <w:b/>
          <w:bCs/>
          <w:color w:val="1F3864"/>
          <w:sz w:val="52"/>
          <w:szCs w:val="52"/>
        </w:rPr>
        <w:t xml:space="preserve">Discovery &amp; Data Audit</w:t>
      </w:r>
    </w:p>
    <w:p>
      <w:pPr>
        <w:spacing w:after="80" w:before="0"/>
      </w:pPr>
      <w:r>
        <w:rPr>
          <w:rFonts w:ascii="Garamond" w:cs="Garamond" w:eastAsia="Garamond" w:hAnsi="Garamond"/>
          <w:color w:val="1B6B93"/>
          <w:sz w:val="30"/>
          <w:szCs w:val="30"/>
        </w:rPr>
        <w:t xml:space="preserve">Cowork Automation — Ops &amp; Compliance Reporting Workflow</w:t>
      </w:r>
    </w:p>
    <w:p>
      <w:pPr>
        <w:pBdr>
          <w:bottom w:val="single" w:color="1F3864" w:sz="10" w:space="4"/>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aramond" w:cs="Garamond" w:eastAsia="Garamond" w:hAnsi="Garamond"/>
                <w:b/>
                <w:bCs/>
                <w:sz w:val="19"/>
                <w:szCs w:val="19"/>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000000"/>
                <w:sz w:val="19"/>
                <w:szCs w:val="19"/>
              </w:rPr>
              <w:t xml:space="preserve">Validate data structure and user flow assumptions before the automated weekly reporting workflow goes live. This document is to be completed by the HM or nominated PIC for each role during a 30–45 min working session.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aramond" w:cs="Garamond" w:eastAsia="Garamond" w:hAnsi="Garamond"/>
                <w:b/>
                <w:bCs/>
                <w:sz w:val="19"/>
                <w:szCs w:val="19"/>
              </w:rPr>
              <w:t xml:space="preserve">Roles covered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000000"/>
                <w:sz w:val="19"/>
                <w:szCs w:val="19"/>
              </w:rPr>
              <w:t xml:space="preserve">OPX-002  ·  OFF-013  ·  HSE-002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aramond" w:cs="Garamond" w:eastAsia="Garamond" w:hAnsi="Garamond"/>
                <w:b/>
                <w:bCs/>
                <w:sz w:val="19"/>
                <w:szCs w:val="19"/>
              </w:rPr>
              <w:t xml:space="preserve">Hiring manager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000000"/>
                <w:sz w:val="19"/>
                <w:szCs w:val="19"/>
              </w:rPr>
              <w:t xml:space="preserve">therese.lucas@spxexpress.com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aramond" w:cs="Garamond" w:eastAsia="Garamond" w:hAnsi="Garamond"/>
                <w:b/>
                <w:bCs/>
                <w:sz w:val="19"/>
                <w:szCs w:val="19"/>
              </w:rPr>
              <w:t xml:space="preserve">Session facilitator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999999"/>
                <w:sz w:val="19"/>
                <w:szCs w:val="19"/>
              </w:rPr>
              <w:t xml:space="preserve">[name of person running this session]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aramond" w:cs="Garamond" w:eastAsia="Garamond" w:hAnsi="Garamond"/>
                <w:b/>
                <w:bCs/>
                <w:sz w:val="19"/>
                <w:szCs w:val="19"/>
              </w:rPr>
              <w:t xml:space="preserve">Session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999999"/>
                <w:sz w:val="19"/>
                <w:szCs w:val="19"/>
              </w:rPr>
              <w:t xml:space="preserve">[YYYY-MM-DD]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aramond" w:cs="Garamond" w:eastAsia="Garamond" w:hAnsi="Garamond"/>
                <w:b/>
                <w:bCs/>
                <w:sz w:val="19"/>
                <w:szCs w:val="19"/>
              </w:rPr>
              <w:t xml:space="preserve">Return 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000000"/>
                <w:sz w:val="19"/>
                <w:szCs w:val="19"/>
              </w:rPr>
              <w:t xml:space="preserve">pice.preeyakorn@shopee.com  —  target: before workflow go-live</w:t>
            </w:r>
          </w:p>
        </w:tc>
      </w:tr>
    </w:tbl>
    <w:p>
      <w:pPr>
        <w:spacing w:after="0" w:before="80"/>
      </w:pPr>
    </w:p>
    <w:p>
      <w:pPr>
        <w:spacing w:after="60" w:before="60"/>
      </w:pPr>
      <w:r>
        <w:rPr>
          <w:rFonts w:ascii="Garamond" w:cs="Garamond" w:eastAsia="Garamond" w:hAnsi="Garamond"/>
          <w:b/>
          <w:bCs/>
          <w:color w:val="1F3864"/>
          <w:sz w:val="20"/>
          <w:szCs w:val="20"/>
        </w:rPr>
        <w:t xml:space="preserve">HOW TO USE THIS DOCUMENT</w:t>
      </w:r>
    </w:p>
    <w:p>
      <w:pPr>
        <w:spacing w:after="60" w:before="60"/>
      </w:pPr>
      <w:r>
        <w:rPr>
          <w:rFonts w:ascii="Garamond" w:cs="Garamond" w:eastAsia="Garamond" w:hAnsi="Garamond"/>
          <w:b w:val="false"/>
          <w:bCs w:val="false"/>
          <w:color w:val="000000"/>
          <w:sz w:val="20"/>
          <w:szCs w:val="20"/>
        </w:rPr>
        <w:t xml:space="preserve">Work through each section in order. Sections 2–4 require the actual Google Sheets open on screen. For column mapping tables, write the exact column header as it appears in the sheet — spelling and spacing matter. Annotate any gaps or surprises in the Notes column.</w:t>
      </w:r>
    </w:p>
    <w:p>
      <w:pPr>
        <w:spacing w:after="0" w:before="80"/>
      </w:pPr>
    </w:p>
    <w:p>
      <w:pPr>
        <w:pBdr>
          <w:bottom w:val="single" w:color="1F3864" w:sz="8" w:space="4"/>
        </w:pBdr>
        <w:spacing w:after="120" w:before="360"/>
      </w:pPr>
      <w:r>
        <w:rPr>
          <w:rFonts w:ascii="Garamond" w:cs="Garamond" w:eastAsia="Garamond" w:hAnsi="Garamond"/>
          <w:b/>
          <w:bCs/>
          <w:color w:val="1F3864"/>
          <w:sz w:val="28"/>
          <w:szCs w:val="28"/>
        </w:rPr>
        <w:t xml:space="preserve">1. Context &amp; Purpose</w:t>
      </w:r>
    </w:p>
    <w:p>
      <w:pPr>
        <w:spacing w:after="60" w:before="60"/>
      </w:pPr>
      <w:r>
        <w:rPr>
          <w:rFonts w:ascii="Garamond" w:cs="Garamond" w:eastAsia="Garamond" w:hAnsi="Garamond"/>
          <w:b w:val="false"/>
          <w:bCs w:val="false"/>
          <w:color w:val="000000"/>
          <w:sz w:val="20"/>
          <w:szCs w:val="20"/>
        </w:rPr>
        <w:t xml:space="preserve">The Cowork automation workflow generates a weekly Word report covering:</w:t>
      </w:r>
    </w:p>
    <w:p>
      <w:pPr>
        <w:spacing w:after="60" w:before="60"/>
      </w:pPr>
      <w:r>
        <w:rPr>
          <w:rFonts w:ascii="Garamond" w:cs="Garamond" w:eastAsia="Garamond" w:hAnsi="Garamond"/>
          <w:b w:val="false"/>
          <w:bCs w:val="false"/>
          <w:color w:val="000000"/>
          <w:sz w:val="20"/>
          <w:szCs w:val="20"/>
        </w:rPr>
        <w:t xml:space="preserve">  • KPI performance flags (WoW delta, RAG vs target)</w:t>
      </w:r>
    </w:p>
    <w:p>
      <w:pPr>
        <w:spacing w:after="60" w:before="60"/>
      </w:pPr>
      <w:r>
        <w:rPr>
          <w:rFonts w:ascii="Garamond" w:cs="Garamond" w:eastAsia="Garamond" w:hAnsi="Garamond"/>
          <w:b w:val="false"/>
          <w:bCs w:val="false"/>
          <w:color w:val="000000"/>
          <w:sz w:val="20"/>
          <w:szCs w:val="20"/>
        </w:rPr>
        <w:t xml:space="preserve">  • Compliance permit expiry risk matrix (RED / AMBER / GREEN)</w:t>
      </w:r>
    </w:p>
    <w:p>
      <w:pPr>
        <w:spacing w:after="60" w:before="60"/>
      </w:pPr>
      <w:r>
        <w:rPr>
          <w:rFonts w:ascii="Garamond" w:cs="Garamond" w:eastAsia="Garamond" w:hAnsi="Garamond"/>
          <w:b w:val="false"/>
          <w:bCs w:val="false"/>
          <w:color w:val="000000"/>
          <w:sz w:val="20"/>
          <w:szCs w:val="20"/>
        </w:rPr>
        <w:t xml:space="preserve">  • HSE incident trends and overdue corrective actions</w:t>
      </w:r>
    </w:p>
    <w:p>
      <w:pPr>
        <w:spacing w:after="60" w:before="60"/>
      </w:pPr>
      <w:r>
        <w:rPr>
          <w:rFonts w:ascii="Garamond" w:cs="Garamond" w:eastAsia="Garamond" w:hAnsi="Garamond"/>
          <w:b w:val="false"/>
          <w:bCs w:val="false"/>
          <w:color w:val="000000"/>
          <w:sz w:val="20"/>
          <w:szCs w:val="20"/>
        </w:rPr>
        <w:t xml:space="preserve">  • Auto-prioritised action list across all three functions</w:t>
      </w:r>
    </w:p>
    <w:p>
      <w:pPr>
        <w:spacing w:after="0" w:before="80"/>
      </w:pPr>
    </w:p>
    <w:p>
      <w:pPr>
        <w:spacing w:after="60" w:before="60"/>
      </w:pPr>
      <w:r>
        <w:rPr>
          <w:rFonts w:ascii="Garamond" w:cs="Garamond" w:eastAsia="Garamond" w:hAnsi="Garamond"/>
          <w:b w:val="false"/>
          <w:bCs w:val="false"/>
          <w:color w:val="000000"/>
          <w:sz w:val="20"/>
          <w:szCs w:val="20"/>
        </w:rPr>
        <w:t xml:space="preserve">The workflow currently reads CSV exports dropped into a local folder. Based on your feedback, we expect the source data lives in Google Drive / Google Sheets. This session will confirm:</w:t>
      </w:r>
    </w:p>
    <w:p>
      <w:pPr>
        <w:spacing w:after="60" w:before="60"/>
      </w:pPr>
      <w:r>
        <w:rPr>
          <w:rFonts w:ascii="Garamond" w:cs="Garamond" w:eastAsia="Garamond" w:hAnsi="Garamond"/>
          <w:b w:val="false"/>
          <w:bCs w:val="false"/>
          <w:color w:val="000000"/>
          <w:sz w:val="20"/>
          <w:szCs w:val="20"/>
        </w:rPr>
        <w:t xml:space="preserve">  1. The exact structure of each tracker (column names, data types, sheet layout)</w:t>
      </w:r>
    </w:p>
    <w:p>
      <w:pPr>
        <w:spacing w:after="60" w:before="60"/>
      </w:pPr>
      <w:r>
        <w:rPr>
          <w:rFonts w:ascii="Garamond" w:cs="Garamond" w:eastAsia="Garamond" w:hAnsi="Garamond"/>
          <w:b w:val="false"/>
          <w:bCs w:val="false"/>
          <w:color w:val="000000"/>
          <w:sz w:val="20"/>
          <w:szCs w:val="20"/>
        </w:rPr>
        <w:t xml:space="preserve">  2. The current weekly workflow — who does what, when, and where</w:t>
      </w:r>
    </w:p>
    <w:p>
      <w:pPr>
        <w:spacing w:after="60" w:before="60"/>
      </w:pPr>
      <w:r>
        <w:rPr>
          <w:rFonts w:ascii="Garamond" w:cs="Garamond" w:eastAsia="Garamond" w:hAnsi="Garamond"/>
          <w:b w:val="false"/>
          <w:bCs w:val="false"/>
          <w:color w:val="000000"/>
          <w:sz w:val="20"/>
          <w:szCs w:val="20"/>
        </w:rPr>
        <w:t xml:space="preserve">  3. Whether we wire Google Drive directly (preferred) or stick with CSV exports</w:t>
      </w:r>
    </w:p>
    <w:p>
      <w:pPr>
        <w:spacing w:after="60" w:before="60"/>
      </w:pPr>
      <w:r>
        <w:rPr>
          <w:rFonts w:ascii="Garamond" w:cs="Garamond" w:eastAsia="Garamond" w:hAnsi="Garamond"/>
          <w:b w:val="false"/>
          <w:bCs w:val="false"/>
          <w:color w:val="000000"/>
          <w:sz w:val="20"/>
          <w:szCs w:val="20"/>
        </w:rPr>
        <w:t xml:space="preserve">  4. Any gaps between our assumed schema and reality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000" w:sz="1"/>
              <w:left w:val="single" w:color="FFC000" w:sz="1"/>
              <w:bottom w:val="single" w:color="FFC000" w:sz="1"/>
              <w:right w:val="single" w:color="FFC000" w:sz="1"/>
            </w:tcBorders>
            <w:shd w:fill="FFF3CD" w:val="clear"/>
            <w:tcMar>
              <w:top w:type="dxa" w:w="100"/>
              <w:left w:type="dxa" w:w="180"/>
              <w:bottom w:type="dxa" w:w="100"/>
              <w:right w:type="dxa" w:w="180"/>
            </w:tcMar>
          </w:tcPr>
          <w:p>
            <w:r>
              <w:rPr>
                <w:rFonts w:ascii="Garamond" w:cs="Garamond" w:eastAsia="Garamond" w:hAnsi="Garamond"/>
                <w:b/>
                <w:bCs/>
                <w:sz w:val="20"/>
                <w:szCs w:val="20"/>
              </w:rPr>
              <w:t xml:space="preserve">⚠️  Nothing is being changed by this session.</w:t>
            </w:r>
          </w:p>
          <w:p>
            <w:r>
              <w:rPr>
                <w:rFonts w:ascii="Garamond" w:cs="Garamond" w:eastAsia="Garamond" w:hAnsi="Garamond"/>
                <w:sz w:val="20"/>
                <w:szCs w:val="20"/>
              </w:rPr>
              <w:t xml:space="preserve">We are observing and documenting only. No trackers will be modified. No data will be moved without explicit sign-off.</w:t>
            </w:r>
          </w:p>
        </w:tc>
      </w:tr>
    </w:tbl>
    <w:p>
      <w:pPr>
        <w:spacing w:after="0" w:before="80"/>
      </w:pPr>
    </w:p>
    <w:p>
      <w:pPr>
        <w:pBdr>
          <w:bottom w:val="single" w:color="1F3864" w:sz="8" w:space="4"/>
        </w:pBdr>
        <w:spacing w:after="120" w:before="360"/>
      </w:pPr>
      <w:r>
        <w:rPr>
          <w:rFonts w:ascii="Garamond" w:cs="Garamond" w:eastAsia="Garamond" w:hAnsi="Garamond"/>
          <w:b/>
          <w:bCs/>
          <w:color w:val="1F3864"/>
          <w:sz w:val="28"/>
          <w:szCs w:val="28"/>
        </w:rPr>
        <w:t xml:space="preserve">2. Current User Flow — Weekly Reporting</w:t>
      </w:r>
    </w:p>
    <w:p>
      <w:pPr>
        <w:spacing w:after="60" w:before="60"/>
      </w:pPr>
      <w:r>
        <w:rPr>
          <w:rFonts w:ascii="Garamond" w:cs="Garamond" w:eastAsia="Garamond" w:hAnsi="Garamond"/>
          <w:b w:val="false"/>
          <w:bCs w:val="false"/>
          <w:color w:val="000000"/>
          <w:sz w:val="20"/>
          <w:szCs w:val="20"/>
        </w:rPr>
        <w:t xml:space="preserve">Walk through a typical Monday morning. We want to understand the exact sequence of steps each role currently takes to produce their weekly report — tools, files, handoffs, and pain points.</w:t>
      </w:r>
    </w:p>
    <w:p>
      <w:pPr>
        <w:spacing w:after="0" w:before="80"/>
      </w:pPr>
    </w:p>
    <w:p>
      <w:pPr>
        <w:spacing w:after="80" w:before="240"/>
      </w:pPr>
      <w:r>
        <w:rPr>
          <w:rFonts w:ascii="Garamond" w:cs="Garamond" w:eastAsia="Garamond" w:hAnsi="Garamond"/>
          <w:b/>
          <w:bCs/>
          <w:color w:val="1B6B93"/>
          <w:sz w:val="23"/>
          <w:szCs w:val="23"/>
        </w:rPr>
        <w:t xml:space="preserve">2.1  OPX-002  (Operations Excellence Executive)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Question</w:t>
            </w:r>
          </w:p>
        </w:tc>
        <w:tc>
          <w:tcPr>
            <w:tcW w:type="dxa" w:w="536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Where do you pull the KPI data from each week? (URL / sheet name / dashboard)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Do you manually copy numbers into a separate tracker, or is it already structured?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How long does it take you to compile the KPI section of the weekly report?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Who receives the report, and how? (SeaTalk / email / shared GDrive folder?)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Is there a report template you follow, or free-format each week?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What is the single most painful or error-prone part of this process?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What decisions get made based on this report? (Helps us know what to flag)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bl>
    <w:p>
      <w:pPr>
        <w:spacing w:after="0" w:before="80"/>
      </w:pPr>
    </w:p>
    <w:p>
      <w:pPr>
        <w:spacing w:after="80" w:before="240"/>
      </w:pPr>
      <w:r>
        <w:rPr>
          <w:rFonts w:ascii="Garamond" w:cs="Garamond" w:eastAsia="Garamond" w:hAnsi="Garamond"/>
          <w:b/>
          <w:bCs/>
          <w:color w:val="1B6B93"/>
          <w:sz w:val="23"/>
          <w:szCs w:val="23"/>
        </w:rPr>
        <w:t xml:space="preserve">2.2  OFF-013  (Compliance 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Question</w:t>
            </w:r>
          </w:p>
        </w:tc>
        <w:tc>
          <w:tcPr>
            <w:tcW w:type="dxa" w:w="536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Is there a single compliance tracker for all hubs, or one per hub?</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Who updates the tracker — you, the hub PICs, or both?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How do you currently flag expiring permits? (Manual, conditional formatting, other?)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How often does the tracker get out of date? What causes gaps?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Who is the audience for your weekly compliance risk summary?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Is there a standard report format, or is it a SeaTalk message / email?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Are permit renewal statuses tracked in the same sheet or a different one?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bl>
    <w:p>
      <w:pPr>
        <w:spacing w:after="0" w:before="80"/>
      </w:pPr>
    </w:p>
    <w:p>
      <w:pPr>
        <w:spacing w:after="80" w:before="240"/>
      </w:pPr>
      <w:r>
        <w:rPr>
          <w:rFonts w:ascii="Garamond" w:cs="Garamond" w:eastAsia="Garamond" w:hAnsi="Garamond"/>
          <w:b/>
          <w:bCs/>
          <w:color w:val="1B6B93"/>
          <w:sz w:val="23"/>
          <w:szCs w:val="23"/>
        </w:rPr>
        <w:t xml:space="preserve">2.3  HSE-002  (HSE Executive)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Question</w:t>
            </w:r>
          </w:p>
        </w:tc>
        <w:tc>
          <w:tcPr>
            <w:tcW w:type="dxa" w:w="536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Where is the incident log maintained? (GSheet / GForm / manual log?)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Is there a separate corrective action tracker, or is it in the same sheet?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Who logs incidents — site PICs via form submission, or you directly?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How do you currently track whether corrective actions are closed on time?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What does your weekly / monthly HSE report look like? (Bullet summary / table / slides?)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Is the incident data fresh in real time, or only updated at end of week?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Are there incident types beyond MTC / FAC / NM that we should know about?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bl>
    <w:p>
      <w:pPr>
        <w:spacing w:after="0" w:before="80"/>
      </w:pPr>
    </w:p>
    <w:p>
      <w:pPr>
        <w:pBdr>
          <w:bottom w:val="single" w:color="1F3864" w:sz="8" w:space="4"/>
        </w:pBdr>
        <w:spacing w:after="120" w:before="360"/>
      </w:pPr>
      <w:r>
        <w:rPr>
          <w:rFonts w:ascii="Garamond" w:cs="Garamond" w:eastAsia="Garamond" w:hAnsi="Garamond"/>
          <w:b/>
          <w:bCs/>
          <w:color w:val="1F3864"/>
          <w:sz w:val="28"/>
          <w:szCs w:val="28"/>
        </w:rPr>
        <w:t xml:space="preserve">3. Data Structure Audit — Column Mapping</w:t>
      </w:r>
    </w:p>
    <w:p>
      <w:pPr>
        <w:spacing w:after="60" w:before="60"/>
      </w:pPr>
      <w:r>
        <w:rPr>
          <w:rFonts w:ascii="Garamond" w:cs="Garamond" w:eastAsia="Garamond" w:hAnsi="Garamond"/>
          <w:b w:val="false"/>
          <w:bCs w:val="false"/>
          <w:color w:val="000000"/>
          <w:sz w:val="20"/>
          <w:szCs w:val="20"/>
        </w:rPr>
        <w:t xml:space="preserve">For each tracker, open the actual Google Sheet and map the column headers to our assumed schema below. If a column doesn't exist in your sheet, write MISSING. If the data is structured differently (e.g. one row per week rather than one row per metric), describe it in the Notes row.</w:t>
      </w:r>
    </w:p>
    <w:p>
      <w:pPr>
        <w:spacing w:after="0" w:before="80"/>
      </w:pPr>
    </w:p>
    <w:p>
      <w:pPr>
        <w:spacing w:after="80" w:before="240"/>
      </w:pPr>
      <w:r>
        <w:rPr>
          <w:rFonts w:ascii="Garamond" w:cs="Garamond" w:eastAsia="Garamond" w:hAnsi="Garamond"/>
          <w:b/>
          <w:bCs/>
          <w:color w:val="1B6B93"/>
          <w:sz w:val="23"/>
          <w:szCs w:val="23"/>
        </w:rPr>
        <w:t xml:space="preserve">3.1  KPI Tracker</w:t>
      </w:r>
    </w:p>
    <w:p>
      <w:pPr>
        <w:spacing w:after="60" w:before="60"/>
      </w:pPr>
      <w:r>
        <w:rPr>
          <w:rFonts w:ascii="Garamond" w:cs="Garamond" w:eastAsia="Garamond" w:hAnsi="Garamond"/>
          <w:b w:val="false"/>
          <w:bCs w:val="false"/>
          <w:color w:val="000000"/>
          <w:sz w:val="20"/>
          <w:szCs w:val="20"/>
        </w:rPr>
        <w:t xml:space="preserve">Open your KPI / ops performance tracker and complete the table. We need one row per hub × metric combination each week.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2400"/>
        <w:gridCol w:w="1200"/>
      </w:tblGrid>
      <w:tr>
        <w:trPr>
          <w:tblHeader/>
        </w:trPr>
        <w:tc>
          <w:tcPr>
            <w:tcW w:type="dxa" w:w="24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Our field name</w:t>
            </w:r>
          </w:p>
        </w:tc>
        <w:tc>
          <w:tcPr>
            <w:tcW w:type="dxa" w:w="336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What we expect</w:t>
            </w:r>
          </w:p>
        </w:tc>
        <w:tc>
          <w:tcPr>
            <w:tcW w:type="dxa" w:w="24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Your exact column name</w:t>
            </w:r>
          </w:p>
        </w:tc>
        <w:tc>
          <w:tcPr>
            <w:tcW w:type="dxa" w:w="12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hub</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Hub or station identifier (e.g. Arayat, Laguna)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metric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Metric name (e.g. SLA Rate, Productivity)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this_week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This week's value (numeric, %)</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last_week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Last week's value (numeric, %)</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target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Defined target / threshold for the metric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week_date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Date of the week (YYYY-MM-DD or similar)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gridSpan w:val="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aramond" w:cs="Garamond" w:eastAsia="Garamond" w:hAnsi="Garamond"/>
                <w:b/>
                <w:bCs/>
                <w:sz w:val="18"/>
                <w:szCs w:val="18"/>
              </w:rPr>
              <w:t xml:space="preserve">Additional notes on sheet structure (tabs, layout, data source):</w:t>
            </w:r>
          </w:p>
          <w:p>
            <w:r>
              <w:rPr>
                <w:rFonts w:ascii="Garamond" w:cs="Garamond" w:eastAsia="Garamond" w:hAnsi="Garamond"/>
                <w:color w:val="999999"/>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Garamond" w:cs="Garamond" w:eastAsia="Garamond" w:hAnsi="Garamond"/>
                <w:b/>
                <w:bCs/>
                <w:color w:val="000000"/>
                <w:sz w:val="18"/>
                <w:szCs w:val="18"/>
              </w:rPr>
              <w:t xml:space="preserve">GDrive URL</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999999"/>
                <w:sz w:val="18"/>
                <w:szCs w:val="18"/>
              </w:rPr>
              <w:t xml:space="preserve">[paste Google Sheet URL here]</w:t>
            </w:r>
          </w:p>
        </w:tc>
      </w:tr>
    </w:tbl>
    <w:p>
      <w:pPr>
        <w:spacing w:after="0" w:before="80"/>
      </w:pPr>
    </w:p>
    <w:p>
      <w:pPr>
        <w:spacing w:after="80" w:before="240"/>
      </w:pPr>
      <w:r>
        <w:rPr>
          <w:rFonts w:ascii="Garamond" w:cs="Garamond" w:eastAsia="Garamond" w:hAnsi="Garamond"/>
          <w:b/>
          <w:bCs/>
          <w:color w:val="1B6B93"/>
          <w:sz w:val="23"/>
          <w:szCs w:val="23"/>
        </w:rPr>
        <w:t xml:space="preserve">3.2  Compliance Tracker</w:t>
      </w:r>
    </w:p>
    <w:p>
      <w:pPr>
        <w:spacing w:after="60" w:before="60"/>
      </w:pPr>
      <w:r>
        <w:rPr>
          <w:rFonts w:ascii="Garamond" w:cs="Garamond" w:eastAsia="Garamond" w:hAnsi="Garamond"/>
          <w:b w:val="false"/>
          <w:bCs w:val="false"/>
          <w:color w:val="000000"/>
          <w:sz w:val="20"/>
          <w:szCs w:val="20"/>
        </w:rPr>
        <w:t xml:space="preserve">Open the permit / compliance tracker. We need one row per hub × permit type combination with expiry date and status.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2400"/>
        <w:gridCol w:w="1200"/>
      </w:tblGrid>
      <w:tr>
        <w:trPr>
          <w:tblHeader/>
        </w:trPr>
        <w:tc>
          <w:tcPr>
            <w:tcW w:type="dxa" w:w="24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Our field name</w:t>
            </w:r>
          </w:p>
        </w:tc>
        <w:tc>
          <w:tcPr>
            <w:tcW w:type="dxa" w:w="336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What we expect</w:t>
            </w:r>
          </w:p>
        </w:tc>
        <w:tc>
          <w:tcPr>
            <w:tcW w:type="dxa" w:w="24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Your exact column name</w:t>
            </w:r>
          </w:p>
        </w:tc>
        <w:tc>
          <w:tcPr>
            <w:tcW w:type="dxa" w:w="12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hub</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Hub or site 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site_code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Unique site identifier or code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permit_type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Type of permit (Business Permit, BFP Certificate, etc.)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permit_number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Official permit number or reference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expiry_date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Date the permit expires (YYYY-MM-DD or DD/MM/YYYY)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renewal_status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Current renewal status (Pending / Filed / Completed / etc.)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assigned_to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Person responsible for this permit renewal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gridSpan w:val="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aramond" w:cs="Garamond" w:eastAsia="Garamond" w:hAnsi="Garamond"/>
                <w:b/>
                <w:bCs/>
                <w:sz w:val="18"/>
                <w:szCs w:val="18"/>
              </w:rPr>
              <w:t xml:space="preserve">Additional notes (multiple sheets? separate trackers per region?):</w:t>
            </w:r>
          </w:p>
          <w:p>
            <w:r>
              <w:rPr>
                <w:rFonts w:ascii="Garamond" w:cs="Garamond" w:eastAsia="Garamond" w:hAnsi="Garamond"/>
                <w:color w:val="999999"/>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Garamond" w:cs="Garamond" w:eastAsia="Garamond" w:hAnsi="Garamond"/>
                <w:b/>
                <w:bCs/>
                <w:color w:val="000000"/>
                <w:sz w:val="18"/>
                <w:szCs w:val="18"/>
              </w:rPr>
              <w:t xml:space="preserve">GDrive URL</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999999"/>
                <w:sz w:val="18"/>
                <w:szCs w:val="18"/>
              </w:rPr>
              <w:t xml:space="preserve">[paste Google Sheet URL here]</w:t>
            </w:r>
          </w:p>
        </w:tc>
      </w:tr>
    </w:tbl>
    <w:p>
      <w:pPr>
        <w:spacing w:after="0" w:before="80"/>
      </w:pPr>
    </w:p>
    <w:p>
      <w:pPr>
        <w:spacing w:after="80" w:before="240"/>
      </w:pPr>
      <w:r>
        <w:rPr>
          <w:rFonts w:ascii="Garamond" w:cs="Garamond" w:eastAsia="Garamond" w:hAnsi="Garamond"/>
          <w:b/>
          <w:bCs/>
          <w:color w:val="1B6B93"/>
          <w:sz w:val="23"/>
          <w:szCs w:val="23"/>
        </w:rPr>
        <w:t xml:space="preserve">3.3  HSE Tracker</w:t>
      </w:r>
    </w:p>
    <w:p>
      <w:pPr>
        <w:spacing w:after="60" w:before="60"/>
      </w:pPr>
      <w:r>
        <w:rPr>
          <w:rFonts w:ascii="Garamond" w:cs="Garamond" w:eastAsia="Garamond" w:hAnsi="Garamond"/>
          <w:b w:val="false"/>
          <w:bCs w:val="false"/>
          <w:color w:val="000000"/>
          <w:sz w:val="20"/>
          <w:szCs w:val="20"/>
        </w:rPr>
        <w:t xml:space="preserve">Open the incident log or HSE tracker. We need one row per incident with corrective action details and closure status.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2400"/>
        <w:gridCol w:w="1200"/>
      </w:tblGrid>
      <w:tr>
        <w:trPr>
          <w:tblHeader/>
        </w:trPr>
        <w:tc>
          <w:tcPr>
            <w:tcW w:type="dxa" w:w="24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Our field name</w:t>
            </w:r>
          </w:p>
        </w:tc>
        <w:tc>
          <w:tcPr>
            <w:tcW w:type="dxa" w:w="336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What we expect</w:t>
            </w:r>
          </w:p>
        </w:tc>
        <w:tc>
          <w:tcPr>
            <w:tcW w:type="dxa" w:w="24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Your exact column name</w:t>
            </w:r>
          </w:p>
        </w:tc>
        <w:tc>
          <w:tcPr>
            <w:tcW w:type="dxa" w:w="12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date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Date of the incident (YYYY-MM-DD)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hub</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Hub or site where incident occurred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incident_type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MTC / FAC / NM or equivalent category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description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Brief description of what happened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corrective_action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What action was assigned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due_date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Due date for corrective action closure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status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Open / Closed / Overdue or equivalent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week_date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Week the incident is attributed to (optional)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[your column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gridSpan w:val="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aramond" w:cs="Garamond" w:eastAsia="Garamond" w:hAnsi="Garamond"/>
                <w:b/>
                <w:bCs/>
                <w:sz w:val="18"/>
                <w:szCs w:val="18"/>
              </w:rPr>
              <w:t xml:space="preserve">Additional notes (data entry via Google Form? separate sheets per hub? incident types differ?):</w:t>
            </w:r>
          </w:p>
          <w:p>
            <w:r>
              <w:rPr>
                <w:rFonts w:ascii="Garamond" w:cs="Garamond" w:eastAsia="Garamond" w:hAnsi="Garamond"/>
                <w:color w:val="999999"/>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Garamond" w:cs="Garamond" w:eastAsia="Garamond" w:hAnsi="Garamond"/>
                <w:b/>
                <w:bCs/>
                <w:color w:val="000000"/>
                <w:sz w:val="18"/>
                <w:szCs w:val="18"/>
              </w:rPr>
              <w:t xml:space="preserve">GDrive URL</w:t>
            </w:r>
          </w:p>
        </w:tc>
        <w:tc>
          <w:tcPr>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999999"/>
                <w:sz w:val="18"/>
                <w:szCs w:val="18"/>
              </w:rPr>
              <w:t xml:space="preserve">[paste Google Sheet URL here]</w:t>
            </w:r>
          </w:p>
        </w:tc>
      </w:tr>
    </w:tbl>
    <w:p>
      <w:pPr>
        <w:spacing w:after="0" w:before="80"/>
      </w:pPr>
    </w:p>
    <w:p>
      <w:pPr>
        <w:pBdr>
          <w:bottom w:val="single" w:color="1F3864" w:sz="8" w:space="4"/>
        </w:pBdr>
        <w:spacing w:after="120" w:before="360"/>
      </w:pPr>
      <w:r>
        <w:rPr>
          <w:rFonts w:ascii="Garamond" w:cs="Garamond" w:eastAsia="Garamond" w:hAnsi="Garamond"/>
          <w:b/>
          <w:bCs/>
          <w:color w:val="1F3864"/>
          <w:sz w:val="28"/>
          <w:szCs w:val="28"/>
        </w:rPr>
        <w:t xml:space="preserve">4. Google Drive Structure</w:t>
      </w:r>
    </w:p>
    <w:p>
      <w:pPr>
        <w:spacing w:after="60" w:before="60"/>
      </w:pPr>
      <w:r>
        <w:rPr>
          <w:rFonts w:ascii="Garamond" w:cs="Garamond" w:eastAsia="Garamond" w:hAnsi="Garamond"/>
          <w:b w:val="false"/>
          <w:bCs w:val="false"/>
          <w:color w:val="000000"/>
          <w:sz w:val="20"/>
          <w:szCs w:val="20"/>
        </w:rPr>
        <w:t xml:space="preserve">The workflow currently reads local CSV exports. To remove the manual export step, we can connect directly to Google Drive / Sheets. This section maps the Drive folder structure so we can configure the integration.</w:t>
      </w:r>
    </w:p>
    <w:p>
      <w:pPr>
        <w:spacing w:after="0" w:before="80"/>
      </w:pPr>
    </w:p>
    <w:p>
      <w:pPr>
        <w:spacing w:after="80" w:before="240"/>
      </w:pPr>
      <w:r>
        <w:rPr>
          <w:rFonts w:ascii="Garamond" w:cs="Garamond" w:eastAsia="Garamond" w:hAnsi="Garamond"/>
          <w:b/>
          <w:bCs/>
          <w:color w:val="1B6B93"/>
          <w:sz w:val="23"/>
          <w:szCs w:val="23"/>
        </w:rPr>
        <w:t xml:space="preserve">4.1  Drive Folder Map</w:t>
      </w:r>
    </w:p>
    <w:p>
      <w:pPr>
        <w:spacing w:after="60" w:before="60"/>
      </w:pPr>
      <w:r>
        <w:rPr>
          <w:rFonts w:ascii="Garamond" w:cs="Garamond" w:eastAsia="Garamond" w:hAnsi="Garamond"/>
          <w:b w:val="false"/>
          <w:bCs w:val="false"/>
          <w:color w:val="000000"/>
          <w:sz w:val="20"/>
          <w:szCs w:val="20"/>
        </w:rPr>
        <w:t xml:space="preserve">List the key folders relevant to this workflow. You can copy the URL from the browser address bar when inside a folder.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Folder / File</w:t>
            </w:r>
          </w:p>
        </w:tc>
        <w:tc>
          <w:tcPr>
            <w:tcW w:type="dxa" w:w="436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Google Drive URL</w:t>
            </w:r>
          </w:p>
        </w:tc>
        <w:tc>
          <w:tcPr>
            <w:tcW w:type="dxa" w:w="20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Access level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KPI / Ops performance tracker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[paste 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[owner / editor / viewer]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Compliance / permits tracker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[paste 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[owner / editor / viewer]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HSE incident log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[paste 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[owner / editor / viewer]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Weekly report output folder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[paste 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[owner / editor / viewer]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Parent team folder (if any)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[paste 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[owner / editor / viewer]</w:t>
            </w:r>
          </w:p>
        </w:tc>
      </w:tr>
    </w:tbl>
    <w:p>
      <w:pPr>
        <w:spacing w:after="0" w:before="80"/>
      </w:pPr>
    </w:p>
    <w:p>
      <w:pPr>
        <w:spacing w:after="80" w:before="240"/>
      </w:pPr>
      <w:r>
        <w:rPr>
          <w:rFonts w:ascii="Garamond" w:cs="Garamond" w:eastAsia="Garamond" w:hAnsi="Garamond"/>
          <w:b/>
          <w:bCs/>
          <w:color w:val="1B6B93"/>
          <w:sz w:val="23"/>
          <w:szCs w:val="23"/>
        </w:rPr>
        <w:t xml:space="preserve">4.2  Access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Question</w:t>
            </w:r>
          </w:p>
        </w:tc>
        <w:tc>
          <w:tcPr>
            <w:tcW w:type="dxa" w:w="42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Answer</w:t>
            </w:r>
          </w:p>
        </w:tc>
      </w:tr>
      <w:tr>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Are the trackers owned by a personal Google account or a Shopee / SPX org account?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Is the Drive folder shared with the team, or personal to one person?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Would you be comfortable sharing read-only access to these sheets with an automation service account?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Are there any sheets that contain sensitive data (salaries, PII, HR) that should NOT be read by the workflow?</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Who should be notified when the weekly report is generated? (SeaTalk handle or email)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bl>
    <w:p>
      <w:pPr>
        <w:spacing w:after="0" w:before="80"/>
      </w:pPr>
    </w:p>
    <w:p>
      <w:pPr>
        <w:spacing w:after="80" w:before="240"/>
      </w:pPr>
      <w:r>
        <w:rPr>
          <w:rFonts w:ascii="Garamond" w:cs="Garamond" w:eastAsia="Garamond" w:hAnsi="Garamond"/>
          <w:b/>
          <w:bCs/>
          <w:color w:val="1B6B93"/>
          <w:sz w:val="23"/>
          <w:szCs w:val="23"/>
        </w:rPr>
        <w:t xml:space="preserve">4.3  Data Freshness &amp; Update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Tracker</w:t>
            </w:r>
          </w:p>
        </w:tc>
        <w:tc>
          <w:tcPr>
            <w:tcW w:type="dxa" w:w="516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When is it updated each week? (day + time)</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KPI tracker (OPX-002)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[e.g. Friday by 5pm]</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Compliance tracker (OFF-013)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[e.g. Friday by 5pm]</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HSE incident log (HSE-002)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[e.g. Friday by 5pm]</w:t>
            </w:r>
          </w:p>
        </w:tc>
      </w:tr>
    </w:tbl>
    <w:p>
      <w:pPr>
        <w:spacing w:after="0" w:before="80"/>
      </w:pPr>
    </w:p>
    <w:p>
      <w:pPr>
        <w:spacing w:after="60" w:before="60"/>
      </w:pPr>
      <w:r>
        <w:rPr>
          <w:rFonts w:ascii="Garamond" w:cs="Garamond" w:eastAsia="Garamond" w:hAnsi="Garamond"/>
          <w:b w:val="false"/>
          <w:bCs w:val="false"/>
          <w:color w:val="000000"/>
          <w:sz w:val="20"/>
          <w:szCs w:val="20"/>
        </w:rPr>
        <w:t xml:space="preserve">The workflow fires every Monday at 06:00 PH time. For the report to be accurate, all three trackers must be updated by Sunday EOD at the latest. If Friday is the realistic cutoff, the schedule can be moved to Friday afternoon instead.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aramond" w:cs="Garamond" w:eastAsia="Garamond" w:hAnsi="Garamond"/>
                <w:b/>
                <w:bCs/>
                <w:sz w:val="19"/>
                <w:szCs w:val="19"/>
              </w:rPr>
              <w:t xml:space="preserve">Preferred report delivery time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000000"/>
                <w:sz w:val="19"/>
                <w:szCs w:val="19"/>
              </w:rPr>
              <w:t xml:space="preserve">☐  Monday 06:00   ☐  Monday 08:00   ☐  Friday 17:00   ☐  Other: _______</w:t>
            </w:r>
          </w:p>
        </w:tc>
      </w:tr>
    </w:tbl>
    <w:p>
      <w:pPr>
        <w:spacing w:after="0" w:before="80"/>
      </w:pPr>
    </w:p>
    <w:p>
      <w:pPr>
        <w:pBdr>
          <w:bottom w:val="single" w:color="1F3864" w:sz="8" w:space="4"/>
        </w:pBdr>
        <w:spacing w:after="120" w:before="360"/>
      </w:pPr>
      <w:r>
        <w:rPr>
          <w:rFonts w:ascii="Garamond" w:cs="Garamond" w:eastAsia="Garamond" w:hAnsi="Garamond"/>
          <w:b/>
          <w:bCs/>
          <w:color w:val="1F3864"/>
          <w:sz w:val="28"/>
          <w:szCs w:val="28"/>
        </w:rPr>
        <w:t xml:space="preserve">5. Google Drive Integration Options</w:t>
      </w:r>
    </w:p>
    <w:p>
      <w:pPr>
        <w:spacing w:after="60" w:before="60"/>
      </w:pPr>
      <w:r>
        <w:rPr>
          <w:rFonts w:ascii="Garamond" w:cs="Garamond" w:eastAsia="Garamond" w:hAnsi="Garamond"/>
          <w:b w:val="false"/>
          <w:bCs w:val="false"/>
          <w:color w:val="000000"/>
          <w:sz w:val="20"/>
          <w:szCs w:val="20"/>
        </w:rPr>
        <w:t xml:space="preserve">Three integration approaches are available. Based on the answers in Section 4, circle the preferred option and we will configure the workflow accordingly.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160"/>
        <w:gridCol w:w="2800"/>
      </w:tblGrid>
      <w:tr>
        <w:trPr>
          <w:tblHeader/>
        </w:trPr>
        <w:tc>
          <w:tcPr>
            <w:tcW w:type="dxa" w:w="10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w:t>
            </w:r>
          </w:p>
        </w:tc>
        <w:tc>
          <w:tcPr>
            <w:tcW w:type="dxa" w:w="24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Approach</w:t>
            </w:r>
          </w:p>
        </w:tc>
        <w:tc>
          <w:tcPr>
            <w:tcW w:type="dxa" w:w="316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How it works</w:t>
            </w:r>
          </w:p>
        </w:tc>
        <w:tc>
          <w:tcPr>
            <w:tcW w:type="dxa" w:w="28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Trade-offs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Manual CSV export
(current sprint default)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Role owner exports tracker as CSV each Friday, drops into a shared local folder. Workflow reads from there on Monday.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No setup needed. No permissions required.
✗ Manual step — relies on discipline. Export can be forgotten.</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B</w:t>
            </w:r>
          </w:p>
        </w:tc>
        <w:tc>
          <w:tcPr>
            <w:tcW w:type="dxa" w:w="24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Garamond" w:cs="Garamond" w:eastAsia="Garamond" w:hAnsi="Garamond"/>
                <w:b/>
                <w:bCs/>
                <w:color w:val="000000"/>
                <w:sz w:val="18"/>
                <w:szCs w:val="18"/>
              </w:rPr>
              <w:t xml:space="preserve">Google Drive MCP connector
(recommended)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Connect Claude Cowork to Google Drive via OAuth. Workflow reads the sheet directly on schedule — no manual export needed.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Fully automated. No discipline required.
✗ Requires one-time OAuth setup and read permission grant from sheet owner.</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Scheduled Google Takeout / export
(fallback)</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Set up a Google Apps Script to auto-export the sheet as CSV to a Drive folder at end of week. Workflow reads from Drive.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No OAuth needed for Cowork.
✗ Requires someone to set up the Apps Script. One-time effort ~1 hour.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aramond" w:cs="Garamond" w:eastAsia="Garamond" w:hAnsi="Garamond"/>
                <w:b/>
                <w:bCs/>
                <w:sz w:val="19"/>
                <w:szCs w:val="19"/>
              </w:rPr>
              <w:t xml:space="preserve">Preferred option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000000"/>
                <w:sz w:val="19"/>
                <w:szCs w:val="19"/>
              </w:rPr>
              <w:t xml:space="preserve">☐  A — Manual CSV   ☐  B — GDrive MCP   ☐  C — Apps Script</w:t>
            </w:r>
          </w:p>
        </w:tc>
      </w:tr>
    </w:tbl>
    <w:p>
      <w:pPr>
        <w:spacing w:after="0" w:before="80"/>
      </w:pPr>
    </w:p>
    <w:p>
      <w:pPr>
        <w:pBdr>
          <w:bottom w:val="single" w:color="1F3864" w:sz="8" w:space="4"/>
        </w:pBdr>
        <w:spacing w:after="120" w:before="360"/>
      </w:pPr>
      <w:r>
        <w:rPr>
          <w:rFonts w:ascii="Garamond" w:cs="Garamond" w:eastAsia="Garamond" w:hAnsi="Garamond"/>
          <w:b/>
          <w:bCs/>
          <w:color w:val="1F3864"/>
          <w:sz w:val="28"/>
          <w:szCs w:val="28"/>
        </w:rPr>
        <w:t xml:space="preserve">6. Report Output Review</w:t>
      </w:r>
    </w:p>
    <w:p>
      <w:pPr>
        <w:spacing w:after="60" w:before="60"/>
      </w:pPr>
      <w:r>
        <w:rPr>
          <w:rFonts w:ascii="Garamond" w:cs="Garamond" w:eastAsia="Garamond" w:hAnsi="Garamond"/>
          <w:b w:val="false"/>
          <w:bCs w:val="false"/>
          <w:color w:val="000000"/>
          <w:sz w:val="20"/>
          <w:szCs w:val="20"/>
        </w:rPr>
        <w:t xml:space="preserve">Review the sample report that was generated from dummy data. Walk through each section with the team and mark what needs to change.</w:t>
      </w:r>
    </w:p>
    <w:p>
      <w:pPr>
        <w:spacing w:after="0" w:before="80"/>
      </w:pPr>
    </w:p>
    <w:p>
      <w:pPr>
        <w:spacing w:after="60" w:before="60"/>
      </w:pPr>
      <w:r>
        <w:rPr>
          <w:rFonts w:ascii="Garamond" w:cs="Garamond" w:eastAsia="Garamond" w:hAnsi="Garamond"/>
          <w:b w:val="false"/>
          <w:bCs w:val="false"/>
          <w:color w:val="000000"/>
          <w:sz w:val="20"/>
          <w:szCs w:val="20"/>
        </w:rPr>
        <w:t xml:space="preserve">Sample report file: SPX_Weekly_OpsCompliance_2026-04-16.docx  (shared separately)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Section</w:t>
            </w:r>
          </w:p>
        </w:tc>
        <w:tc>
          <w:tcPr>
            <w:tcW w:type="dxa" w:w="22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Rating</w:t>
            </w:r>
          </w:p>
        </w:tc>
        <w:tc>
          <w:tcPr>
            <w:tcW w:type="dxa" w:w="476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Changes needed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Cover / summary metrics bar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Keep   ☐ Change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[describe changes]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KPI Performance Dashboard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Keep   ☐ Change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[describe changes]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Compliance Permit Risk Matrix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Keep   ☐ Change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[describe changes]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HSE Compliance &amp; Trends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Keep   ☐ Change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[describe changes]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Recommended Actions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Keep   ☐ Change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[describe changes]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Overall format / language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Keep   ☐ Change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[describe changes]</w:t>
            </w:r>
          </w:p>
        </w:tc>
      </w:tr>
    </w:tbl>
    <w:p>
      <w:pPr>
        <w:spacing w:after="0" w:before="80"/>
      </w:pPr>
    </w:p>
    <w:p>
      <w:pPr>
        <w:spacing w:after="80" w:before="240"/>
      </w:pPr>
      <w:r>
        <w:rPr>
          <w:rFonts w:ascii="Garamond" w:cs="Garamond" w:eastAsia="Garamond" w:hAnsi="Garamond"/>
          <w:b/>
          <w:bCs/>
          <w:color w:val="1B6B93"/>
          <w:sz w:val="23"/>
          <w:szCs w:val="23"/>
        </w:rPr>
        <w:t xml:space="preserve">Additional outputs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Question</w:t>
            </w:r>
          </w:p>
        </w:tc>
        <w:tc>
          <w:tcPr>
            <w:tcW w:type="dxa" w:w="42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Answer</w:t>
            </w:r>
          </w:p>
        </w:tc>
      </w:tr>
      <w:tr>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Should the report also be automatically uploaded to a Google Drive folder when generated?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Should a SeaTalk or email notification be sent when the report is ready?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Do you need a separate version of the report for each function (OPX / Compliance / HSE)?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Is there an existing report template in Google Slides that the output should match?</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bl>
    <w:p>
      <w:pPr>
        <w:spacing w:after="0" w:before="80"/>
      </w:pPr>
    </w:p>
    <w:p>
      <w:pPr>
        <w:pBdr>
          <w:bottom w:val="single" w:color="1F3864" w:sz="8" w:space="4"/>
        </w:pBdr>
        <w:spacing w:after="120" w:before="360"/>
      </w:pPr>
      <w:r>
        <w:rPr>
          <w:rFonts w:ascii="Garamond" w:cs="Garamond" w:eastAsia="Garamond" w:hAnsi="Garamond"/>
          <w:b/>
          <w:bCs/>
          <w:color w:val="1F3864"/>
          <w:sz w:val="28"/>
          <w:szCs w:val="28"/>
        </w:rPr>
        <w:t xml:space="preserve">7. Gaps, Blockers &amp; Open Items</w:t>
      </w:r>
    </w:p>
    <w:p>
      <w:pPr>
        <w:spacing w:after="60" w:before="60"/>
      </w:pPr>
      <w:r>
        <w:rPr>
          <w:rFonts w:ascii="Garamond" w:cs="Garamond" w:eastAsia="Garamond" w:hAnsi="Garamond"/>
          <w:b w:val="false"/>
          <w:bCs w:val="false"/>
          <w:color w:val="000000"/>
          <w:sz w:val="20"/>
          <w:szCs w:val="20"/>
        </w:rPr>
        <w:t xml:space="preserve">Record anything that does not match our assumptions, or anything that needs to be resolved before go-live.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000"/>
        <w:gridCol w:w="3000"/>
      </w:tblGrid>
      <w:tr>
        <w:trPr>
          <w:tblHeader/>
        </w:trPr>
        <w:tc>
          <w:tcPr>
            <w:tcW w:type="dxa" w:w="6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w:t>
            </w:r>
          </w:p>
        </w:tc>
        <w:tc>
          <w:tcPr>
            <w:tcW w:type="dxa" w:w="376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Gap / Blocker</w:t>
            </w:r>
          </w:p>
        </w:tc>
        <w:tc>
          <w:tcPr>
            <w:tcW w:type="dxa" w:w="20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Impact</w:t>
            </w:r>
          </w:p>
        </w:tc>
        <w:tc>
          <w:tcPr>
            <w:tcW w:type="dxa" w:w="30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Owner + target date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1</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[describe gap]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[High / Med / Low]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[name + date]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[describe gap]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[High / Med / Low]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[name + date]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3</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[describe gap]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[High / Med / Low]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[name + date]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4</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[describe gap]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[High / Med / Low]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[name + date]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[describe gap]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[High / Med / Low]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[name + date]</w:t>
            </w:r>
          </w:p>
        </w:tc>
      </w:tr>
    </w:tbl>
    <w:p>
      <w:pPr>
        <w:spacing w:after="0" w:before="80"/>
      </w:pPr>
    </w:p>
    <w:p>
      <w:pPr>
        <w:pageBreakBefore/>
      </w:pPr>
    </w:p>
    <w:p>
      <w:pPr>
        <w:pBdr>
          <w:bottom w:val="single" w:color="1F3864" w:sz="8" w:space="4"/>
        </w:pBdr>
        <w:spacing w:after="120" w:before="360"/>
      </w:pPr>
      <w:r>
        <w:rPr>
          <w:rFonts w:ascii="Garamond" w:cs="Garamond" w:eastAsia="Garamond" w:hAnsi="Garamond"/>
          <w:b/>
          <w:bCs/>
          <w:color w:val="1F3864"/>
          <w:sz w:val="28"/>
          <w:szCs w:val="28"/>
        </w:rPr>
        <w:t xml:space="preserve">9. SeaTalk Escalation Bot  (Sprint 2 Scope)</w:t>
      </w:r>
    </w:p>
    <w:p>
      <w:pPr>
        <w:spacing w:after="60" w:before="60"/>
      </w:pPr>
      <w:r>
        <w:rPr>
          <w:rFonts w:ascii="Garamond" w:cs="Garamond" w:eastAsia="Garamond" w:hAnsi="Garamond"/>
          <w:b w:val="false"/>
          <w:bCs w:val="false"/>
          <w:color w:val="000000"/>
          <w:sz w:val="20"/>
          <w:szCs w:val="20"/>
        </w:rPr>
        <w:t xml:space="preserve">The weekly report tells you what broke. The SeaTalk bot tells the right person and expects a response. Sprint 2 builds an automated escalation layer that reads the report output and fires targeted SeaTalk messages for each breach — naming the specific metric, hub, value, and required action. This section captures what we need to configure 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93" w:sz="1"/>
              <w:left w:val="single" w:color="1B6B93" w:sz="1"/>
              <w:bottom w:val="single" w:color="1B6B93" w:sz="1"/>
              <w:right w:val="single" w:color="1B6B93" w:sz="1"/>
            </w:tcBorders>
            <w:shd w:fill="D5E8F0" w:val="clear"/>
            <w:tcMar>
              <w:top w:type="dxa" w:w="100"/>
              <w:left w:type="dxa" w:w="180"/>
              <w:bottom w:type="dxa" w:w="100"/>
              <w:right w:type="dxa" w:w="180"/>
            </w:tcMar>
          </w:tcPr>
          <w:p>
            <w:r>
              <w:rPr>
                <w:rFonts w:ascii="Garamond" w:cs="Garamond" w:eastAsia="Garamond" w:hAnsi="Garamond"/>
                <w:b/>
                <w:bCs/>
                <w:color w:val="1F3864"/>
                <w:sz w:val="20"/>
                <w:szCs w:val="20"/>
              </w:rPr>
              <w:t xml:space="preserve">This section is for Sprint 2 planning only — it does not block Sprint 1 go-live.</w:t>
            </w:r>
          </w:p>
          <w:p>
            <w:r>
              <w:rPr>
                <w:rFonts w:ascii="Garamond" w:cs="Garamond" w:eastAsia="Garamond" w:hAnsi="Garamond"/>
                <w:sz w:val="20"/>
                <w:szCs w:val="20"/>
              </w:rPr>
              <w:t xml:space="preserve">Complete during this session if time allows, or in a separate 20-minute follow-up. The escalation matrix (9.2) is the critical input — without it the bot cannot route messages to the right people.</w:t>
            </w:r>
          </w:p>
        </w:tc>
      </w:tr>
    </w:tbl>
    <w:p>
      <w:pPr>
        <w:spacing w:after="0" w:before="80"/>
      </w:pPr>
    </w:p>
    <w:p>
      <w:pPr>
        <w:spacing w:after="80" w:before="240"/>
      </w:pPr>
      <w:r>
        <w:rPr>
          <w:rFonts w:ascii="Garamond" w:cs="Garamond" w:eastAsia="Garamond" w:hAnsi="Garamond"/>
          <w:b/>
          <w:bCs/>
          <w:color w:val="1B6B93"/>
          <w:sz w:val="23"/>
          <w:szCs w:val="23"/>
        </w:rPr>
        <w:t xml:space="preserve">9.1  How the Bot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Trigger</w:t>
            </w:r>
          </w:p>
        </w:tc>
        <w:tc>
          <w:tcPr>
            <w:tcW w:type="dxa" w:w="436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SeaTalk Message Goes To</w:t>
            </w:r>
          </w:p>
        </w:tc>
        <w:tc>
          <w:tcPr>
            <w:tcW w:type="dxa" w:w="30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Expected Response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KPI metric breach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Hub lead for that hub + OPX function lead. If no response in 4h → escalates to HM.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Root cause + ETA on recovery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Permit RED</w:t>
            </w:r>
          </w:p>
        </w:tc>
        <w:tc>
          <w:tcPr>
            <w:tcW w:type="dxa" w:w="436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assigned_to PIC from compliance tracker + therese.lucas cc.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Renewal status update + filing ETA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color w:val="000000"/>
                <w:sz w:val="18"/>
                <w:szCs w:val="18"/>
              </w:rPr>
              <w:t xml:space="preserve">HSE overdue action</w:t>
            </w:r>
          </w:p>
        </w:tc>
        <w:tc>
          <w:tcPr>
            <w:tcW w:type="dxa" w:w="4360"/>
            <w:tcBorders>
              <w:top w:val="single" w:color="CCCCCC" w:sz="1"/>
              <w:left w:val="single" w:color="CCCCCC" w:sz="1"/>
              <w:bottom w:val="single" w:color="CCCCCC" w:sz="1"/>
              <w:right w:val="single" w:color="CCCCCC" w:sz="1"/>
            </w:tcBorders>
            <w:shd w:fill="FFF0B0"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Hub HSE PIC + HSE lead. If 3 days no response → therese.lucas.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Closure confirmation or new ETA</w:t>
            </w:r>
          </w:p>
        </w:tc>
      </w:tr>
    </w:tbl>
    <w:p>
      <w:pPr>
        <w:spacing w:after="0" w:before="80"/>
      </w:pPr>
    </w:p>
    <w:p>
      <w:pPr>
        <w:spacing w:after="80" w:before="240"/>
      </w:pPr>
      <w:r>
        <w:rPr>
          <w:rFonts w:ascii="Garamond" w:cs="Garamond" w:eastAsia="Garamond" w:hAnsi="Garamond"/>
          <w:b/>
          <w:bCs/>
          <w:color w:val="1B6B93"/>
          <w:sz w:val="23"/>
          <w:szCs w:val="23"/>
        </w:rPr>
        <w:t xml:space="preserve">9.2  Escalation Matrix  (fill in SeaTalk @handles)</w:t>
      </w:r>
    </w:p>
    <w:p>
      <w:pPr>
        <w:spacing w:after="60" w:before="60"/>
      </w:pPr>
      <w:r>
        <w:rPr>
          <w:rFonts w:ascii="Garamond" w:cs="Garamond" w:eastAsia="Garamond" w:hAnsi="Garamond"/>
          <w:b w:val="false"/>
          <w:bCs w:val="false"/>
          <w:color w:val="000000"/>
          <w:sz w:val="20"/>
          <w:szCs w:val="20"/>
        </w:rPr>
        <w:t xml:space="preserve">This is the critical input for the bot. For each hub, provide the SeaTalk @handle of the primary recipient and the fallback escalation contact. Add rows for all active hubs.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560"/>
        <w:gridCol w:w="2120"/>
        <w:gridCol w:w="2120"/>
        <w:gridCol w:w="2120"/>
      </w:tblGrid>
      <w:tr>
        <w:trPr>
          <w:tblHeader/>
        </w:trPr>
        <w:tc>
          <w:tcPr>
            <w:tcW w:type="dxa" w:w="144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Hub</w:t>
            </w:r>
          </w:p>
        </w:tc>
        <w:tc>
          <w:tcPr>
            <w:tcW w:type="dxa" w:w="156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Breach Type</w:t>
            </w:r>
          </w:p>
        </w:tc>
        <w:tc>
          <w:tcPr>
            <w:tcW w:type="dxa" w:w="212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Primary @handle</w:t>
            </w:r>
          </w:p>
        </w:tc>
        <w:tc>
          <w:tcPr>
            <w:tcW w:type="dxa" w:w="212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Escalation @handle (no response)</w:t>
            </w:r>
          </w:p>
        </w:tc>
        <w:tc>
          <w:tcPr>
            <w:tcW w:type="dxa" w:w="212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Notes</w:t>
            </w:r>
          </w:p>
        </w:tc>
      </w:tr>
      <w:tr>
        <w:tc>
          <w:tcPr>
            <w:tcW w:type="dxa" w:w="1440"/>
            <w:vMerge w:val="restart"/>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bCs/>
                <w:sz w:val="17"/>
                <w:szCs w:val="17"/>
              </w:rPr>
              <w:t xml:space="preserve">[hub name]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KPI breach</w:t>
            </w:r>
          </w:p>
        </w:tc>
        <w:tc>
          <w:tcPr>
            <w:tcW w:type="dxa" w:w="2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[@handle]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[@handle]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vMerge w:val="continue"/>
            <w:tcBorders>
              <w:top w:val="single" w:color="CCCCCC" w:sz="1"/>
              <w:left w:val="single" w:color="CCCCCC" w:sz="1"/>
              <w:bottom w:val="single" w:color="CCCCCC" w:sz="1"/>
              <w:right w:val="single" w:color="CCCCCC" w:sz="1"/>
            </w:tcBorders>
          </w:tcP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Permit RED</w:t>
            </w:r>
          </w:p>
        </w:tc>
        <w:tc>
          <w:tcPr>
            <w:tcW w:type="dxa" w:w="2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[@handle]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[@handle]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vMerge w:val="continue"/>
            <w:tcBorders>
              <w:top w:val="single" w:color="CCCCCC" w:sz="1"/>
              <w:left w:val="single" w:color="CCCCCC" w:sz="1"/>
              <w:bottom w:val="single" w:color="CCCCCC" w:sz="1"/>
              <w:right w:val="single" w:color="CCCCCC" w:sz="1"/>
            </w:tcBorders>
          </w:tcP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HSE overdue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[@handle]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[@handle]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144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add more hubs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c>
          <w:tcPr>
            <w:tcW w:type="dxa" w:w="2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c>
          <w:tcPr>
            <w:tcW w:type="dxa" w:w="2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c>
          <w:tcPr>
            <w:tcW w:type="dxa" w:w="2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bl>
    <w:p>
      <w:pPr>
        <w:spacing w:after="0" w:before="80"/>
      </w:pPr>
    </w:p>
    <w:p>
      <w:pPr>
        <w:spacing w:after="80" w:before="240"/>
      </w:pPr>
      <w:r>
        <w:rPr>
          <w:rFonts w:ascii="Garamond" w:cs="Garamond" w:eastAsia="Garamond" w:hAnsi="Garamond"/>
          <w:b/>
          <w:bCs/>
          <w:color w:val="1B6B93"/>
          <w:sz w:val="23"/>
          <w:szCs w:val="23"/>
        </w:rPr>
        <w:t xml:space="preserve">9.3  SeaTalk Configuration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Question</w:t>
            </w:r>
          </w:p>
        </w:tc>
        <w:tc>
          <w:tcPr>
            <w:tcW w:type="dxa" w:w="42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Answer</w:t>
            </w:r>
          </w:p>
        </w:tc>
      </w:tr>
      <w:tr>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Does your team escalate via SeaTalk group chat or individual DMs for ops issues?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Is there an existing SPX ops SeaTalk group the bot should post into?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Does SPX have a SeaTalk bot API token available, or do we need to request one from IT?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What is the acceptable no-response window before escalating upward? (Default: 4h KPI / 3d HSE)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r>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Are there metrics that should NEVER trigger an auto-message? (Already tracked separately, too sensitive)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[answer]</w:t>
            </w:r>
          </w:p>
        </w:tc>
      </w:tr>
    </w:tbl>
    <w:p>
      <w:pPr>
        <w:spacing w:after="0" w:before="80"/>
      </w:pPr>
    </w:p>
    <w:p>
      <w:pPr>
        <w:pageBreakBefore/>
      </w:pPr>
    </w:p>
    <w:p>
      <w:pPr>
        <w:pBdr>
          <w:bottom w:val="single" w:color="1F3864" w:sz="8" w:space="4"/>
        </w:pBdr>
        <w:spacing w:after="120" w:before="360"/>
      </w:pPr>
      <w:r>
        <w:rPr>
          <w:rFonts w:ascii="Garamond" w:cs="Garamond" w:eastAsia="Garamond" w:hAnsi="Garamond"/>
          <w:b/>
          <w:bCs/>
          <w:color w:val="1F3864"/>
          <w:sz w:val="28"/>
          <w:szCs w:val="28"/>
        </w:rPr>
        <w:t xml:space="preserve">10. Sign-off</w:t>
      </w:r>
    </w:p>
    <w:p>
      <w:pPr>
        <w:spacing w:after="60" w:before="60"/>
      </w:pPr>
      <w:r>
        <w:rPr>
          <w:rFonts w:ascii="Garamond" w:cs="Garamond" w:eastAsia="Garamond" w:hAnsi="Garamond"/>
          <w:b w:val="false"/>
          <w:bCs w:val="false"/>
          <w:color w:val="000000"/>
          <w:sz w:val="20"/>
          <w:szCs w:val="20"/>
        </w:rPr>
        <w:t xml:space="preserve">When this document is complete, return to pice.preeyakorn@shopee.com. Go-live will not proceed until all gaps are resolved and this section is signed off.</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60"/>
        <w:gridCol w:w="1800"/>
        <w:gridCol w:w="2000"/>
      </w:tblGrid>
      <w:tr>
        <w:trPr>
          <w:tblHeader/>
        </w:trPr>
        <w:tc>
          <w:tcPr>
            <w:tcW w:type="dxa" w:w="30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Name</w:t>
            </w:r>
          </w:p>
        </w:tc>
        <w:tc>
          <w:tcPr>
            <w:tcW w:type="dxa" w:w="256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Role</w:t>
            </w:r>
          </w:p>
        </w:tc>
        <w:tc>
          <w:tcPr>
            <w:tcW w:type="dxa" w:w="18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Decision</w:t>
            </w:r>
          </w:p>
        </w:tc>
        <w:tc>
          <w:tcPr>
            <w:tcW w:type="dxa" w:w="2000"/>
            <w:tcBorders>
              <w:top w:val="single" w:color="1F3864" w:sz="1"/>
              <w:left w:val="single" w:color="1F3864" w:sz="1"/>
              <w:bottom w:val="single" w:color="1F3864" w:sz="1"/>
              <w:right w:val="single" w:color="1F3864" w:sz="1"/>
            </w:tcBorders>
            <w:shd w:fill="1B6B93" w:val="clear"/>
            <w:tcMar>
              <w:top w:type="dxa" w:w="60"/>
              <w:left w:type="dxa" w:w="100"/>
              <w:bottom w:type="dxa" w:w="60"/>
              <w:right w:type="dxa" w:w="100"/>
            </w:tcMar>
          </w:tcPr>
          <w:p>
            <w:pPr>
              <w:jc w:val="center"/>
            </w:pPr>
            <w:r>
              <w:rPr>
                <w:rFonts w:ascii="Garamond" w:cs="Garamond" w:eastAsia="Garamond" w:hAnsi="Garamond"/>
                <w:b/>
                <w:bCs/>
                <w:color w:val="FFFFFF"/>
                <w:sz w:val="18"/>
                <w:szCs w:val="18"/>
              </w:rPr>
              <w:t xml:space="preserve">Date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therese.lucas@spxexpress.com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Hiring Manager — OPX / Compliance / HSE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Approved   ☐ Pending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[OPX-002 PIC]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Operations Excellence Executive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Approved   ☐ Pending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[OFF-013 PIC]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SPX Compliance PIC</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Approved   ☐ Pending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Garamond" w:cs="Garamond" w:eastAsia="Garamond" w:hAnsi="Garamond"/>
                <w:b w:val="false"/>
                <w:bCs w:val="false"/>
                <w:color w:val="999999"/>
                <w:sz w:val="18"/>
                <w:szCs w:val="18"/>
              </w:rPr>
              <w:t xml:space="preserve">[HSE-002 PIC]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HSE Executive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Approved   ☐ Pending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aramond" w:cs="Garamond" w:eastAsia="Garamond" w:hAnsi="Garamond"/>
                <w:b w:val="false"/>
                <w:bCs w:val="false"/>
                <w:color w:val="000000"/>
                <w:sz w:val="18"/>
                <w:szCs w:val="18"/>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tabs>
        <w:tab w:val="right" w:pos="9026"/>
      </w:tabs>
    </w:pPr>
    <w:r>
      <w:rPr>
        <w:rFonts w:ascii="Garamond" w:cs="Garamond" w:eastAsia="Garamond" w:hAnsi="Garamond"/>
        <w:color w:val="888888"/>
        <w:sz w:val="16"/>
        <w:szCs w:val="16"/>
      </w:rPr>
      <w:t xml:space="preserve">SPX Cowork Automation Program  |  Fill in and return to Pice before sprint go-live</w:t>
    </w:r>
    <w:r>
      <w:rPr>
        <w:rFonts w:ascii="Garamond" w:cs="Garamond" w:eastAsia="Garamond" w:hAnsi="Garamond"/>
        <w:color w:val="888888"/>
        <w:sz w:val="16"/>
        <w:szCs w:val="16"/>
      </w:rPr>
      <w:t xml:space="preserve">	Page </w:t>
    </w:r>
    <w:r>
      <w:rPr>
        <w:rFonts w:ascii="Garamond" w:cs="Garamond" w:eastAsia="Garamond" w:hAnsi="Garamond"/>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026"/>
      </w:tabs>
    </w:pPr>
    <w:r>
      <w:rPr>
        <w:rFonts w:ascii="Garamond" w:cs="Garamond" w:eastAsia="Garamond" w:hAnsi="Garamond"/>
        <w:color w:val="888888"/>
        <w:sz w:val="17"/>
        <w:szCs w:val="17"/>
      </w:rPr>
      <w:t xml:space="preserve">SPX Philippines  |  Cowork Automation  |  Discovery &amp; Data Audit</w:t>
    </w:r>
    <w:r>
      <w:rPr>
        <w:rFonts w:ascii="Garamond" w:cs="Garamond" w:eastAsia="Garamond" w:hAnsi="Garamond"/>
        <w:color w:val="888888"/>
        <w:sz w:val="17"/>
        <w:szCs w:val="17"/>
      </w:rPr>
      <w:t xml:space="preserve">	v1.0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aramond" w:cs="Garamond" w:eastAsia="Garamond" w:hAnsi="Garamond"/>
      <w:b/>
      <w:bCs/>
      <w:color w:val="1F3864"/>
      <w:sz w:val="28"/>
      <w:szCs w:val="28"/>
    </w:rPr>
  </w:style>
  <w:style w:type="paragraph" w:styleId="Heading2">
    <w:name w:val="Heading 2"/>
    <w:basedOn w:val="Normal"/>
    <w:next w:val="Normal"/>
    <w:qFormat/>
    <w:pPr>
      <w:spacing w:after="80" w:before="240"/>
      <w:outlineLvl w:val="1"/>
    </w:pPr>
    <w:rPr>
      <w:rFonts w:ascii="Garamond" w:cs="Garamond" w:eastAsia="Garamond" w:hAnsi="Garamond"/>
      <w:b/>
      <w:bCs/>
      <w:color w:val="1B6B9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2026-04-16T04:51:26.227Z</dcterms:created>
  <dcterms:modified xsi:type="dcterms:W3CDTF">2026-04-16T04:51:26.230Z</dcterms:modified>
</cp:coreProperties>
</file>

<file path=docProps/custom.xml><?xml version="1.0" encoding="utf-8"?>
<Properties xmlns="http://schemas.openxmlformats.org/officeDocument/2006/custom-properties" xmlns:vt="http://schemas.openxmlformats.org/officeDocument/2006/docPropsVTypes"/>
</file>