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387A6B7" w:rsidR="008A26BB" w:rsidRDefault="008A26BB" w:rsidP="00957161">
      <w:pPr>
        <w:pStyle w:val="NoSpacing"/>
      </w:pPr>
      <w:r>
        <w:t>Name:</w:t>
      </w:r>
      <w:r w:rsidR="005768AF">
        <w:t xml:space="preserve"> Aaron Erbe</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1F2941C7" w:rsidR="00A91CD6" w:rsidRPr="001D3EF4" w:rsidRDefault="005F35B8" w:rsidP="00D20E63">
            <w:pPr>
              <w:pStyle w:val="NoSpacing"/>
              <w:rPr>
                <w:sz w:val="18"/>
                <w:szCs w:val="18"/>
              </w:rPr>
            </w:pPr>
            <w:r>
              <w:rPr>
                <w:sz w:val="18"/>
                <w:szCs w:val="18"/>
              </w:rPr>
              <w:t>Wee</w:t>
            </w:r>
            <w:r w:rsidR="00412770">
              <w:rPr>
                <w:sz w:val="18"/>
                <w:szCs w:val="18"/>
              </w:rPr>
              <w:t>k 01</w:t>
            </w:r>
          </w:p>
        </w:tc>
        <w:tc>
          <w:tcPr>
            <w:tcW w:w="5670" w:type="dxa"/>
          </w:tcPr>
          <w:p w14:paraId="10DFFD24" w14:textId="7729DFDE" w:rsidR="00A91CD6" w:rsidRPr="001D3EF4" w:rsidRDefault="00412770" w:rsidP="00D20E63">
            <w:pPr>
              <w:pStyle w:val="NoSpacing"/>
              <w:rPr>
                <w:sz w:val="18"/>
                <w:szCs w:val="18"/>
              </w:rPr>
            </w:pPr>
            <w:r>
              <w:rPr>
                <w:sz w:val="18"/>
                <w:szCs w:val="18"/>
              </w:rPr>
              <w:t>I took the time to really dig into the prepare material taking lots of extra notes</w:t>
            </w:r>
            <w:r w:rsidR="005A0FB9">
              <w:rPr>
                <w:sz w:val="18"/>
                <w:szCs w:val="18"/>
              </w:rPr>
              <w:t xml:space="preserve"> to use as a reference later if needed.  I expanded further down some of the related links of material to </w:t>
            </w:r>
            <w:r w:rsidR="00834708">
              <w:rPr>
                <w:sz w:val="18"/>
                <w:szCs w:val="18"/>
              </w:rPr>
              <w:t xml:space="preserve">go deeper and really push myself to understand the concepts before moving on.  My goal is to really have a solid grasp of all the concepts rather than a surface knowledge.  I’m hopeful this will build a stronger foundation.  </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5276D31C" w:rsidR="00A91CD6" w:rsidRPr="001D3EF4" w:rsidRDefault="00702928" w:rsidP="00D20E63">
            <w:pPr>
              <w:pStyle w:val="NoSpacing"/>
              <w:rPr>
                <w:sz w:val="18"/>
                <w:szCs w:val="18"/>
              </w:rPr>
            </w:pPr>
            <w:r>
              <w:rPr>
                <w:sz w:val="18"/>
                <w:szCs w:val="18"/>
              </w:rPr>
              <w:t>Week 01</w:t>
            </w: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3FB54B04" w:rsidR="00A91CD6" w:rsidRPr="001D3EF4" w:rsidRDefault="007A3565" w:rsidP="00D20E63">
            <w:pPr>
              <w:pStyle w:val="NoSpacing"/>
              <w:rPr>
                <w:sz w:val="18"/>
                <w:szCs w:val="18"/>
              </w:rPr>
            </w:pPr>
            <w:r>
              <w:rPr>
                <w:sz w:val="18"/>
                <w:szCs w:val="18"/>
              </w:rPr>
              <w:t>Week 01</w:t>
            </w:r>
          </w:p>
        </w:tc>
        <w:tc>
          <w:tcPr>
            <w:tcW w:w="5670" w:type="dxa"/>
          </w:tcPr>
          <w:p w14:paraId="190C021E" w14:textId="1469CCA6" w:rsidR="00A91CD6" w:rsidRPr="001D3EF4" w:rsidRDefault="007A3565" w:rsidP="00D20E63">
            <w:pPr>
              <w:pStyle w:val="NoSpacing"/>
              <w:rPr>
                <w:sz w:val="18"/>
                <w:szCs w:val="18"/>
              </w:rPr>
            </w:pPr>
            <w:r>
              <w:rPr>
                <w:sz w:val="18"/>
                <w:szCs w:val="18"/>
              </w:rPr>
              <w:t>Attended the ‘office hours’.  This isn’t something I’ve done before</w:t>
            </w:r>
            <w:r w:rsidR="00594C3B">
              <w:rPr>
                <w:sz w:val="18"/>
                <w:szCs w:val="18"/>
              </w:rPr>
              <w:t xml:space="preserve"> – ever.  I normally just dig in and figure things out on my own.  I’m anxious to really glean as much as I can with this class through so plan to take advantage of these through the semester.  </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lastRenderedPageBreak/>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12770"/>
    <w:rsid w:val="004361E9"/>
    <w:rsid w:val="004C2268"/>
    <w:rsid w:val="004D15A1"/>
    <w:rsid w:val="005768AF"/>
    <w:rsid w:val="00584D86"/>
    <w:rsid w:val="00594C3B"/>
    <w:rsid w:val="005A0FB9"/>
    <w:rsid w:val="005C5A58"/>
    <w:rsid w:val="005F35B8"/>
    <w:rsid w:val="00702928"/>
    <w:rsid w:val="00704738"/>
    <w:rsid w:val="00753CA1"/>
    <w:rsid w:val="00765A97"/>
    <w:rsid w:val="00766639"/>
    <w:rsid w:val="007A3565"/>
    <w:rsid w:val="00834708"/>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Erbe, Aaron</cp:lastModifiedBy>
  <cp:revision>12</cp:revision>
  <dcterms:created xsi:type="dcterms:W3CDTF">2022-12-01T19:27:00Z</dcterms:created>
  <dcterms:modified xsi:type="dcterms:W3CDTF">2024-01-10T07:03:00Z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