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rPr>
          <w:b w:val="1"/>
          <w:sz w:val="48"/>
          <w:szCs w:val="48"/>
          <w:rtl w:val="0"/>
        </w:rPr>
        <w:t xml:space="preserve">Appendix B</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software components will be utilized in the Keller Williams Family Check-In System. New versions of software may be released during the development of the system. The implementation of these new versions will be evaluated on an individual basis in determining if and when they will be implemented. Due to the small life cycle of this development process it is unlikely that new versions of systems will be implemented unless expressly required by the foundational tools.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7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770"/>
        <w:gridCol w:w="2865"/>
        <w:gridCol w:w="2550"/>
        <w:tblGridChange w:id="0">
          <w:tblGrid>
            <w:gridCol w:w="2535"/>
            <w:gridCol w:w="1770"/>
            <w:gridCol w:w="2865"/>
            <w:gridCol w:w="25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Software/Tool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Microsoft Visual Studio Professional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14.0.25431.01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www.visualstudio.com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Primary IDE for C# development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Microsoft SQL Server 2014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12.0.2569.0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https://www.microsoft.com/en-us/download/details.aspx?id=53168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DBMS used with Entity Framework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Microsoft ASP.Net Core 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(Preview2) 14.1.21111.0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Cross-Platform framework for Visual Studio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JQuery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3.1.1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https://code.jquery.com/jquery-3.1.1.min.js</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rPr>
                <w:sz w:val="20"/>
                <w:szCs w:val="20"/>
                <w:rtl w:val="0"/>
              </w:rPr>
              <w:t xml:space="preserve">JavaScript library used to manipulate and traverse HTML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JQuery-Validate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1.16.0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https://cdnjs.cloudflare.com/ajax/libs/jquery-validate/1.16.0/jquery.validate.min.js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One of 3 necessary components for client-side form validation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JQuery-Validation-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Unobtrusive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3.2.6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https://cdnjs.cloudflare.com/ajax/libs/jquery-validation-unobtrusive/3.2.6/jquery.validate.unobtrusive.min.js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One of 3 necessary components for client-side form validation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Bundled with browsers and 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Primary language used for client-side programming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Entity 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6.1.3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https://www.nuget.org/packages/EntityFramework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ORM Package for Visual Studio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Bootstrap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3.3.7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www.getbootstrap.com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CSS Framework for styling client-side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ASP.Net Identity packages</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https://blogs.msdn.microsoft.com/webdev/2014/08/05/announcing-rtm-of-asp-net-identity-2-1-0/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Asp.Net Core package for adding management of application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XUnit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2.2.0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NuGet Package Manager 2.12 or later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Tools for testing application within IDE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Google Chrome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windows - 54.0.2840.99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https://www.google.com/chrome/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0"/>
                <w:szCs w:val="20"/>
              </w:rPr>
            </w:pPr>
            <w:r w:rsidDel="00000000" w:rsidR="00000000" w:rsidRPr="00000000">
              <w:rPr>
                <w:sz w:val="20"/>
                <w:szCs w:val="20"/>
                <w:rtl w:val="0"/>
              </w:rPr>
              <w:t xml:space="preserve">Primary client browser for viewing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Mozilla Firefox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color w:val="222222"/>
                <w:sz w:val="20"/>
                <w:szCs w:val="20"/>
                <w:highlight w:val="white"/>
                <w:rtl w:val="0"/>
              </w:rPr>
              <w:t xml:space="preserve">51.0.1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https://www.mozilla.org/en-US/firefox/new/?f=102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Alternative client browser for viewing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Kestrel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NuGet Package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Simulated hosting environment for local development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.Net 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4.6.2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https://www.microsoft.com/en-us/download/details.aspx?id=53345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Windows based application development framework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Microsoft Azure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https://azure.microsoft.com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Web-bases application hosting software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NuGet package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3.5.0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Bundled with Visual Studio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Content delivery network for visual studio tools and packages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List.js</w:t>
            </w:r>
          </w:p>
        </w:tc>
        <w:tc>
          <w:tcPr>
            <w:tcMar>
              <w:top w:w="100.0" w:type="dxa"/>
              <w:left w:w="100.0" w:type="dxa"/>
              <w:bottom w:w="100.0" w:type="dxa"/>
              <w:right w:w="100.0" w:type="dxa"/>
            </w:tcMar>
          </w:tcPr>
          <w:p w:rsidR="00000000" w:rsidDel="00000000" w:rsidP="00000000" w:rsidRDefault="00000000" w:rsidRPr="00000000">
            <w:pPr>
              <w:pStyle w:val="Heading1"/>
              <w:pBdr/>
              <w:spacing w:before="0" w:lineRule="auto"/>
              <w:contextualSpacing w:val="0"/>
              <w:jc w:val="center"/>
              <w:rPr>
                <w:b w:val="1"/>
                <w:color w:val="888888"/>
                <w:sz w:val="20"/>
                <w:szCs w:val="20"/>
              </w:rPr>
            </w:pPr>
            <w:bookmarkStart w:colFirst="0" w:colLast="0" w:name="_660qtvfrrvx5" w:id="0"/>
            <w:bookmarkEnd w:id="0"/>
            <w:r w:rsidDel="00000000" w:rsidR="00000000" w:rsidRPr="00000000">
              <w:rPr>
                <w:sz w:val="20"/>
                <w:szCs w:val="20"/>
                <w:rtl w:val="0"/>
              </w:rPr>
              <w:t xml:space="preserve">1.5.0</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http://listjs.com/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Adds ajax filtering capability to UL/LI list structures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Bootstrap Datepicker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uxsolutions.github.io/bootstrap-datepicker/?markup=input&amp;format=&amp;weekStart=&amp;startDate=&amp;endDate=&amp;startView=0&amp;minViewMode=0&amp;maxViewMode=4&amp;todayBtn=false&amp;clearBtn=false&amp;language=en&amp;orientation=auto&amp;multidate=&amp;multidateSeparator=&amp;keyboardNavigation=on&amp;forceParse=on#sand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Adds flyout calendar UI for date inputs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jQuery DataTables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1.10.15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https://datatables.net/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Adds Filtering/Sorting/Paging capabilities to table structures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MailKit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1.16.1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https://www.nuget.org/packages/MailKit/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Adds server email functionality for things like resetting passwords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Doorbell.io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https://doorbell.io/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Adds Feedback functionality for our testers </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