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
      </w:pPr>
      <w:r>
        <w:rPr>
          <w:rFonts w:ascii="Calibri" w:hAnsi="Calibri"/>
          <w:b/>
          <w:i w:val="0"/>
          <w:color w:val="172B4D"/>
          <w:sz w:val="42"/>
        </w:rPr>
        <w:t>External Validation Results</w:t>
      </w:r>
    </w:p>
    <w:p>
      <w:pPr>
        <w:spacing w:before="0" w:after="140"/>
      </w:pPr>
      <w:r>
        <w:rPr>
          <w:rFonts w:ascii="Calibri" w:hAnsi="Calibri"/>
          <w:b w:val="0"/>
          <w:i w:val="0"/>
          <w:color w:val="5F6B7A"/>
          <w:sz w:val="21"/>
        </w:rPr>
        <w:t>POG570 HRD score and PCAWG ICGC-only cancer-type transfer</w:t>
      </w:r>
    </w:p>
    <w:p>
      <w:pPr>
        <w:spacing w:before="90" w:after="90" w:line="252" w:lineRule="auto"/>
        <w:shd w:fill="E8EEF5"/>
      </w:pPr>
      <w:r>
        <w:rPr>
          <w:rFonts w:ascii="Calibri" w:hAnsi="Calibri"/>
          <w:b/>
          <w:i w:val="0"/>
          <w:color w:val="172B4D"/>
          <w:sz w:val="18"/>
        </w:rPr>
        <w:t xml:space="preserve">Takeaway. </w:t>
      </w:r>
      <w:r>
        <w:rPr>
          <w:rFonts w:ascii="Calibri" w:hAnsi="Calibri"/>
          <w:b w:val="0"/>
          <w:i w:val="0"/>
          <w:color w:val="172B4D"/>
          <w:sz w:val="18"/>
        </w:rPr>
        <w:t>POG570 retained useful HRD ranking but showed strong upward calibration shift. PCAWG transfer was heterogeneous across cancer types. No external data were used for fitting, tuning, cutoff selection, or post hoc adjustment.</w:t>
      </w:r>
    </w:p>
    <w:p>
      <w:pPr>
        <w:pStyle w:val="Heading2"/>
        <w:keepNext/>
      </w:pPr>
      <w:r>
        <w:t>1. POG570 primary HRD validation</w:t>
      </w:r>
    </w:p>
    <w:p>
      <w:pPr>
        <w:spacing w:before="0" w:after="60" w:line="252" w:lineRule="auto"/>
      </w:pPr>
      <w:r>
        <w:rPr>
          <w:rFonts w:ascii="Calibri" w:hAnsi="Calibri"/>
          <w:b/>
          <w:i w:val="0"/>
          <w:color w:val="172B4D"/>
          <w:sz w:val="18"/>
        </w:rPr>
        <w:t xml:space="preserve">Cohort: </w:t>
      </w:r>
      <w:r>
        <w:rPr>
          <w:rFonts w:ascii="Calibri" w:hAnsi="Calibri"/>
          <w:b w:val="0"/>
          <w:i w:val="0"/>
          <w:color w:val="172B4D"/>
          <w:sz w:val="18"/>
        </w:rPr>
        <w:t xml:space="preserve">570/570 usable; 0 exclusions. Primary analysis: 147 breast cancers. Exploratory: 423 non-breast cancers across 41 types. </w:t>
      </w:r>
      <w:r>
        <w:rPr>
          <w:rFonts w:ascii="Calibri" w:hAnsi="Calibri"/>
          <w:b/>
          <w:i w:val="0"/>
          <w:color w:val="172B4D"/>
          <w:sz w:val="18"/>
        </w:rPr>
        <w:t xml:space="preserve">Model: </w:t>
      </w:r>
      <w:r>
        <w:rPr>
          <w:rFonts w:ascii="Calibri" w:hAnsi="Calibri"/>
          <w:b w:val="0"/>
          <w:i w:val="0"/>
          <w:color w:val="172B4D"/>
          <w:sz w:val="18"/>
        </w:rPr>
        <w:t>frozen HRD_Score / signatures_plus_MAF_stack (1,130 features).</w:t>
      </w:r>
    </w:p>
    <w:tbl>
      <w:tblPr>
        <w:tblStyle w:val="TableGrid"/>
        <w:tblW w:type="dxa" w:w="9360"/>
        <w:jc w:val="left"/>
        <w:tblLayout w:type="fixed"/>
        <w:tblLook w:firstColumn="1" w:firstRow="1" w:lastColumn="0" w:lastRow="0" w:noHBand="0" w:noVBand="1" w:val="04A0"/>
        <w:tblInd w:w="120" w:type="dxa"/>
      </w:tblPr>
      <w:tblGrid>
        <w:gridCol w:w="1450"/>
        <w:gridCol w:w="560"/>
        <w:gridCol w:w="1860"/>
        <w:gridCol w:w="1860"/>
        <w:gridCol w:w="1815"/>
        <w:gridCol w:w="1815"/>
      </w:tblGrid>
      <w:tr>
        <w:trPr>
          <w:tblHeader w:val="true"/>
        </w:trPr>
        <w:tc>
          <w:tcPr>
            <w:tcW w:type="dxa" w:w="1450"/>
            <w:tcMar>
              <w:top w:w="65" w:type="dxa"/>
              <w:start w:w="100" w:type="dxa"/>
              <w:bottom w:w="65" w:type="dxa"/>
              <w:end w:w="100" w:type="dxa"/>
            </w:tcMar>
            <w:vAlign w:val="center"/>
            <w:shd w:fill="F2F4F7"/>
          </w:tcPr>
          <w:p>
            <w:pPr>
              <w:spacing w:before="0" w:after="0" w:line="240" w:lineRule="auto"/>
              <w:jc w:val="left"/>
            </w:pPr>
            <w:r>
              <w:rPr>
                <w:rFonts w:ascii="Calibri" w:hAnsi="Calibri"/>
                <w:b/>
                <w:i w:val="0"/>
                <w:color w:val="172B4D"/>
                <w:sz w:val="15"/>
              </w:rPr>
              <w:t>Cohort</w:t>
            </w:r>
          </w:p>
        </w:tc>
        <w:tc>
          <w:tcPr>
            <w:tcW w:type="dxa" w:w="560"/>
            <w:tcMar>
              <w:top w:w="65" w:type="dxa"/>
              <w:start w:w="100" w:type="dxa"/>
              <w:bottom w:w="65" w:type="dxa"/>
              <w:end w:w="100" w:type="dxa"/>
            </w:tcMar>
            <w:vAlign w:val="center"/>
            <w:shd w:fill="F2F4F7"/>
          </w:tcPr>
          <w:p>
            <w:pPr>
              <w:spacing w:before="0" w:after="0" w:line="240" w:lineRule="auto"/>
              <w:jc w:val="center"/>
            </w:pPr>
            <w:r>
              <w:rPr>
                <w:rFonts w:ascii="Calibri" w:hAnsi="Calibri"/>
                <w:b/>
                <w:i w:val="0"/>
                <w:color w:val="172B4D"/>
                <w:sz w:val="15"/>
              </w:rPr>
              <w:t>N</w:t>
            </w:r>
          </w:p>
        </w:tc>
        <w:tc>
          <w:tcPr>
            <w:tcW w:type="dxa" w:w="1860"/>
            <w:tcMar>
              <w:top w:w="65" w:type="dxa"/>
              <w:start w:w="100" w:type="dxa"/>
              <w:bottom w:w="65" w:type="dxa"/>
              <w:end w:w="100" w:type="dxa"/>
            </w:tcMar>
            <w:vAlign w:val="center"/>
            <w:shd w:fill="F2F4F7"/>
          </w:tcPr>
          <w:p>
            <w:pPr>
              <w:spacing w:before="0" w:after="0" w:line="240" w:lineRule="auto"/>
              <w:jc w:val="center"/>
            </w:pPr>
            <w:r>
              <w:rPr>
                <w:rFonts w:ascii="Calibri" w:hAnsi="Calibri"/>
                <w:b/>
                <w:i w:val="0"/>
                <w:color w:val="172B4D"/>
                <w:sz w:val="15"/>
              </w:rPr>
              <w:t>Pearson r</w:t>
            </w:r>
          </w:p>
        </w:tc>
        <w:tc>
          <w:tcPr>
            <w:tcW w:type="dxa" w:w="1860"/>
            <w:tcMar>
              <w:top w:w="65" w:type="dxa"/>
              <w:start w:w="100" w:type="dxa"/>
              <w:bottom w:w="65" w:type="dxa"/>
              <w:end w:w="100" w:type="dxa"/>
            </w:tcMar>
            <w:vAlign w:val="center"/>
            <w:shd w:fill="F2F4F7"/>
          </w:tcPr>
          <w:p>
            <w:pPr>
              <w:spacing w:before="0" w:after="0" w:line="240" w:lineRule="auto"/>
              <w:jc w:val="center"/>
            </w:pPr>
            <w:r>
              <w:rPr>
                <w:rFonts w:ascii="Calibri" w:hAnsi="Calibri"/>
                <w:b/>
                <w:i w:val="0"/>
                <w:color w:val="172B4D"/>
                <w:sz w:val="15"/>
              </w:rPr>
              <w:t>Spearman rho</w:t>
            </w:r>
          </w:p>
        </w:tc>
        <w:tc>
          <w:tcPr>
            <w:tcW w:type="dxa" w:w="1815"/>
            <w:tcMar>
              <w:top w:w="65" w:type="dxa"/>
              <w:start w:w="100" w:type="dxa"/>
              <w:bottom w:w="65" w:type="dxa"/>
              <w:end w:w="100" w:type="dxa"/>
            </w:tcMar>
            <w:vAlign w:val="center"/>
            <w:shd w:fill="F2F4F7"/>
          </w:tcPr>
          <w:p>
            <w:pPr>
              <w:spacing w:before="0" w:after="0" w:line="240" w:lineRule="auto"/>
              <w:jc w:val="center"/>
            </w:pPr>
            <w:r>
              <w:rPr>
                <w:rFonts w:ascii="Calibri" w:hAnsi="Calibri"/>
                <w:b/>
                <w:i w:val="0"/>
                <w:color w:val="172B4D"/>
                <w:sz w:val="15"/>
              </w:rPr>
              <w:t>MAE</w:t>
            </w:r>
          </w:p>
        </w:tc>
        <w:tc>
          <w:tcPr>
            <w:tcW w:type="dxa" w:w="1815"/>
            <w:tcMar>
              <w:top w:w="65" w:type="dxa"/>
              <w:start w:w="100" w:type="dxa"/>
              <w:bottom w:w="65" w:type="dxa"/>
              <w:end w:w="100" w:type="dxa"/>
            </w:tcMar>
            <w:vAlign w:val="center"/>
            <w:shd w:fill="F2F4F7"/>
          </w:tcPr>
          <w:p>
            <w:pPr>
              <w:spacing w:before="0" w:after="0" w:line="240" w:lineRule="auto"/>
              <w:jc w:val="center"/>
            </w:pPr>
            <w:r>
              <w:rPr>
                <w:rFonts w:ascii="Calibri" w:hAnsi="Calibri"/>
                <w:b/>
                <w:i w:val="0"/>
                <w:color w:val="172B4D"/>
                <w:sz w:val="15"/>
              </w:rPr>
              <w:t>RMSE</w:t>
            </w:r>
          </w:p>
        </w:tc>
      </w:tr>
      <w:tr>
        <w:tc>
          <w:tcPr>
            <w:tcW w:type="dxa" w:w="1450"/>
            <w:tcMar>
              <w:top w:w="65" w:type="dxa"/>
              <w:start w:w="100" w:type="dxa"/>
              <w:bottom w:w="65" w:type="dxa"/>
              <w:end w:w="100" w:type="dxa"/>
            </w:tcMar>
            <w:vAlign w:val="center"/>
            <w:shd w:fill="FFFFFF"/>
          </w:tcPr>
          <w:p>
            <w:pPr>
              <w:spacing w:before="0" w:after="0" w:line="240" w:lineRule="auto"/>
              <w:jc w:val="left"/>
            </w:pPr>
            <w:r>
              <w:rPr>
                <w:rFonts w:ascii="Calibri" w:hAnsi="Calibri"/>
                <w:b w:val="0"/>
                <w:i w:val="0"/>
                <w:color w:val="172B4D"/>
                <w:sz w:val="15"/>
              </w:rPr>
              <w:t>Breast</w:t>
            </w:r>
          </w:p>
        </w:tc>
        <w:tc>
          <w:tcPr>
            <w:tcW w:type="dxa" w:w="560"/>
            <w:tcMar>
              <w:top w:w="65" w:type="dxa"/>
              <w:start w:w="100" w:type="dxa"/>
              <w:bottom w:w="65" w:type="dxa"/>
              <w:end w:w="100" w:type="dxa"/>
            </w:tcMar>
            <w:vAlign w:val="center"/>
            <w:shd w:fill="FFFFFF"/>
          </w:tcPr>
          <w:p>
            <w:pPr>
              <w:spacing w:before="0" w:after="0" w:line="240" w:lineRule="auto"/>
              <w:jc w:val="center"/>
            </w:pPr>
            <w:r>
              <w:rPr>
                <w:rFonts w:ascii="Calibri" w:hAnsi="Calibri"/>
                <w:b w:val="0"/>
                <w:i w:val="0"/>
                <w:color w:val="172B4D"/>
                <w:sz w:val="15"/>
              </w:rPr>
              <w:t>147</w:t>
            </w:r>
          </w:p>
        </w:tc>
        <w:tc>
          <w:tcPr>
            <w:tcW w:type="dxa" w:w="1860"/>
            <w:tcMar>
              <w:top w:w="65" w:type="dxa"/>
              <w:start w:w="100" w:type="dxa"/>
              <w:bottom w:w="65" w:type="dxa"/>
              <w:end w:w="100" w:type="dxa"/>
            </w:tcMar>
            <w:vAlign w:val="center"/>
            <w:shd w:fill="FFFFFF"/>
          </w:tcPr>
          <w:p>
            <w:pPr>
              <w:spacing w:before="0" w:after="0" w:line="240" w:lineRule="auto"/>
              <w:jc w:val="center"/>
            </w:pPr>
            <w:r>
              <w:rPr>
                <w:rFonts w:ascii="Calibri" w:hAnsi="Calibri"/>
                <w:b w:val="0"/>
                <w:i w:val="0"/>
                <w:color w:val="172B4D"/>
                <w:sz w:val="15"/>
              </w:rPr>
              <w:t>0.670 (0.575-0.751)</w:t>
            </w:r>
          </w:p>
        </w:tc>
        <w:tc>
          <w:tcPr>
            <w:tcW w:type="dxa" w:w="1860"/>
            <w:tcMar>
              <w:top w:w="65" w:type="dxa"/>
              <w:start w:w="100" w:type="dxa"/>
              <w:bottom w:w="65" w:type="dxa"/>
              <w:end w:w="100" w:type="dxa"/>
            </w:tcMar>
            <w:vAlign w:val="center"/>
            <w:shd w:fill="FFFFFF"/>
          </w:tcPr>
          <w:p>
            <w:pPr>
              <w:spacing w:before="0" w:after="0" w:line="240" w:lineRule="auto"/>
              <w:jc w:val="center"/>
            </w:pPr>
            <w:r>
              <w:rPr>
                <w:rFonts w:ascii="Calibri" w:hAnsi="Calibri"/>
                <w:b w:val="0"/>
                <w:i w:val="0"/>
                <w:color w:val="172B4D"/>
                <w:sz w:val="15"/>
              </w:rPr>
              <w:t>0.667 (0.558-0.754)</w:t>
            </w:r>
          </w:p>
        </w:tc>
        <w:tc>
          <w:tcPr>
            <w:tcW w:type="dxa" w:w="1815"/>
            <w:tcMar>
              <w:top w:w="65" w:type="dxa"/>
              <w:start w:w="100" w:type="dxa"/>
              <w:bottom w:w="65" w:type="dxa"/>
              <w:end w:w="100" w:type="dxa"/>
            </w:tcMar>
            <w:vAlign w:val="center"/>
            <w:shd w:fill="FFFFFF"/>
          </w:tcPr>
          <w:p>
            <w:pPr>
              <w:spacing w:before="0" w:after="0" w:line="240" w:lineRule="auto"/>
              <w:jc w:val="center"/>
            </w:pPr>
            <w:r>
              <w:rPr>
                <w:rFonts w:ascii="Calibri" w:hAnsi="Calibri"/>
                <w:b w:val="0"/>
                <w:i w:val="0"/>
                <w:color w:val="172B4D"/>
                <w:sz w:val="15"/>
              </w:rPr>
              <w:t>15.91 (14.28-17.54)</w:t>
            </w:r>
          </w:p>
        </w:tc>
        <w:tc>
          <w:tcPr>
            <w:tcW w:type="dxa" w:w="1815"/>
            <w:tcMar>
              <w:top w:w="65" w:type="dxa"/>
              <w:start w:w="100" w:type="dxa"/>
              <w:bottom w:w="65" w:type="dxa"/>
              <w:end w:w="100" w:type="dxa"/>
            </w:tcMar>
            <w:vAlign w:val="center"/>
            <w:shd w:fill="FFFFFF"/>
          </w:tcPr>
          <w:p>
            <w:pPr>
              <w:spacing w:before="0" w:after="0" w:line="240" w:lineRule="auto"/>
              <w:jc w:val="center"/>
            </w:pPr>
            <w:r>
              <w:rPr>
                <w:rFonts w:ascii="Calibri" w:hAnsi="Calibri"/>
                <w:b w:val="0"/>
                <w:i w:val="0"/>
                <w:color w:val="172B4D"/>
                <w:sz w:val="15"/>
              </w:rPr>
              <w:t>18.88 (17.07-20.63)</w:t>
            </w:r>
          </w:p>
        </w:tc>
      </w:tr>
      <w:tr>
        <w:tc>
          <w:tcPr>
            <w:tcW w:type="dxa" w:w="1450"/>
            <w:tcMar>
              <w:top w:w="65" w:type="dxa"/>
              <w:start w:w="100" w:type="dxa"/>
              <w:bottom w:w="65" w:type="dxa"/>
              <w:end w:w="100" w:type="dxa"/>
            </w:tcMar>
            <w:vAlign w:val="center"/>
            <w:shd w:fill="FFFFFF"/>
          </w:tcPr>
          <w:p>
            <w:pPr>
              <w:spacing w:before="0" w:after="0" w:line="240" w:lineRule="auto"/>
              <w:jc w:val="left"/>
            </w:pPr>
            <w:r>
              <w:rPr>
                <w:rFonts w:ascii="Calibri" w:hAnsi="Calibri"/>
                <w:b w:val="0"/>
                <w:i w:val="0"/>
                <w:color w:val="172B4D"/>
                <w:sz w:val="15"/>
              </w:rPr>
              <w:t>All POG570</w:t>
            </w:r>
          </w:p>
        </w:tc>
        <w:tc>
          <w:tcPr>
            <w:tcW w:type="dxa" w:w="560"/>
            <w:tcMar>
              <w:top w:w="65" w:type="dxa"/>
              <w:start w:w="100" w:type="dxa"/>
              <w:bottom w:w="65" w:type="dxa"/>
              <w:end w:w="100" w:type="dxa"/>
            </w:tcMar>
            <w:vAlign w:val="center"/>
            <w:shd w:fill="FFFFFF"/>
          </w:tcPr>
          <w:p>
            <w:pPr>
              <w:spacing w:before="0" w:after="0" w:line="240" w:lineRule="auto"/>
              <w:jc w:val="center"/>
            </w:pPr>
            <w:r>
              <w:rPr>
                <w:rFonts w:ascii="Calibri" w:hAnsi="Calibri"/>
                <w:b w:val="0"/>
                <w:i w:val="0"/>
                <w:color w:val="172B4D"/>
                <w:sz w:val="15"/>
              </w:rPr>
              <w:t>570</w:t>
            </w:r>
          </w:p>
        </w:tc>
        <w:tc>
          <w:tcPr>
            <w:tcW w:type="dxa" w:w="1860"/>
            <w:tcMar>
              <w:top w:w="65" w:type="dxa"/>
              <w:start w:w="100" w:type="dxa"/>
              <w:bottom w:w="65" w:type="dxa"/>
              <w:end w:w="100" w:type="dxa"/>
            </w:tcMar>
            <w:vAlign w:val="center"/>
            <w:shd w:fill="FFFFFF"/>
          </w:tcPr>
          <w:p>
            <w:pPr>
              <w:spacing w:before="0" w:after="0" w:line="240" w:lineRule="auto"/>
              <w:jc w:val="center"/>
            </w:pPr>
            <w:r>
              <w:rPr>
                <w:rFonts w:ascii="Calibri" w:hAnsi="Calibri"/>
                <w:b w:val="0"/>
                <w:i w:val="0"/>
                <w:color w:val="172B4D"/>
                <w:sz w:val="15"/>
              </w:rPr>
              <w:t>0.551 (0.487-0.611)</w:t>
            </w:r>
          </w:p>
        </w:tc>
        <w:tc>
          <w:tcPr>
            <w:tcW w:type="dxa" w:w="1860"/>
            <w:tcMar>
              <w:top w:w="65" w:type="dxa"/>
              <w:start w:w="100" w:type="dxa"/>
              <w:bottom w:w="65" w:type="dxa"/>
              <w:end w:w="100" w:type="dxa"/>
            </w:tcMar>
            <w:vAlign w:val="center"/>
            <w:shd w:fill="FFFFFF"/>
          </w:tcPr>
          <w:p>
            <w:pPr>
              <w:spacing w:before="0" w:after="0" w:line="240" w:lineRule="auto"/>
              <w:jc w:val="center"/>
            </w:pPr>
            <w:r>
              <w:rPr>
                <w:rFonts w:ascii="Calibri" w:hAnsi="Calibri"/>
                <w:b w:val="0"/>
                <w:i w:val="0"/>
                <w:color w:val="172B4D"/>
                <w:sz w:val="15"/>
              </w:rPr>
              <w:t>0.520 (0.451-0.585)</w:t>
            </w:r>
          </w:p>
        </w:tc>
        <w:tc>
          <w:tcPr>
            <w:tcW w:type="dxa" w:w="1815"/>
            <w:tcMar>
              <w:top w:w="65" w:type="dxa"/>
              <w:start w:w="100" w:type="dxa"/>
              <w:bottom w:w="65" w:type="dxa"/>
              <w:end w:w="100" w:type="dxa"/>
            </w:tcMar>
            <w:vAlign w:val="center"/>
            <w:shd w:fill="FFFFFF"/>
          </w:tcPr>
          <w:p>
            <w:pPr>
              <w:spacing w:before="0" w:after="0" w:line="240" w:lineRule="auto"/>
              <w:jc w:val="center"/>
            </w:pPr>
            <w:r>
              <w:rPr>
                <w:rFonts w:ascii="Calibri" w:hAnsi="Calibri"/>
                <w:b w:val="0"/>
                <w:i w:val="0"/>
                <w:color w:val="172B4D"/>
                <w:sz w:val="15"/>
              </w:rPr>
              <w:t>20.64 (19.70-21.65)</w:t>
            </w:r>
          </w:p>
        </w:tc>
        <w:tc>
          <w:tcPr>
            <w:tcW w:type="dxa" w:w="1815"/>
            <w:tcMar>
              <w:top w:w="65" w:type="dxa"/>
              <w:start w:w="100" w:type="dxa"/>
              <w:bottom w:w="65" w:type="dxa"/>
              <w:end w:w="100" w:type="dxa"/>
            </w:tcMar>
            <w:vAlign w:val="center"/>
            <w:shd w:fill="FFFFFF"/>
          </w:tcPr>
          <w:p>
            <w:pPr>
              <w:spacing w:before="0" w:after="0" w:line="240" w:lineRule="auto"/>
              <w:jc w:val="center"/>
            </w:pPr>
            <w:r>
              <w:rPr>
                <w:rFonts w:ascii="Calibri" w:hAnsi="Calibri"/>
                <w:b w:val="0"/>
                <w:i w:val="0"/>
                <w:color w:val="172B4D"/>
                <w:sz w:val="15"/>
              </w:rPr>
              <w:t>23.72 (22.77-24.70)</w:t>
            </w:r>
          </w:p>
        </w:tc>
      </w:tr>
    </w:tbl>
    <w:p>
      <w:pPr>
        <w:spacing w:before="0" w:after="40" w:line="252" w:lineRule="auto"/>
      </w:pPr>
      <w:r>
        <w:rPr>
          <w:rFonts w:ascii="Calibri" w:hAnsi="Calibri"/>
          <w:b/>
          <w:i w:val="0"/>
          <w:color w:val="172B4D"/>
          <w:sz w:val="17"/>
        </w:rPr>
        <w:t>Breast cancers at prespecified cutoffs</w:t>
      </w:r>
      <w:r>
        <w:rPr>
          <w:rFonts w:ascii="Calibri" w:hAnsi="Calibri"/>
          <w:b w:val="0"/>
          <w:i/>
          <w:color w:val="5F6B7A"/>
          <w:sz w:val="17"/>
        </w:rPr>
        <w:t xml:space="preserve">  (estimate; 95% CI shown for balanced accuracy and AUROC)</w:t>
      </w:r>
    </w:p>
    <w:tbl>
      <w:tblPr>
        <w:tblStyle w:val="TableGrid"/>
        <w:tblW w:type="dxa" w:w="9360"/>
        <w:jc w:val="left"/>
        <w:tblLayout w:type="fixed"/>
        <w:tblLook w:firstColumn="1" w:firstRow="1" w:lastColumn="0" w:lastRow="0" w:noHBand="0" w:noVBand="1" w:val="04A0"/>
        <w:tblInd w:w="120" w:type="dxa"/>
      </w:tblPr>
      <w:tblGrid>
        <w:gridCol w:w="680"/>
        <w:gridCol w:w="1050"/>
        <w:gridCol w:w="2350"/>
        <w:gridCol w:w="1200"/>
        <w:gridCol w:w="1200"/>
        <w:gridCol w:w="2880"/>
      </w:tblGrid>
      <w:tr>
        <w:trPr>
          <w:tblHeader w:val="true"/>
        </w:trPr>
        <w:tc>
          <w:tcPr>
            <w:tcW w:type="dxa" w:w="680"/>
            <w:tcMar>
              <w:top w:w="65" w:type="dxa"/>
              <w:start w:w="100" w:type="dxa"/>
              <w:bottom w:w="65" w:type="dxa"/>
              <w:end w:w="100" w:type="dxa"/>
            </w:tcMar>
            <w:vAlign w:val="center"/>
            <w:shd w:fill="F2F4F7"/>
          </w:tcPr>
          <w:p>
            <w:pPr>
              <w:spacing w:before="0" w:after="0" w:line="240" w:lineRule="auto"/>
              <w:jc w:val="left"/>
            </w:pPr>
            <w:r>
              <w:rPr>
                <w:rFonts w:ascii="Calibri" w:hAnsi="Calibri"/>
                <w:b/>
                <w:i w:val="0"/>
                <w:color w:val="172B4D"/>
                <w:sz w:val="15"/>
              </w:rPr>
              <w:t>Cutoff</w:t>
            </w:r>
          </w:p>
        </w:tc>
        <w:tc>
          <w:tcPr>
            <w:tcW w:type="dxa" w:w="1050"/>
            <w:tcMar>
              <w:top w:w="65" w:type="dxa"/>
              <w:start w:w="100" w:type="dxa"/>
              <w:bottom w:w="65" w:type="dxa"/>
              <w:end w:w="100" w:type="dxa"/>
            </w:tcMar>
            <w:vAlign w:val="center"/>
            <w:shd w:fill="F2F4F7"/>
          </w:tcPr>
          <w:p>
            <w:pPr>
              <w:spacing w:before="0" w:after="0" w:line="240" w:lineRule="auto"/>
              <w:jc w:val="center"/>
            </w:pPr>
            <w:r>
              <w:rPr>
                <w:rFonts w:ascii="Calibri" w:hAnsi="Calibri"/>
                <w:b/>
                <w:i w:val="0"/>
                <w:color w:val="172B4D"/>
                <w:sz w:val="15"/>
              </w:rPr>
              <w:t>Accuracy</w:t>
            </w:r>
          </w:p>
        </w:tc>
        <w:tc>
          <w:tcPr>
            <w:tcW w:type="dxa" w:w="2350"/>
            <w:tcMar>
              <w:top w:w="65" w:type="dxa"/>
              <w:start w:w="100" w:type="dxa"/>
              <w:bottom w:w="65" w:type="dxa"/>
              <w:end w:w="100" w:type="dxa"/>
            </w:tcMar>
            <w:vAlign w:val="center"/>
            <w:shd w:fill="F2F4F7"/>
          </w:tcPr>
          <w:p>
            <w:pPr>
              <w:spacing w:before="0" w:after="0" w:line="240" w:lineRule="auto"/>
              <w:jc w:val="center"/>
            </w:pPr>
            <w:r>
              <w:rPr>
                <w:rFonts w:ascii="Calibri" w:hAnsi="Calibri"/>
                <w:b/>
                <w:i w:val="0"/>
                <w:color w:val="172B4D"/>
                <w:sz w:val="15"/>
              </w:rPr>
              <w:t>Balanced accuracy</w:t>
            </w:r>
          </w:p>
        </w:tc>
        <w:tc>
          <w:tcPr>
            <w:tcW w:type="dxa" w:w="1200"/>
            <w:tcMar>
              <w:top w:w="65" w:type="dxa"/>
              <w:start w:w="100" w:type="dxa"/>
              <w:bottom w:w="65" w:type="dxa"/>
              <w:end w:w="100" w:type="dxa"/>
            </w:tcMar>
            <w:vAlign w:val="center"/>
            <w:shd w:fill="F2F4F7"/>
          </w:tcPr>
          <w:p>
            <w:pPr>
              <w:spacing w:before="0" w:after="0" w:line="240" w:lineRule="auto"/>
              <w:jc w:val="center"/>
            </w:pPr>
            <w:r>
              <w:rPr>
                <w:rFonts w:ascii="Calibri" w:hAnsi="Calibri"/>
                <w:b/>
                <w:i w:val="0"/>
                <w:color w:val="172B4D"/>
                <w:sz w:val="15"/>
              </w:rPr>
              <w:t>Sensitivity</w:t>
            </w:r>
          </w:p>
        </w:tc>
        <w:tc>
          <w:tcPr>
            <w:tcW w:type="dxa" w:w="1200"/>
            <w:tcMar>
              <w:top w:w="65" w:type="dxa"/>
              <w:start w:w="100" w:type="dxa"/>
              <w:bottom w:w="65" w:type="dxa"/>
              <w:end w:w="100" w:type="dxa"/>
            </w:tcMar>
            <w:vAlign w:val="center"/>
            <w:shd w:fill="F2F4F7"/>
          </w:tcPr>
          <w:p>
            <w:pPr>
              <w:spacing w:before="0" w:after="0" w:line="240" w:lineRule="auto"/>
              <w:jc w:val="center"/>
            </w:pPr>
            <w:r>
              <w:rPr>
                <w:rFonts w:ascii="Calibri" w:hAnsi="Calibri"/>
                <w:b/>
                <w:i w:val="0"/>
                <w:color w:val="172B4D"/>
                <w:sz w:val="15"/>
              </w:rPr>
              <w:t>Specificity</w:t>
            </w:r>
          </w:p>
        </w:tc>
        <w:tc>
          <w:tcPr>
            <w:tcW w:type="dxa" w:w="2880"/>
            <w:tcMar>
              <w:top w:w="65" w:type="dxa"/>
              <w:start w:w="100" w:type="dxa"/>
              <w:bottom w:w="65" w:type="dxa"/>
              <w:end w:w="100" w:type="dxa"/>
            </w:tcMar>
            <w:vAlign w:val="center"/>
            <w:shd w:fill="F2F4F7"/>
          </w:tcPr>
          <w:p>
            <w:pPr>
              <w:spacing w:before="0" w:after="0" w:line="240" w:lineRule="auto"/>
              <w:jc w:val="center"/>
            </w:pPr>
            <w:r>
              <w:rPr>
                <w:rFonts w:ascii="Calibri" w:hAnsi="Calibri"/>
                <w:b/>
                <w:i w:val="0"/>
                <w:color w:val="172B4D"/>
                <w:sz w:val="15"/>
              </w:rPr>
              <w:t>AUROC</w:t>
            </w:r>
          </w:p>
        </w:tc>
      </w:tr>
      <w:tr>
        <w:tc>
          <w:tcPr>
            <w:tcW w:type="dxa" w:w="680"/>
            <w:tcMar>
              <w:top w:w="65" w:type="dxa"/>
              <w:start w:w="100" w:type="dxa"/>
              <w:bottom w:w="65" w:type="dxa"/>
              <w:end w:w="100" w:type="dxa"/>
            </w:tcMar>
            <w:vAlign w:val="center"/>
            <w:shd w:fill="FFFFFF"/>
          </w:tcPr>
          <w:p>
            <w:pPr>
              <w:spacing w:before="0" w:after="0" w:line="240" w:lineRule="auto"/>
              <w:jc w:val="left"/>
            </w:pPr>
            <w:r>
              <w:rPr>
                <w:rFonts w:ascii="Calibri" w:hAnsi="Calibri"/>
                <w:b w:val="0"/>
                <w:i w:val="0"/>
                <w:color w:val="172B4D"/>
                <w:sz w:val="15"/>
              </w:rPr>
              <w:t>24</w:t>
            </w:r>
          </w:p>
        </w:tc>
        <w:tc>
          <w:tcPr>
            <w:tcW w:type="dxa" w:w="1050"/>
            <w:tcMar>
              <w:top w:w="65" w:type="dxa"/>
              <w:start w:w="100" w:type="dxa"/>
              <w:bottom w:w="65" w:type="dxa"/>
              <w:end w:w="100" w:type="dxa"/>
            </w:tcMar>
            <w:vAlign w:val="center"/>
            <w:shd w:fill="FFFFFF"/>
          </w:tcPr>
          <w:p>
            <w:pPr>
              <w:spacing w:before="0" w:after="0" w:line="240" w:lineRule="auto"/>
              <w:jc w:val="center"/>
            </w:pPr>
            <w:r>
              <w:rPr>
                <w:rFonts w:ascii="Calibri" w:hAnsi="Calibri"/>
                <w:b w:val="0"/>
                <w:i w:val="0"/>
                <w:color w:val="172B4D"/>
                <w:sz w:val="15"/>
              </w:rPr>
              <w:t>0.619</w:t>
            </w:r>
          </w:p>
        </w:tc>
        <w:tc>
          <w:tcPr>
            <w:tcW w:type="dxa" w:w="2350"/>
            <w:tcMar>
              <w:top w:w="65" w:type="dxa"/>
              <w:start w:w="100" w:type="dxa"/>
              <w:bottom w:w="65" w:type="dxa"/>
              <w:end w:w="100" w:type="dxa"/>
            </w:tcMar>
            <w:vAlign w:val="center"/>
            <w:shd w:fill="FFFFFF"/>
          </w:tcPr>
          <w:p>
            <w:pPr>
              <w:spacing w:before="0" w:after="0" w:line="240" w:lineRule="auto"/>
              <w:jc w:val="center"/>
            </w:pPr>
            <w:r>
              <w:rPr>
                <w:rFonts w:ascii="Calibri" w:hAnsi="Calibri"/>
                <w:b w:val="0"/>
                <w:i w:val="0"/>
                <w:color w:val="172B4D"/>
                <w:sz w:val="15"/>
              </w:rPr>
              <w:t>0.517 (0.500-0.545)</w:t>
            </w:r>
          </w:p>
        </w:tc>
        <w:tc>
          <w:tcPr>
            <w:tcW w:type="dxa" w:w="1200"/>
            <w:tcMar>
              <w:top w:w="65" w:type="dxa"/>
              <w:start w:w="100" w:type="dxa"/>
              <w:bottom w:w="65" w:type="dxa"/>
              <w:end w:w="100" w:type="dxa"/>
            </w:tcMar>
            <w:vAlign w:val="center"/>
            <w:shd w:fill="FFFFFF"/>
          </w:tcPr>
          <w:p>
            <w:pPr>
              <w:spacing w:before="0" w:after="0" w:line="240" w:lineRule="auto"/>
              <w:jc w:val="center"/>
            </w:pPr>
            <w:r>
              <w:rPr>
                <w:rFonts w:ascii="Calibri" w:hAnsi="Calibri"/>
                <w:b w:val="0"/>
                <w:i w:val="0"/>
                <w:color w:val="172B4D"/>
                <w:sz w:val="15"/>
              </w:rPr>
              <w:t>1.000</w:t>
            </w:r>
          </w:p>
        </w:tc>
        <w:tc>
          <w:tcPr>
            <w:tcW w:type="dxa" w:w="1200"/>
            <w:tcMar>
              <w:top w:w="65" w:type="dxa"/>
              <w:start w:w="100" w:type="dxa"/>
              <w:bottom w:w="65" w:type="dxa"/>
              <w:end w:w="100" w:type="dxa"/>
            </w:tcMar>
            <w:vAlign w:val="center"/>
            <w:shd w:fill="FFFFFF"/>
          </w:tcPr>
          <w:p>
            <w:pPr>
              <w:spacing w:before="0" w:after="0" w:line="240" w:lineRule="auto"/>
              <w:jc w:val="center"/>
            </w:pPr>
            <w:r>
              <w:rPr>
                <w:rFonts w:ascii="Calibri" w:hAnsi="Calibri"/>
                <w:b w:val="0"/>
                <w:i w:val="0"/>
                <w:color w:val="172B4D"/>
                <w:sz w:val="15"/>
              </w:rPr>
              <w:t>0.034</w:t>
            </w:r>
          </w:p>
        </w:tc>
        <w:tc>
          <w:tcPr>
            <w:tcW w:type="dxa" w:w="2880"/>
            <w:tcMar>
              <w:top w:w="65" w:type="dxa"/>
              <w:start w:w="100" w:type="dxa"/>
              <w:bottom w:w="65" w:type="dxa"/>
              <w:end w:w="100" w:type="dxa"/>
            </w:tcMar>
            <w:vAlign w:val="center"/>
            <w:shd w:fill="FFFFFF"/>
          </w:tcPr>
          <w:p>
            <w:pPr>
              <w:spacing w:before="0" w:after="0" w:line="240" w:lineRule="auto"/>
              <w:jc w:val="center"/>
            </w:pPr>
            <w:r>
              <w:rPr>
                <w:rFonts w:ascii="Calibri" w:hAnsi="Calibri"/>
                <w:b w:val="0"/>
                <w:i w:val="0"/>
                <w:color w:val="172B4D"/>
                <w:sz w:val="15"/>
              </w:rPr>
              <w:t>0.849 (0.785-0.908)</w:t>
            </w:r>
          </w:p>
        </w:tc>
      </w:tr>
      <w:tr>
        <w:tc>
          <w:tcPr>
            <w:tcW w:type="dxa" w:w="680"/>
            <w:tcMar>
              <w:top w:w="65" w:type="dxa"/>
              <w:start w:w="100" w:type="dxa"/>
              <w:bottom w:w="65" w:type="dxa"/>
              <w:end w:w="100" w:type="dxa"/>
            </w:tcMar>
            <w:vAlign w:val="center"/>
            <w:shd w:fill="FFFFFF"/>
          </w:tcPr>
          <w:p>
            <w:pPr>
              <w:spacing w:before="0" w:after="0" w:line="240" w:lineRule="auto"/>
              <w:jc w:val="left"/>
            </w:pPr>
            <w:r>
              <w:rPr>
                <w:rFonts w:ascii="Calibri" w:hAnsi="Calibri"/>
                <w:b w:val="0"/>
                <w:i w:val="0"/>
                <w:color w:val="172B4D"/>
                <w:sz w:val="15"/>
              </w:rPr>
              <w:t>33</w:t>
            </w:r>
          </w:p>
        </w:tc>
        <w:tc>
          <w:tcPr>
            <w:tcW w:type="dxa" w:w="1050"/>
            <w:tcMar>
              <w:top w:w="65" w:type="dxa"/>
              <w:start w:w="100" w:type="dxa"/>
              <w:bottom w:w="65" w:type="dxa"/>
              <w:end w:w="100" w:type="dxa"/>
            </w:tcMar>
            <w:vAlign w:val="center"/>
            <w:shd w:fill="FFFFFF"/>
          </w:tcPr>
          <w:p>
            <w:pPr>
              <w:spacing w:before="0" w:after="0" w:line="240" w:lineRule="auto"/>
              <w:jc w:val="center"/>
            </w:pPr>
            <w:r>
              <w:rPr>
                <w:rFonts w:ascii="Calibri" w:hAnsi="Calibri"/>
                <w:b w:val="0"/>
                <w:i w:val="0"/>
                <w:color w:val="172B4D"/>
                <w:sz w:val="15"/>
              </w:rPr>
              <w:t>0.605</w:t>
            </w:r>
          </w:p>
        </w:tc>
        <w:tc>
          <w:tcPr>
            <w:tcW w:type="dxa" w:w="2350"/>
            <w:tcMar>
              <w:top w:w="65" w:type="dxa"/>
              <w:start w:w="100" w:type="dxa"/>
              <w:bottom w:w="65" w:type="dxa"/>
              <w:end w:w="100" w:type="dxa"/>
            </w:tcMar>
            <w:vAlign w:val="center"/>
            <w:shd w:fill="FFFFFF"/>
          </w:tcPr>
          <w:p>
            <w:pPr>
              <w:spacing w:before="0" w:after="0" w:line="240" w:lineRule="auto"/>
              <w:jc w:val="center"/>
            </w:pPr>
            <w:r>
              <w:rPr>
                <w:rFonts w:ascii="Calibri" w:hAnsi="Calibri"/>
                <w:b w:val="0"/>
                <w:i w:val="0"/>
                <w:color w:val="172B4D"/>
                <w:sz w:val="15"/>
              </w:rPr>
              <w:t>0.643 (0.576-0.705)</w:t>
            </w:r>
          </w:p>
        </w:tc>
        <w:tc>
          <w:tcPr>
            <w:tcW w:type="dxa" w:w="1200"/>
            <w:tcMar>
              <w:top w:w="65" w:type="dxa"/>
              <w:start w:w="100" w:type="dxa"/>
              <w:bottom w:w="65" w:type="dxa"/>
              <w:end w:w="100" w:type="dxa"/>
            </w:tcMar>
            <w:vAlign w:val="center"/>
            <w:shd w:fill="FFFFFF"/>
          </w:tcPr>
          <w:p>
            <w:pPr>
              <w:spacing w:before="0" w:after="0" w:line="240" w:lineRule="auto"/>
              <w:jc w:val="center"/>
            </w:pPr>
            <w:r>
              <w:rPr>
                <w:rFonts w:ascii="Calibri" w:hAnsi="Calibri"/>
                <w:b w:val="0"/>
                <w:i w:val="0"/>
                <w:color w:val="172B4D"/>
                <w:sz w:val="15"/>
              </w:rPr>
              <w:t>0.905</w:t>
            </w:r>
          </w:p>
        </w:tc>
        <w:tc>
          <w:tcPr>
            <w:tcW w:type="dxa" w:w="1200"/>
            <w:tcMar>
              <w:top w:w="65" w:type="dxa"/>
              <w:start w:w="100" w:type="dxa"/>
              <w:bottom w:w="65" w:type="dxa"/>
              <w:end w:w="100" w:type="dxa"/>
            </w:tcMar>
            <w:vAlign w:val="center"/>
            <w:shd w:fill="FFFFFF"/>
          </w:tcPr>
          <w:p>
            <w:pPr>
              <w:spacing w:before="0" w:after="0" w:line="240" w:lineRule="auto"/>
              <w:jc w:val="center"/>
            </w:pPr>
            <w:r>
              <w:rPr>
                <w:rFonts w:ascii="Calibri" w:hAnsi="Calibri"/>
                <w:b w:val="0"/>
                <w:i w:val="0"/>
                <w:color w:val="172B4D"/>
                <w:sz w:val="15"/>
              </w:rPr>
              <w:t>0.381</w:t>
            </w:r>
          </w:p>
        </w:tc>
        <w:tc>
          <w:tcPr>
            <w:tcW w:type="dxa" w:w="2880"/>
            <w:tcMar>
              <w:top w:w="65" w:type="dxa"/>
              <w:start w:w="100" w:type="dxa"/>
              <w:bottom w:w="65" w:type="dxa"/>
              <w:end w:w="100" w:type="dxa"/>
            </w:tcMar>
            <w:vAlign w:val="center"/>
            <w:shd w:fill="FFFFFF"/>
          </w:tcPr>
          <w:p>
            <w:pPr>
              <w:spacing w:before="0" w:after="0" w:line="240" w:lineRule="auto"/>
              <w:jc w:val="center"/>
            </w:pPr>
            <w:r>
              <w:rPr>
                <w:rFonts w:ascii="Calibri" w:hAnsi="Calibri"/>
                <w:b w:val="0"/>
                <w:i w:val="0"/>
                <w:color w:val="172B4D"/>
                <w:sz w:val="15"/>
              </w:rPr>
              <w:t>0.805 (0.727-0.874)</w:t>
            </w:r>
          </w:p>
        </w:tc>
      </w:tr>
      <w:tr>
        <w:tc>
          <w:tcPr>
            <w:tcW w:type="dxa" w:w="680"/>
            <w:tcMar>
              <w:top w:w="65" w:type="dxa"/>
              <w:start w:w="100" w:type="dxa"/>
              <w:bottom w:w="65" w:type="dxa"/>
              <w:end w:w="100" w:type="dxa"/>
            </w:tcMar>
            <w:vAlign w:val="center"/>
            <w:shd w:fill="FFFFFF"/>
          </w:tcPr>
          <w:p>
            <w:pPr>
              <w:spacing w:before="0" w:after="0" w:line="240" w:lineRule="auto"/>
              <w:jc w:val="left"/>
            </w:pPr>
            <w:r>
              <w:rPr>
                <w:rFonts w:ascii="Calibri" w:hAnsi="Calibri"/>
                <w:b w:val="0"/>
                <w:i w:val="0"/>
                <w:color w:val="172B4D"/>
                <w:sz w:val="15"/>
              </w:rPr>
              <w:t>42</w:t>
            </w:r>
          </w:p>
        </w:tc>
        <w:tc>
          <w:tcPr>
            <w:tcW w:type="dxa" w:w="1050"/>
            <w:tcMar>
              <w:top w:w="65" w:type="dxa"/>
              <w:start w:w="100" w:type="dxa"/>
              <w:bottom w:w="65" w:type="dxa"/>
              <w:end w:w="100" w:type="dxa"/>
            </w:tcMar>
            <w:vAlign w:val="center"/>
            <w:shd w:fill="FFFFFF"/>
          </w:tcPr>
          <w:p>
            <w:pPr>
              <w:spacing w:before="0" w:after="0" w:line="240" w:lineRule="auto"/>
              <w:jc w:val="center"/>
            </w:pPr>
            <w:r>
              <w:rPr>
                <w:rFonts w:ascii="Calibri" w:hAnsi="Calibri"/>
                <w:b w:val="0"/>
                <w:i w:val="0"/>
                <w:color w:val="172B4D"/>
                <w:sz w:val="15"/>
              </w:rPr>
              <w:t>0.626</w:t>
            </w:r>
          </w:p>
        </w:tc>
        <w:tc>
          <w:tcPr>
            <w:tcW w:type="dxa" w:w="2350"/>
            <w:tcMar>
              <w:top w:w="65" w:type="dxa"/>
              <w:start w:w="100" w:type="dxa"/>
              <w:bottom w:w="65" w:type="dxa"/>
              <w:end w:w="100" w:type="dxa"/>
            </w:tcMar>
            <w:vAlign w:val="center"/>
            <w:shd w:fill="FFFFFF"/>
          </w:tcPr>
          <w:p>
            <w:pPr>
              <w:spacing w:before="0" w:after="0" w:line="240" w:lineRule="auto"/>
              <w:jc w:val="center"/>
            </w:pPr>
            <w:r>
              <w:rPr>
                <w:rFonts w:ascii="Calibri" w:hAnsi="Calibri"/>
                <w:b w:val="0"/>
                <w:i w:val="0"/>
                <w:color w:val="172B4D"/>
                <w:sz w:val="15"/>
              </w:rPr>
              <w:t>0.714 (0.639-0.783)</w:t>
            </w:r>
          </w:p>
        </w:tc>
        <w:tc>
          <w:tcPr>
            <w:tcW w:type="dxa" w:w="1200"/>
            <w:tcMar>
              <w:top w:w="65" w:type="dxa"/>
              <w:start w:w="100" w:type="dxa"/>
              <w:bottom w:w="65" w:type="dxa"/>
              <w:end w:w="100" w:type="dxa"/>
            </w:tcMar>
            <w:vAlign w:val="center"/>
            <w:shd w:fill="FFFFFF"/>
          </w:tcPr>
          <w:p>
            <w:pPr>
              <w:spacing w:before="0" w:after="0" w:line="240" w:lineRule="auto"/>
              <w:jc w:val="center"/>
            </w:pPr>
            <w:r>
              <w:rPr>
                <w:rFonts w:ascii="Calibri" w:hAnsi="Calibri"/>
                <w:b w:val="0"/>
                <w:i w:val="0"/>
                <w:color w:val="172B4D"/>
                <w:sz w:val="15"/>
              </w:rPr>
              <w:t>0.892</w:t>
            </w:r>
          </w:p>
        </w:tc>
        <w:tc>
          <w:tcPr>
            <w:tcW w:type="dxa" w:w="1200"/>
            <w:tcMar>
              <w:top w:w="65" w:type="dxa"/>
              <w:start w:w="100" w:type="dxa"/>
              <w:bottom w:w="65" w:type="dxa"/>
              <w:end w:w="100" w:type="dxa"/>
            </w:tcMar>
            <w:vAlign w:val="center"/>
            <w:shd w:fill="FFFFFF"/>
          </w:tcPr>
          <w:p>
            <w:pPr>
              <w:spacing w:before="0" w:after="0" w:line="240" w:lineRule="auto"/>
              <w:jc w:val="center"/>
            </w:pPr>
            <w:r>
              <w:rPr>
                <w:rFonts w:ascii="Calibri" w:hAnsi="Calibri"/>
                <w:b w:val="0"/>
                <w:i w:val="0"/>
                <w:color w:val="172B4D"/>
                <w:sz w:val="15"/>
              </w:rPr>
              <w:t>0.536</w:t>
            </w:r>
          </w:p>
        </w:tc>
        <w:tc>
          <w:tcPr>
            <w:tcW w:type="dxa" w:w="2880"/>
            <w:tcMar>
              <w:top w:w="65" w:type="dxa"/>
              <w:start w:w="100" w:type="dxa"/>
              <w:bottom w:w="65" w:type="dxa"/>
              <w:end w:w="100" w:type="dxa"/>
            </w:tcMar>
            <w:vAlign w:val="center"/>
            <w:shd w:fill="FFFFFF"/>
          </w:tcPr>
          <w:p>
            <w:pPr>
              <w:spacing w:before="0" w:after="0" w:line="240" w:lineRule="auto"/>
              <w:jc w:val="center"/>
            </w:pPr>
            <w:r>
              <w:rPr>
                <w:rFonts w:ascii="Calibri" w:hAnsi="Calibri"/>
                <w:b w:val="0"/>
                <w:i w:val="0"/>
                <w:color w:val="172B4D"/>
                <w:sz w:val="15"/>
              </w:rPr>
              <w:t>0.871 (0.801-0.932)</w:t>
            </w:r>
          </w:p>
        </w:tc>
      </w:tr>
    </w:tbl>
    <w:p>
      <w:pPr>
        <w:spacing w:before="0" w:after="40" w:line="252" w:lineRule="auto"/>
      </w:pPr>
      <w:r>
        <w:rPr>
          <w:rFonts w:ascii="Calibri" w:hAnsi="Calibri"/>
          <w:b/>
          <w:i w:val="0"/>
          <w:color w:val="172B4D"/>
          <w:sz w:val="17"/>
        </w:rPr>
        <w:t xml:space="preserve">Calibration note: </w:t>
      </w:r>
      <w:r>
        <w:rPr>
          <w:rFonts w:ascii="Calibri" w:hAnsi="Calibri"/>
          <w:b w:val="0"/>
          <w:i w:val="0"/>
          <w:color w:val="172B4D"/>
          <w:sz w:val="17"/>
        </w:rPr>
        <w:t>observed mean HRD score 22.30 vs predicted mean 41.69; breast R2 = -0.225. Correlation was preserved, but absolute calibration was poor.</w:t>
      </w:r>
    </w:p>
    <w:p>
      <w:pPr>
        <w:pStyle w:val="Heading2"/>
        <w:keepNext/>
      </w:pPr>
      <w:r>
        <w:t>2. PCAWG ICGC-only cancer-type validation</w:t>
      </w:r>
    </w:p>
    <w:p>
      <w:pPr>
        <w:spacing w:before="0" w:after="60" w:line="252" w:lineRule="auto"/>
      </w:pPr>
      <w:r>
        <w:rPr>
          <w:rFonts w:ascii="Calibri" w:hAnsi="Calibri"/>
          <w:b/>
          <w:i w:val="0"/>
          <w:color w:val="172B4D"/>
          <w:sz w:val="18"/>
        </w:rPr>
        <w:t xml:space="preserve">Cohort: </w:t>
      </w:r>
      <w:r>
        <w:rPr>
          <w:rFonts w:ascii="Calibri" w:hAnsi="Calibri"/>
          <w:b w:val="0"/>
          <w:i w:val="0"/>
          <w:color w:val="172B4D"/>
          <w:sz w:val="18"/>
        </w:rPr>
        <w:t xml:space="preserve">913/913 usable across 9 mappings; 0 sample-level exclusions. Breast-DCIS and combined/Pancan files were excluded a priori. </w:t>
      </w:r>
      <w:r>
        <w:rPr>
          <w:rFonts w:ascii="Calibri" w:hAnsi="Calibri"/>
          <w:b/>
          <w:i w:val="0"/>
          <w:color w:val="172B4D"/>
          <w:sz w:val="18"/>
        </w:rPr>
        <w:t xml:space="preserve">Model: </w:t>
      </w:r>
      <w:r>
        <w:rPr>
          <w:rFonts w:ascii="Calibri" w:hAnsi="Calibri"/>
          <w:b w:val="0"/>
          <w:i w:val="0"/>
          <w:color w:val="172B4D"/>
          <w:sz w:val="18"/>
        </w:rPr>
        <w:t>frozen 20-class standard_sbs96_id83 model (182 features).</w:t>
      </w:r>
    </w:p>
    <w:tbl>
      <w:tblPr>
        <w:tblStyle w:val="TableGrid"/>
        <w:tblW w:type="dxa" w:w="9360"/>
        <w:jc w:val="left"/>
        <w:tblLayout w:type="fixed"/>
        <w:tblLook w:firstColumn="1" w:firstRow="1" w:lastColumn="0" w:lastRow="0" w:noHBand="0" w:noVBand="1" w:val="04A0"/>
        <w:tblInd w:w="120" w:type="dxa"/>
      </w:tblPr>
      <w:tblGrid>
        <w:gridCol w:w="2340"/>
        <w:gridCol w:w="2340"/>
        <w:gridCol w:w="2340"/>
        <w:gridCol w:w="2340"/>
      </w:tblGrid>
      <w:tr>
        <w:trPr>
          <w:tblHeader w:val="true"/>
        </w:trPr>
        <w:tc>
          <w:tcPr>
            <w:tcW w:type="dxa" w:w="2340"/>
            <w:tcMar>
              <w:top w:w="65" w:type="dxa"/>
              <w:start w:w="100" w:type="dxa"/>
              <w:bottom w:w="65" w:type="dxa"/>
              <w:end w:w="100" w:type="dxa"/>
            </w:tcMar>
            <w:vAlign w:val="center"/>
            <w:shd w:fill="F2F4F7"/>
          </w:tcPr>
          <w:p>
            <w:pPr>
              <w:spacing w:before="0" w:after="0" w:line="240" w:lineRule="auto"/>
              <w:jc w:val="center"/>
            </w:pPr>
            <w:r>
              <w:rPr>
                <w:rFonts w:ascii="Calibri" w:hAnsi="Calibri"/>
                <w:b/>
                <w:i w:val="0"/>
                <w:color w:val="172B4D"/>
                <w:sz w:val="15"/>
              </w:rPr>
              <w:t>Overall accuracy</w:t>
            </w:r>
          </w:p>
        </w:tc>
        <w:tc>
          <w:tcPr>
            <w:tcW w:type="dxa" w:w="2340"/>
            <w:tcMar>
              <w:top w:w="65" w:type="dxa"/>
              <w:start w:w="100" w:type="dxa"/>
              <w:bottom w:w="65" w:type="dxa"/>
              <w:end w:w="100" w:type="dxa"/>
            </w:tcMar>
            <w:vAlign w:val="center"/>
            <w:shd w:fill="F2F4F7"/>
          </w:tcPr>
          <w:p>
            <w:pPr>
              <w:spacing w:before="0" w:after="0" w:line="240" w:lineRule="auto"/>
              <w:jc w:val="center"/>
            </w:pPr>
            <w:r>
              <w:rPr>
                <w:rFonts w:ascii="Calibri" w:hAnsi="Calibri"/>
                <w:b/>
                <w:i w:val="0"/>
                <w:color w:val="172B4D"/>
                <w:sz w:val="15"/>
              </w:rPr>
              <w:t>Balanced accuracy</w:t>
            </w:r>
          </w:p>
        </w:tc>
        <w:tc>
          <w:tcPr>
            <w:tcW w:type="dxa" w:w="2340"/>
            <w:tcMar>
              <w:top w:w="65" w:type="dxa"/>
              <w:start w:w="100" w:type="dxa"/>
              <w:bottom w:w="65" w:type="dxa"/>
              <w:end w:w="100" w:type="dxa"/>
            </w:tcMar>
            <w:vAlign w:val="center"/>
            <w:shd w:fill="F2F4F7"/>
          </w:tcPr>
          <w:p>
            <w:pPr>
              <w:spacing w:before="0" w:after="0" w:line="240" w:lineRule="auto"/>
              <w:jc w:val="center"/>
            </w:pPr>
            <w:r>
              <w:rPr>
                <w:rFonts w:ascii="Calibri" w:hAnsi="Calibri"/>
                <w:b/>
                <w:i w:val="0"/>
                <w:color w:val="172B4D"/>
                <w:sz w:val="15"/>
              </w:rPr>
              <w:t>Macro-F1 (mapped 9)</w:t>
            </w:r>
          </w:p>
        </w:tc>
        <w:tc>
          <w:tcPr>
            <w:tcW w:type="dxa" w:w="2340"/>
            <w:tcMar>
              <w:top w:w="65" w:type="dxa"/>
              <w:start w:w="100" w:type="dxa"/>
              <w:bottom w:w="65" w:type="dxa"/>
              <w:end w:w="100" w:type="dxa"/>
            </w:tcMar>
            <w:vAlign w:val="center"/>
            <w:shd w:fill="F2F4F7"/>
          </w:tcPr>
          <w:p>
            <w:pPr>
              <w:spacing w:before="0" w:after="0" w:line="240" w:lineRule="auto"/>
              <w:jc w:val="center"/>
            </w:pPr>
            <w:r>
              <w:rPr>
                <w:rFonts w:ascii="Calibri" w:hAnsi="Calibri"/>
                <w:b/>
                <w:i w:val="0"/>
                <w:color w:val="172B4D"/>
                <w:sz w:val="15"/>
              </w:rPr>
              <w:t>Top-3 accuracy</w:t>
            </w:r>
          </w:p>
        </w:tc>
      </w:tr>
      <w:tr>
        <w:tc>
          <w:tcPr>
            <w:tcW w:type="dxa" w:w="2340"/>
            <w:tcMar>
              <w:top w:w="65" w:type="dxa"/>
              <w:start w:w="100" w:type="dxa"/>
              <w:bottom w:w="65" w:type="dxa"/>
              <w:end w:w="100" w:type="dxa"/>
            </w:tcMar>
            <w:vAlign w:val="center"/>
            <w:shd w:fill="FFFFFF"/>
          </w:tcPr>
          <w:p>
            <w:pPr>
              <w:spacing w:before="0" w:after="0" w:line="240" w:lineRule="auto"/>
              <w:jc w:val="center"/>
            </w:pPr>
            <w:r>
              <w:rPr>
                <w:rFonts w:ascii="Calibri" w:hAnsi="Calibri"/>
                <w:b w:val="0"/>
                <w:i w:val="0"/>
                <w:color w:val="172B4D"/>
                <w:sz w:val="15"/>
              </w:rPr>
              <w:t>0.479 (0.462-0.495)</w:t>
            </w:r>
          </w:p>
        </w:tc>
        <w:tc>
          <w:tcPr>
            <w:tcW w:type="dxa" w:w="2340"/>
            <w:tcMar>
              <w:top w:w="65" w:type="dxa"/>
              <w:start w:w="100" w:type="dxa"/>
              <w:bottom w:w="65" w:type="dxa"/>
              <w:end w:w="100" w:type="dxa"/>
            </w:tcMar>
            <w:vAlign w:val="center"/>
            <w:shd w:fill="FFFFFF"/>
          </w:tcPr>
          <w:p>
            <w:pPr>
              <w:spacing w:before="0" w:after="0" w:line="240" w:lineRule="auto"/>
              <w:jc w:val="center"/>
            </w:pPr>
            <w:r>
              <w:rPr>
                <w:rFonts w:ascii="Calibri" w:hAnsi="Calibri"/>
                <w:b w:val="0"/>
                <w:i w:val="0"/>
                <w:color w:val="172B4D"/>
                <w:sz w:val="15"/>
              </w:rPr>
              <w:t>0.365 (0.341-0.390)</w:t>
            </w:r>
          </w:p>
        </w:tc>
        <w:tc>
          <w:tcPr>
            <w:tcW w:type="dxa" w:w="2340"/>
            <w:tcMar>
              <w:top w:w="65" w:type="dxa"/>
              <w:start w:w="100" w:type="dxa"/>
              <w:bottom w:w="65" w:type="dxa"/>
              <w:end w:w="100" w:type="dxa"/>
            </w:tcMar>
            <w:vAlign w:val="center"/>
            <w:shd w:fill="FFFFFF"/>
          </w:tcPr>
          <w:p>
            <w:pPr>
              <w:spacing w:before="0" w:after="0" w:line="240" w:lineRule="auto"/>
              <w:jc w:val="center"/>
            </w:pPr>
            <w:r>
              <w:rPr>
                <w:rFonts w:ascii="Calibri" w:hAnsi="Calibri"/>
                <w:b w:val="0"/>
                <w:i w:val="0"/>
                <w:color w:val="172B4D"/>
                <w:sz w:val="15"/>
              </w:rPr>
              <w:t>0.362 (0.335-0.387)</w:t>
            </w:r>
          </w:p>
        </w:tc>
        <w:tc>
          <w:tcPr>
            <w:tcW w:type="dxa" w:w="2340"/>
            <w:tcMar>
              <w:top w:w="65" w:type="dxa"/>
              <w:start w:w="100" w:type="dxa"/>
              <w:bottom w:w="65" w:type="dxa"/>
              <w:end w:w="100" w:type="dxa"/>
            </w:tcMar>
            <w:vAlign w:val="center"/>
            <w:shd w:fill="FFFFFF"/>
          </w:tcPr>
          <w:p>
            <w:pPr>
              <w:spacing w:before="0" w:after="0" w:line="240" w:lineRule="auto"/>
              <w:jc w:val="center"/>
            </w:pPr>
            <w:r>
              <w:rPr>
                <w:rFonts w:ascii="Calibri" w:hAnsi="Calibri"/>
                <w:b w:val="0"/>
                <w:i w:val="0"/>
                <w:color w:val="172B4D"/>
                <w:sz w:val="15"/>
              </w:rPr>
              <w:t>0.622 (0.601-0.642)</w:t>
            </w:r>
          </w:p>
        </w:tc>
      </w:tr>
    </w:tbl>
    <w:p>
      <w:pPr>
        <w:spacing w:before="0" w:after="60" w:line="252" w:lineRule="auto"/>
      </w:pPr>
      <w:r>
        <w:rPr>
          <w:rFonts w:ascii="Calibri" w:hAnsi="Calibri"/>
          <w:b/>
          <w:i w:val="0"/>
          <w:color w:val="172B4D"/>
          <w:sz w:val="16"/>
        </w:rPr>
        <w:t xml:space="preserve">Per-cancer recall (95% CI): </w:t>
      </w:r>
      <w:r>
        <w:rPr>
          <w:rFonts w:ascii="Calibri" w:hAnsi="Calibri"/>
          <w:b w:val="0"/>
          <w:i w:val="0"/>
          <w:color w:val="172B4D"/>
          <w:sz w:val="16"/>
        </w:rPr>
        <w:t>BRCA 0.077 (0.034-0.128);  ESCA 0.856 (0.784-0.918);  HNSC 0.000 (0.000-0.000);  KIRC 0.000 (0.000-0.000);  LIHC 0.973 (0.950-0.992);  OV 0.507 (0.391-0.623);  PRAD 0.006 (0.000-0.017);  SKCM 0.714 (0.600-0.814);  STAD 0.156 (0.031-0.312)</w:t>
      </w:r>
    </w:p>
    <w:p>
      <w:pPr>
        <w:pStyle w:val="Heading2"/>
        <w:keepNext/>
      </w:pPr>
      <w:r>
        <w:t>Interpretation and reproducibility</w:t>
      </w:r>
    </w:p>
    <w:p>
      <w:pPr>
        <w:spacing w:before="0" w:after="40" w:line="252" w:lineRule="auto"/>
      </w:pPr>
      <w:r>
        <w:rPr>
          <w:rFonts w:ascii="Calibri" w:hAnsi="Calibri"/>
          <w:b/>
          <w:i w:val="0"/>
          <w:color w:val="172B4D"/>
          <w:sz w:val="17"/>
        </w:rPr>
        <w:t xml:space="preserve">Cohort shift. </w:t>
      </w:r>
      <w:r>
        <w:rPr>
          <w:rFonts w:ascii="Calibri" w:hAnsi="Calibri"/>
          <w:b w:val="0"/>
          <w:i w:val="0"/>
          <w:color w:val="172B4D"/>
          <w:sz w:val="17"/>
        </w:rPr>
        <w:t xml:space="preserve">POG570/PCAWG are WGS cohorts; TCGA MC3 uses exome mutation calls. POG570 also contains advanced metastatic/recurrent cancers, whereas TCGA is predominantly primary tumors. </w:t>
      </w:r>
      <w:r>
        <w:rPr>
          <w:rFonts w:ascii="Calibri" w:hAnsi="Calibri"/>
          <w:b/>
          <w:i w:val="0"/>
          <w:color w:val="172B4D"/>
          <w:sz w:val="17"/>
        </w:rPr>
        <w:t xml:space="preserve">Model provenance. </w:t>
      </w:r>
      <w:r>
        <w:rPr>
          <w:rFonts w:ascii="Calibri" w:hAnsi="Calibri"/>
          <w:b w:val="0"/>
          <w:i w:val="0"/>
          <w:color w:val="172B4D"/>
          <w:sz w:val="17"/>
        </w:rPr>
        <w:t>Vijay's pushed files are new deployment artifacts selected by TCGA-only CV and refit on all eligible TCGA samples; they are not exports of discarded nested-CV fold models.</w:t>
      </w:r>
    </w:p>
    <w:p>
      <w:pPr>
        <w:spacing w:before="0" w:after="0" w:line="252" w:lineRule="auto"/>
      </w:pPr>
      <w:r>
        <w:rPr>
          <w:rFonts w:ascii="Calibri" w:hAnsi="Calibri"/>
          <w:b/>
          <w:i w:val="0"/>
          <w:color w:val="5F6B7A"/>
          <w:sz w:val="15"/>
        </w:rPr>
        <w:t xml:space="preserve">Reproducibility package: </w:t>
      </w:r>
      <w:r>
        <w:rPr>
          <w:rFonts w:ascii="Calibri" w:hAnsi="Calibri"/>
          <w:b w:val="0"/>
          <w:i w:val="0"/>
          <w:color w:val="5F6B7A"/>
          <w:sz w:val="15"/>
        </w:rPr>
        <w:t>sample mappings, exclusions, feature matrices, predictions, metrics, confusion matrix, input/model checksums, preprocessing, and software versions are saved under results/external_validation/aaron_email/.</w:t>
      </w:r>
    </w:p>
    <w:sectPr w:rsidR="00FC693F" w:rsidRPr="0006063C" w:rsidSect="00034616">
      <w:headerReference w:type="default" r:id="rId9"/>
      <w:footerReference w:type="default" r:id="rId10"/>
      <w:pgSz w:w="12240" w:h="15840"/>
      <w:pgMar w:top="1037" w:right="1440" w:bottom="979" w:left="1440" w:header="504"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jc w:val="right"/>
    </w:pPr>
    <w:r>
      <w:rPr>
        <w:rFonts w:ascii="Calibri" w:hAnsi="Calibri"/>
        <w:b w:val="0"/>
        <w:i w:val="0"/>
        <w:color w:val="5F6B7A"/>
        <w:sz w:val="15"/>
      </w:rPr>
      <w:t>Prepared 03 September 2026  |  Commit 9615458  |  Page 1</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rPr>
        <w:rFonts w:ascii="Calibri" w:hAnsi="Calibri"/>
        <w:b/>
        <w:i w:val="0"/>
        <w:color w:val="5F6B7A"/>
        <w:sz w:val="16"/>
      </w:rPr>
      <w:t>UGA MAF Representation Paper  |  External Validation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60" w:line="252" w:lineRule="auto"/>
    </w:pPr>
    <w:rPr>
      <w:rFonts w:ascii="Calibri" w:hAnsi="Calibri"/>
      <w:color w:val="172B4D"/>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140" w:after="60"/>
      <w:outlineLvl w:val="1"/>
    </w:pPr>
    <w:rPr>
      <w:rFonts w:asciiTheme="majorHAnsi" w:eastAsiaTheme="majorEastAsia" w:hAnsiTheme="majorHAnsi" w:cstheme="majorBidi" w:ascii="Calibri" w:hAnsi="Calibri"/>
      <w:b/>
      <w:bCs/>
      <w:color w:val="2E74B5"/>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External Validation Results: POG570 and PCAWG</dc:title>
  <dc:subject>One-page external validation summary for Aaron Ge</dc:subject>
  <dc:creator>Cindy Liu</dc:creator>
  <cp:keywords>POG570, HRD, PCAWG, external validation</cp:keywords>
  <dc:description>generated by python-docx</dc:description>
  <cp:lastModifiedBy/>
  <cp:revision>1</cp:revision>
  <dcterms:created xsi:type="dcterms:W3CDTF">2013-12-23T23:15:00Z</dcterms:created>
  <dcterms:modified xsi:type="dcterms:W3CDTF">2013-12-23T23:15:00Z</dcterms:modified>
  <cp:category/>
</cp:coreProperties>
</file>