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i/>
        </w:rPr>
        <w:t>Working draft: full manuscript except Introduction/Discussion (v8)  ·  2026-09-23</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§Jeya Balaji Balasubramanian and Bradley A. Maron are co-senior authors.</w:t>
      </w:r>
    </w:p>
    <w:p>
      <w:pPr>
        <w:jc w:val="center"/>
      </w:pPr>
      <w:r>
        <w:rPr>
          <w:sz w:val="20"/>
        </w:rPr>
        <w:t>*Correspondence: Aaron Ge, age1@som.umaryland.edu</w:t>
      </w:r>
    </w:p>
    <w:p>
      <w:pPr>
        <w:spacing w:before="360"/>
      </w:pPr>
      <w:r>
        <w:rPr>
          <w:b/>
          <w:sz w:val="28"/>
        </w:rPr>
        <w:t>Abstract</w:t>
      </w:r>
    </w:p>
    <w:p>
      <w:pPr>
        <w:spacing w:after="120"/>
      </w:pPr>
      <w:r>
        <w:t>Motivation. Somatic mutation catalogues can be summarized as mutation burden, mutational spectra, or biologically annotated event features, but the effect of that choice is rarely measured with evaluation held fixed.</w:t>
      </w:r>
    </w:p>
    <w:p>
      <w:pPr>
        <w:spacing w:after="120"/>
      </w:pPr>
      <w:r>
        <w:t>Results. We benchmarked four representations: burden, spectra (SBS96+ID83), annotated MAF features (Bio MAF v4), and Sig+MAF, across seven TCGA endpoints under nested cross-validation. Sig+MAF was strongest: 0.767 Spearman for HRD score, 0.901 AUROC for HRD33, and 0.738 balanced accuracy for cancer type. A MuAt-compatible attention model did not beat the tabular HRD baseline. Frozen models transferred: HRD ranking held in 147 POG570 cancers (Spearman 0.667); a frozen spectra model reached 0.479 accuracy in 913 PCAWG tumors. In a 259-clone experimental mutagen panel, the TCGA ranking reversed: spectra alone was best in both model classes (0.331 and 0.250 balanced accuracy), an observed discrepancy, not an explained one. For survival, genomics added nothing once cancer type was known (ΔC +0.0013, p = 0.512); with standard clinical covariates in the model, adding cancer type raised the C-index from 0.669 to 0.779, while adding Bio MAF on top did not improve it (ΔC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Bioinformatics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benchmarked four ways of summarizing a tumor’s somatic mutation catalogue: mutation burden, mutational spectra, biologically annotated MAF features (Bio MAF), and spectra plus Bio MAF (Sig+MAF), across seven primary endpoints in The Cancer Genome Atlas, with progression-free interval as a secondary survival endpoint. Endpoints were HRD score (regression, n = 772 breast cancers), HRD-high/low classification at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under nested cross-validation;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Mutation catalogues are converted into tabular representations (burden, mutational spectra, Bio MAF v4, and spectra plus Bio MAF) and evaluated with paired five-fold out-of-fold metrics using elastic net and XGBoost; the MuAt-compatible event-bag model is compared separately on HRD endpoints.</w:t>
      </w:r>
    </w:p>
    <w:p>
      <w:pPr>
        <w:spacing w:before="240"/>
      </w:pPr>
      <w:r>
        <w:rPr>
          <w:b/>
          <w:sz w:val="24"/>
        </w:rPr>
        <w:t>Mutational spectra improve on burden, but the gain depends on endpoint and model</w:t>
      </w:r>
    </w:p>
    <w:p>
      <w:pPr>
        <w:spacing w:after="120"/>
      </w:pPr>
      <w:r>
        <w:t>We first compared mutational spectra (SBS96 + ID83 channel counts [2]) against a minimal mutation-burden baseline. With XGBoost, spectra outperformed burden on all six non-survival endpoints: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FDR correction (paired tests, q &lt; 0.05). Elastic net showed the same qualitative gain for Kucab damage class (0.178 to 0.331) and cancer type (0.247 to 0.526), but not for every endpoint: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out-of-fold primary metrics for elastic net and XGBoost, with paired deltas (signatures minus burden) and FDR-corrected significance markers.</w:t>
      </w:r>
    </w:p>
    <w:p>
      <w:pPr>
        <w:spacing w:before="240"/>
      </w:pPr>
      <w:r>
        <w:rPr>
          <w:b/>
          <w:sz w:val="24"/>
        </w:rPr>
        <w:t>Biological annotations add signal that spectra miss</w:t>
      </w:r>
    </w:p>
    <w:p>
      <w:pPr>
        <w:spacing w:after="120"/>
      </w:pPr>
      <w:r>
        <w:t>Bio MAF aggregates per-tumor summaries of variant consequences, predicted functional effects, driver-gene alterations, cancer hotspots, and allele fractions into a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consistent with mutagen exposure being captured better by sequence-context spectra than by gene-level aggregates. For HRD score and HRD33 high/low, Bio MAF alone was numerically close to spectra with XGBoost (0.741 vs. 0.693 Spearman; 0.856 vs. 0.850 AUROC) without reaching significance after FDR correction (Figure 4).</w:t>
      </w:r>
    </w:p>
    <w:p>
      <w:pPr>
        <w:spacing w:before="240"/>
      </w:pPr>
      <w:r>
        <w:rPr>
          <w:b/>
          <w:sz w:val="24"/>
        </w:rPr>
        <w:t>Combined spectra and biological annotations give the strongest tabular performance</w:t>
      </w:r>
    </w:p>
    <w:p>
      <w:pPr>
        <w:spacing w:after="120"/>
      </w:pPr>
      <w:r>
        <w:t>Concatenating spectra with Bio MAF (Sig+MAF) produced the best tabular result for three of the four clinical endpoints. With XGBoost, Sig+MAF reached 0.767 Spearman correlation for HRD score, 0.901 AUROC for HRD33 high/low, and 0.738 balanced accuracy for cancer type across 20 cancer types, each the highest value among the evaluated tabular representations. Adding Bio MAF to spectra raised cancer-type balanced accuracy from 0.538 to 0.738, a gain of 0.20 that was significant after FDR correction (q &lt; 0.05). Sig+MAF also led on HRD24 high/low (0.848 AUROC). The two exceptions were HRD42 high/low, where spectra alone were marginally ahead (0.902 vs. 0.897 AUROC), and Kucab damage class, where spectra alone remained best (0.250 vs. 0.198 balanced accuracy with XGBoost; 0.331 with elastic net). Against spectra alone, Sig+MAF was significantly better with XGBoost for HRD score, HRD42 high/low, and cancer type (all q &lt; 0.05); the HRD33 gain (+0.051 AUROC) did not reach significance after correction (q = 0.109). Taken together, spectra and biological annotations carry complementary information, and their combination is the most robust default among the tabular representations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Canonical five-fold out-of-fold performance with signed pairwise deltas and FDR markers for Bio MAF minus signatures, Sig+Bio MAF minus signatures, and Sig+Bio MAF minus Bio MAF.</w:t>
      </w:r>
    </w:p>
    <w:p>
      <w:pPr>
        <w:spacing w:before="240"/>
      </w:pPr>
      <w:r>
        <w:rPr>
          <w:b/>
          <w:sz w:val="24"/>
        </w:rPr>
        <w:t>The Kucab cell-line panel reverses the TCGA ranking</w:t>
      </w:r>
    </w:p>
    <w:p>
      <w:pPr>
        <w:spacing w:after="120"/>
      </w:pPr>
      <w:r>
        <w:t>The Kucab endpoint differs from the clinical endpoints: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remains the primary metric for this endpoint.</w:t>
      </w:r>
    </w:p>
    <w:p>
      <w:pPr>
        <w:spacing w:before="240"/>
      </w:pPr>
      <w:r>
        <w:rPr>
          <w:b/>
          <w:sz w:val="24"/>
        </w:rPr>
        <w:t>A MuAt-compatible attention model does not beat the tuned tabular baseline on HRD</w:t>
      </w:r>
    </w:p>
    <w:p>
      <w:pPr>
        <w:spacing w:after="120"/>
      </w:pPr>
      <w:r>
        <w:t>To test whether a neural event-level model changes the picture, we implemented a MuAt-compatible [1] attention model that reads per-mutation event bags (sequence motif, 1-Mb position bin, and genic/exonic/strand annotation tokens) with query/key/value attention and attention-weighted pooling.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correlation for HRD score and 0.729 AUROC for HRD33 high/low, compared with 0.767 and 0.901 for Sig+MAF with XGBoost on the same folds. Under this directly comparable evaluation, the attention-based event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event-bag comparator. The attention-based event model is compared with the best tabular row and the Sig+MAF default on pooled out-of-fold HRD metrics (n = 772).</w:t>
      </w:r>
    </w:p>
    <w:p>
      <w:pPr>
        <w:spacing w:after="120"/>
      </w:pPr>
      <w:r>
        <w:t>Fidelity fixes did not change the HRD result. We reran the comparator in four arms of increasing fidelity to the published MuAt design: (A) the original implementation (training-budget bookkeeping bug, hashed token dictionaries); (B) adding an epoch-budget fix; (C) additionally using exact token dictionaries; (D) additionally using the exact MuAt motif grammar and transcriptional strand. HRD score Spearman correlation across arms was 0.477, 0.503, 0.504, and 0.482; HRD33 AUROC was 0.758, 0.727, 0.703, and 0.734, a total spread of 0.028 and 0.055, within per-fold standard deviation and directionally inconsistent, so progressive fidelity fixes did not improve HRD prediction. The model consistently selected early stopping epochs (median 6.5, maximum 34 of 150), consistent with rapid overfitting on roughly 600 training samples per fold. On cancer-type classification, by contrast, the fidelity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data-limited rather than representation-limited.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SNV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frozen TCGA-trained models in two independent cohorts without any retraining. In 147 POG570 [3] breast cancers with whole-genome sequencing, the Sig+MAF HRD model preserved rank order (Spearman correlation 0.667, 95% CI 0.558 to 0.754), but absolute calibration shifted: the mean predicted HRD score was 41.69 against an observed mean of 22.30, with MAE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was heterogeneous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endpoints. Among the four mutation representations alone, Sig+MAF led with a Harrell C-index [6] of 0.650, ahead of Bio MAF alone (0.634), spectra (0.607), and burden (0.584) (Figure 5). The same ordering held for progression-free interval as a secondary endpoint (n = 9,857): Sig+MAF 0.630, Bio MAF 0.622, spectra 0.570, burden 0.555.</w:t>
      </w:r>
    </w:p>
    <w:p>
      <w:pPr>
        <w:spacing w:after="120"/>
      </w:pPr>
      <w:r>
        <w:t>A three-arm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a precise null. Genomic features therefore add no measurable prognostic value once cancer type is known, and the representation-only ranking above largely reflects recovering cancer type imperfectly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precise null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out-of-fold Harrell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Three-arm CoxNet comparison of cancer type alone, Bio MAF v4 alone, and both combined (Harrell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Harrell 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Harrell 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Variants were annotated with Ensembl VEP (McLaren et al., 2016) [13] via vcf2maf as part of the TCGA MC3 call set (Ellrott et al., Cell Systems 2018); the exact VEP release used in MC3 annotation is not stated in the MC3 documentation.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Data-generating centers were identified from the terminal two characters of each sample’s full-length TCGA aliquot barcode, which the GDC TCGA Barcode documentation [28] defines as the sequencing or characterization center; we refer to it as the data-generating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Metastatic status was not modeled and is a potential confounder of the survival analyses.</w:t>
      </w:r>
    </w:p>
    <w:p>
      <w:pPr>
        <w:spacing w:before="240"/>
      </w:pPr>
      <w:r>
        <w:rPr>
          <w:b/>
          <w:sz w:val="24"/>
        </w:rPr>
        <w:t>Representations</w:t>
      </w:r>
    </w:p>
    <w:p>
      <w:pPr>
        <w:spacing w:after="120"/>
      </w:pPr>
      <w:r>
        <w:t>Each tumor’s mutation catalogue was summarized four ways. (1) Mutation burden: total event counts and compact burden summaries (1 to 3 features). (2) Mutational spectra: per-tumor SBS96 single-base substitution channel counts plus ID83 indel channel counts (COSMIC v3.5 [2]; median 182 features; the Kucab panel used SBS96 plus DBS78 plus ID83, 261 features). (3) Bio MAF v4: 910 interpretable per-tumor summaries of MAF annotations, built from fixed external references without using endpoint labels; exactly what those 910 numbers are is spelled out in the next paragraph. (Role assignments for 38 panel genes lacked documented OncoKB support and were excluded from the feature set; see below.)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All count-like features used log1p transforms, the standard choice for right-skewed count data: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The design overview (Figure 1) additionally depicts a channel kernel-mean-embedding view among the candidate feature views; the benchmark panel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none of the 234 selected per-gene features fall below the at-least-2 tier, and 92.4% of the selected per-gene attribution (mean |SHAP|)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(coordinate descent; stochastic gradient descent with log loss for high-dimensional classification) and XGBoost [22] (histogram tree method, 160 estimators). Hyperparameters were tuned by randomized search (10 trials) on the inner validation split. Survival was modeled with CoxNet [5] via scikit-survival [23]. 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median/mode-imputed with missing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w:t>
      </w:r>
    </w:p>
    <w:p>
      <w:pPr>
        <w:spacing w:before="240"/>
      </w:pPr>
      <w:r>
        <w:rPr>
          <w:b/>
          <w:sz w:val="24"/>
        </w:rPr>
        <w:t>Nested cross-validation and leakage controls</w:t>
      </w:r>
    </w:p>
    <w:p>
      <w:pPr>
        <w:spacing w:after="120"/>
      </w:pPr>
      <w:r>
        <w:t>Non-survival tabular models used five outer folds with one inner validation split inside each outer-training fold; the inner split selected hyperparameters and, for Bio MAF, the predeclared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Outer-fold seeds were derived per representation, so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otherwise, with Benjamini [25]-Hochberg FDR correction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cross-validation over six elastic-net sparsity settings, (reg_alpha, reg_lambda): (0.0, 1.0), (0.1, 1.0), (1.0, 2.0), (5.0, 5.0), (10.0, 10.0), (25.0, 20.0). We selected the sparsest setting whose inner-CV score fell within 0.01 of the best; the 0.01 tolerance operationalizes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inner-CV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inner-CV score (0.6490) and scored 0.6968 on the held-out set. For overall survival, 92 of 910 features (10.1%) were selected at an inner-CV score of 0.6296 (best 0.6391), scoring 0.6108 held-out. Dropping 62% of features cost nothing measurable for cancer type, indicating most of the 910-feature space does not carry additional signal for these endpoints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near-pathognomonic hotspot mutations in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 cross-validation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on the held-out samples, we aggregated mean |SHAP| [26] by annotation family. For cancer type, the largest family was VEP consequence (23.8% of total attribution),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(near-pathognomonic for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endpoints,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calibration shift seen in the primary breast cohort extended to all 570 POG570 tumors: Pearson 0.551, Spearman 0.520, MAE 20.64, RMSE 23.72, R² -1.201. PCAWG per-type recalls were heterogeneous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Harrell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Harrell 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predict the four largest centers at 69.7% cross-validated accuracy versus a 58.3% majority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labeled samples),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endpoints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AI assistance disclosure: portions of the Results and Methods text were drafted with the assistance of an AI language model and were reviewed and edited by the authors.</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Per-sample TCGA HRD scores and components are from Knijnenburg et al. [12]. TCGA clinical and survival outcomes are from the TCGA Clinical Data Resource [9]. The experimental mutagen panel is from Kucab et al. [10].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