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§Jonas De Almeida and Jeya Balaji Balasubramanian are co-senior authors.</w:t>
      </w:r>
    </w:p>
    <w:p>
      <w:pPr>
        <w:jc w:val="center"/>
      </w:pPr>
      <w:r>
        <w:rPr>
          <w:sz w:val="20"/>
        </w:rPr>
        <w:t>*Correspondence: Aaron Ge, age1@som.umaryland.edu</w:t>
      </w:r>
    </w:p>
    <w:p>
      <w:pPr>
        <w:spacing w:before="360"/>
      </w:pPr>
      <w:r>
        <w:rPr>
          <w:b/>
          <w:sz w:val="28"/>
        </w:rPr>
        <w:t>Abstract</w:t>
      </w:r>
    </w:p>
    <w:p>
      <w:pPr>
        <w:spacing w:after="120"/>
      </w:pPr>
      <w:r>
        <w:t>Motivation. A tumor's list of somatic mutations can be summarized in different ways: total mutation count, mutational spectra, or biologically annotated event features. But the effect of that choice is rarely measured while holding the evaluation fixed.</w:t>
      </w:r>
    </w:p>
    <w:p>
      <w:pPr>
        <w:spacing w:after="120"/>
      </w:pPr>
      <w:r>
        <w:t>Results. We compared four representations: mutation burden, mutational spectra (SBS96+ID83), biologically annotated MAF features (Bio MAF v4), and spectra plus Bio MAF (Sig+MAF), across seven TCGA prediction tasks, each tested on held-out tumors in five folds. Sig+MAF was strongest: rank correlation (Spearman) 0.767 for HRD score, AUROC 0.901 for HRD33 high/low, and balanced accuracy 0.738 for cancer type. An attention-based neural network that reads individual mutations (a MuAt-compatible model) did not beat the tuned tabular HRD baseline. Models trained on TCGA generalized: HRD ranking held in 147 POG570 cancers (rank correlation 0.667), and a frozen spectra model reached 0.479 accuracy in 913 PCAWG tumors. In a 259-clone experimental mutagen panel, the TCGA ranking reversed: spectra alone was best with both model classes (0.331 and 0.250 balanced accuracy). For survival, genomic features added nothing once cancer type was known (change in C-index +0.0013, p = 0.512); with standard clinical covariates (age, sex, stage) in the model, adding cancer type raised the C-index from 0.669 to 0.779, while adding Bio MAF on top did not improve it (change in C-index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Genome Medicine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compared four ways of summarizing a tumor’s list of somatic mutations: total mutation burden, mutational spectra, biologically annotated MAF features (Bio MAF), and spectra plus Bio MAF (Sig+MAF). We tested them on seven primary prediction tasks in The Cancer Genome Atlas, plus progression-free interval as a secondary survival task. The tasks were: HRD score (predicting a continuous score, n = 772 breast cancers), HRD-high/low classification at score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always testing on tumors the model had not seen (five held-out folds);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Each tumor's mutation list is converted into four tabular summaries (burden, mutational spectra, Bio MAF v4, and spectra plus Bio MAF) and tested with elastic net and XGBoost on held-out tumors in five folds; the MuAt-compatible attention model, which reads individual mutations, is compared separately on the HRD tasks.</w:t>
      </w:r>
    </w:p>
    <w:p>
      <w:pPr>
        <w:spacing w:before="240"/>
      </w:pPr>
      <w:r>
        <w:rPr>
          <w:b/>
          <w:sz w:val="24"/>
        </w:rPr>
        <w:t>Mutational spectra improve on burden, but the gain depends on the task and the model</w:t>
      </w:r>
    </w:p>
    <w:p>
      <w:pPr>
        <w:spacing w:after="120"/>
      </w:pPr>
      <w:r>
        <w:t>We first compared mutational spectra (SBS96 + ID83 channel counts [2]) against a minimal mutation-burden baseline. With XGBoost, spectra outperformed burden on all six non-survival tasks: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correcting for multiple comparisons (paired tests, q &lt; 0.05). Elastic net showed the same qualitative gain for Kucab damage class (0.178 to 0.331) and cancer type (0.247 to 0.526), but not for every task: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held-out primary metrics for elastic net and XGBoost, with paired differences (spectra minus burden) and significance markers corrected for multiple comparisons.</w:t>
      </w:r>
    </w:p>
    <w:p>
      <w:pPr>
        <w:spacing w:before="240"/>
      </w:pPr>
      <w:r>
        <w:rPr>
          <w:b/>
          <w:sz w:val="24"/>
        </w:rPr>
        <w:t>Biological annotations add signal that spectra miss</w:t>
      </w:r>
    </w:p>
    <w:p>
      <w:pPr>
        <w:spacing w:after="120"/>
      </w:pPr>
      <w:r>
        <w:t>Bio MAF collects per-tumor summaries of variant consequences, predicted functional effects, driver-gene changes, cancer hotspots, and allele fractions into one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mutagen exposure is a sequence-context signal, which spectra capture more directly than gene-level summaries. For HRD score and HRD33 high/low, Bio MAF alone was numerically close to spectra with XGBoost (0.741 vs. 0.693 Spearman; 0.856 vs. 0.850 AUROC) without reaching significance after correction for multiple comparisons (Figure 4).</w:t>
      </w:r>
    </w:p>
    <w:p>
      <w:pPr>
        <w:spacing w:before="240"/>
      </w:pPr>
      <w:r>
        <w:rPr>
          <w:b/>
          <w:sz w:val="24"/>
        </w:rPr>
        <w:t>Combined spectra and biological annotations give the strongest tabular performance</w:t>
      </w:r>
    </w:p>
    <w:p>
      <w:pPr>
        <w:spacing w:after="120"/>
      </w:pPr>
      <w:r>
        <w:t>Combining spectra with Bio MAF (Sig+MAF) produced the best tabular result for five of the six clinical prediction tasks. With XGBoost, Sig+MAF reached 0.767 Spearman rank correlation for HRD score, 0.901 AUROC for HRD33 high/low, and 0.738 balanced accuracy for cancer type across 20 cancer types, each the highest value among the tabular representations tested. Adding Bio MAF to spectra raised cancer-type balanced accuracy from 0.538 to 0.738, a gain of 0.20 that was significant after correction for multiple comparisons (q &lt; 0.05). Sig+MAF also led on HRD24 high/low (0.848 AUROC) and on overall survival (0.650 C-index). The clinical exception was HRD42 high/low, where spectra alone were marginally ahead (0.902 vs. 0.897 AUROC); on the non-clinical Kucab panel, spectra alone remained best (0.250 vs. 0.198 balanced accuracy with XGBoost; 0.331 with elastic net). Against spectra alone, Sig+MAF was significantly better with XGBoost for HRD score and cancer type (both q &lt; 0.05); the HRD33 gain (+0.051 AUROC) did not reach significance after correction (q = 0.109). Taken together, spectra and biological annotations carry complementary information, and their combination is the strongest tabular option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Five-fold held-out performance for the three head-to-head comparisons (Bio MAF vs. spectra, Sig+MAF vs. spectra, and Sig+MAF vs. Bio MAF), with paired differences and markers for differences significant after correcting for multiple comparisons.</w:t>
      </w:r>
    </w:p>
    <w:p>
      <w:pPr>
        <w:spacing w:before="240"/>
      </w:pPr>
      <w:r>
        <w:rPr>
          <w:b/>
          <w:sz w:val="24"/>
        </w:rPr>
        <w:t>The Kucab cell-line panel reverses the TCGA ranking</w:t>
      </w:r>
    </w:p>
    <w:p>
      <w:pPr>
        <w:spacing w:after="120"/>
      </w:pPr>
      <w:r>
        <w:t>The Kucab task differs from the clinical tasks: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(accuracy averaged across classes, so rare classes count equally) remains the primary metric for this task.</w:t>
      </w:r>
    </w:p>
    <w:p>
      <w:pPr>
        <w:spacing w:before="240"/>
      </w:pPr>
      <w:r>
        <w:rPr>
          <w:b/>
          <w:sz w:val="24"/>
        </w:rPr>
        <w:t>A MuAt-compatible attention model does not beat the tuned tabular baseline on HRD</w:t>
      </w:r>
    </w:p>
    <w:p>
      <w:pPr>
        <w:spacing w:after="120"/>
      </w:pPr>
      <w:r>
        <w:t>To test whether a neural network that reads individual mutations changes the picture, we implemented a MuAt-compatible [1] attention model: each mutation is encoded as a sequence-motif token, a 1-million-base genomic position-bin token, and genic/exonic/strand annotation tokens, and the model combines them with attention-weighted pooling into a tumor-level prediction.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rank correlation for HRD score and 0.729 AUROC for HRD33 high/low, compared with 0.767 and 0.901 for Sig+MAF with XGBoost on the same folds. Under this directly comparable evaluation, the attention-based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 model. The attention-based model is compared with the best tabular row and the Sig+MAF default on pooled held-out HRD metrics (n = 772).</w:t>
      </w:r>
    </w:p>
    <w:p>
      <w:pPr>
        <w:spacing w:after="120"/>
      </w:pPr>
      <w:r>
        <w:t>Closer matches to the published design did not change the HRD result. We reran the comparator in four versions, each closer to the published MuAt design: (A) the original implementation (a training-budget bookkeeping bug and hashed token dictionaries); (B) with the epoch-budget bug fixed; (C) additionally using exact token dictionaries; (D) additionally using the exact MuAt motif grammar and transcriptional strand. HRD score Spearman rank correlation across the four versions was 0.477, 0.503, 0.504, and 0.482; HRD33 AUROC was 0.758, 0.727, 0.703, and 0.734, a total spread of 0.028 and 0.055, within per-fold standard deviation and inconsistent in direction, so progressively closer matches to the published design did not improve HRD prediction. The model consistently stopped training early (median 6.5, maximum 34 of 150 epochs), consistent with the model quickly memorizing the roughly 600 training samples per fold. On cancer-type classification, by contrast, the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limited by sample size rather than by how the mutations were represented.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single-base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TCGA-trained models, frozen, in two independent cohorts without any retraining. In 147 POG570 [3] breast cancers with whole-genome sequencing, the Sig+MAF HRD model preserved the ranking of tumors (Spearman rank correlation 0.667, 95% CI 0.558 to 0.754), but the score scale shifted: the mean predicted HRD score was 41.69 against an observed mean of 22.30, with mean absolute error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varied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tasks. The C-index [6] measures how well a model ranks patients by survival time (0.5 is chance, 1.0 is perfect). Among the four mutation representations alone, Sig+MAF led with a C-index of 0.650, ahead of Bio MAF alone (0.634), spectra (0.607), and burden (0.584) (Figure 5). The same ordering held for progression-free interval as a secondary task (n = 9,857): Sig+MAF 0.630, Bio MAF 0.622, spectra 0.570, burden 0.555.</w:t>
      </w:r>
    </w:p>
    <w:p>
      <w:pPr>
        <w:spacing w:after="120"/>
      </w:pPr>
      <w:r>
        <w:t>A three-way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essentially no effect. Genomic features therefore add no measurable prognostic value once cancer type is known, and the representation-only ranking above largely reflects the models partially recovering cancer type from the mutation data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null result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held-out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Three-way CoxNet comparison of cancer type alone, Bio MAF v4 alone, and both combined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task’s primary metric (Spearman rank correlation for HRD score; AUROC for yes/no HRD tasks; balanced accuracy for multiclass tasks), except overall survival and progression-free interval, which show CoxNet C-index. N is the analysis sample size. Bold marks the best tabular value per row.</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is not recoverable from the distributed data: the MC3 paper states VEP annotation via vcf2maf without a version, and the distributed MAF carries no version header lines. HRD tasks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(DOI 10.17632/m7r4msjb4c; Version 2, DOI 10.17632/m7r4msjb4c.2, was published 21 February 2019 alongside the paper, and a Version 3 exists; the repository records the exact raw filenames, denovo_subclone_subs_final.txt, denovo_subclone_doublesub_final.txt, and denovo_subclone_indels.final.txt, but not which dataset version was downloaded),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Each sample's data-generating center was read from the last two characters of its full-length TCGA barcode, which the GDC TCGA Barcode documentation [28] defines as the sequencing or characterization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prediction tasks and one secondary task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tasks.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time-to-event analysis in which patients still alive at last follow-up were censored. Metastatic status was not modeled and is a potential confounder of the survival analyses.</w:t>
      </w:r>
    </w:p>
    <w:p>
      <w:pPr>
        <w:spacing w:before="240"/>
      </w:pPr>
      <w:r>
        <w:rPr>
          <w:b/>
          <w:sz w:val="24"/>
        </w:rPr>
        <w:t>Representations</w:t>
      </w:r>
    </w:p>
    <w:p>
      <w:pPr>
        <w:spacing w:after="120"/>
      </w:pPr>
      <w:r>
        <w:t>Each tumor’s mutation list was summarized four ways. (1) Mutation burden: total mutation counts and compact burden summaries (1 to 3 features). (2) Mutational spectra: per-tumor counts across the 96 single-base substitution channels (SBS96) and 83 indel channels (ID83) from COSMIC v3.5 [2], 182 features for the TCGA tasks; the Kucab panel used SBS96, DBS78, and ID83 channel frequencies plus four burden covariates (log total burden and the SBS, DBS, and indel fractions), 261 features. (3) Bio MAF v4: 910 interpretable per-tumor summaries of MAF annotations, built from fixed external references without using the prediction labels; the next paragraph spells out exactly what those 910 numbers are. (Role assignments for 38 panel genes lacked documented OncoKB support and were excluded from the feature set; see below.) All benchmark scores in Table 1 and the survival analyses were computed on the original 948-feature matrix; the 910-feature matrix is the corrected public release with the 38 undocumented role-matched columns removed, and every retained column is identical between the two. The 38 removed columns carried negligible selected signal, as documented in Supplementary Results. (4) Sig+MAF: spectra combined with the Bio MAF feature blocks chosen in the inner validation split (1,130 to 3,241 features across tasks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task evaluations (block definitions committed 2026-06-12; task result tables committed 2026-06-24 and 2026-08-20), and the inner validation loop selects among them without access to outer-fold labels. That nesting guards against task-specific overfitting; it does not remove all researcher degrees of freedom in how the blocks were defined, and we do not claim a formal timestamped prespecification protocol predating all exploratory work. Count-like features used the log1p transform (log(1 + x)), the standard choice for right-skewed counts: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Figure 1 also shows a channel kernel-mean-embedding view among the candidate feature views; the benchmark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The OncoKB snapshot behind the published matrix was downloaded on or before 12 June 2026; the exact download date was not recorded. The 16 role-aggregate columns (12 oncokb_role and 4 residual non-OncoKB role columns) encode that snapshot’s role flags and are distributed as-is in the released 910-feature matrix: rebuilding them from a 23 September 2026 download changes 15 of the 16, so they cannot be regenerated from the current resource. All 401 panel genes are present in the 23 September 2026 download with agreeing OncoKB type assignments.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about half the genes shared,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(not from a retrained model), none of the 234 selected per-gene features fall below the at-least-2 tier, and 92.4% of the selected per-gene importance (mean |SHAP| value)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and XGBoost [22]. Features were standardized to zero mean and unit variance for elastic net but not for XGBoost (the scaler was fit on the training split only).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pPr>
        <w:spacing w:after="120"/>
      </w:pPr>
      <w:r>
        <w:t>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pPr>
        <w:spacing w:after="120"/>
      </w:pPr>
      <w:r>
        <w:t>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the Harrell C-index [6], computed with concordance_index_censored.</w:t>
      </w:r>
    </w:p>
    <w:p>
      <w:pPr>
        <w:spacing w:after="120"/>
      </w:pPr>
      <w:r>
        <w:t>The MuAt-compatible [1] comparator is an attention network that reads each tumor as a bag of individual mutations: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after="120"/>
      </w:pPr>
      <w:r>
        <w:t>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age at diagnosis (standardized, with a missing-data indicator), sex (with a missing-data indicator), and AJCC pathologic stage collapsed to 0/I/II/III/IV with explicit missing-level indicators. Missing values were filled with the median (continuous) or mode (categorical) plus missing-data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held-out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pPr>
        <w:spacing w:before="240"/>
      </w:pPr>
      <w:r>
        <w:rPr>
          <w:b/>
          <w:sz w:val="24"/>
        </w:rPr>
        <w:t>Nested cross-validation and leakage controls</w:t>
      </w:r>
    </w:p>
    <w:p>
      <w:pPr>
        <w:spacing w:after="120"/>
      </w:pPr>
      <w:r>
        <w:t>For non-survival tasks, tabular models used five outer folds with one inner validation split inside each outer-training fold; the inner split held out 25% of the outer-training samples (random split preserving class balance; grouped shuffle split for Kucab; survival splits stratified on the event indicator). The inner split selected hyperparameters and, for Bio MAF, the fixed feature block, so no held-out outer-fold label ever influenced feature or model choice: every reported number comes from tumors the model never saw during training or selection. Reported metrics are pooled over the combined held-out predictions. Kucab used grouped splits so clones from the same experiment never appeared on both sides of a split. Automated checks verified that outer-test, inner-train, and inner-validation index sets were disjoint. All random seeds were derived deterministically (SHA-256 hash, base seed 1729) from (benchmark, task,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tasks used nested five-fold cross-validation: hyperparameters and Bio MAF feature blocks were selected on one inner validation split per outer fold, and all reported metrics are pooled over combined held-out predictions, so the main TCGA tasks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rank correlation (Spearman) for HRD score regression, AUROC for yes/no tasks, balanced accuracy for multiclass tasks, and Harrell C-index [6] for survival. Representation comparisons used paired tests on the pooled held-out predictions: the paired DeLong [24] test for AUROC and paired bootstrap tests (500 resamples, preserving class balance for classification tasks) otherwise. Bootstrap confidence intervals are the 2.5th and 97.5th percentiles of the resampled differences, and two-sided p values come from the bootstrap distribution; all comparisons were corrected for multiple testing (Benjamini-Hochberg [25])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the HRD yes/no tasks; a parallel ablation removed allele-fraction features. For external validation, frozen models were produced by selecting hyperparameters with TCGA-only cross-validation and refitting on all eligible TCGA samples; they are refit models, not copies of the cross-validation fold models. Each frozen model made a single pass over the external cohort with no retraining, no cutoff tuning, and no post hoc adjustment on external data.</w:t>
      </w:r>
    </w:p>
    <w:p>
      <w:pPr>
        <w:spacing w:before="240"/>
      </w:pPr>
      <w:r>
        <w:rPr>
          <w:b/>
          <w:sz w:val="24"/>
        </w:rPr>
        <w:t>Software environment</w:t>
      </w:r>
    </w:p>
    <w:p>
      <w:pPr>
        <w:spacing w:after="120"/>
      </w:pPr>
      <w:r>
        <w:t>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record needed to reproduce these results. Supplementary Table S5 lists the full environment and Supplementary Table S6 the model hyperparameters and search spaces.</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(DOI 10.17632/m7r4msjb4c);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validation over six elastic-net sparsity settings, (reg_alpha, reg_lambda): (0.0, 1.0), (0.1, 1.0), (1.0, 2.0), (5.0, 5.0), (10.0, 10.0), (25.0, 20.0). We selected the sparsest setting whose inner-validation score fell within 0.01 of the best; the 0.01 tolerance implements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inner-validation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inner-validation score (0.6490) and scored 0.6968 on the held-out set. For overall survival, 92 of 910 features (10.1%) were selected at an inner-validation score of 0.6296 (best 0.6391), scoring 0.6108 held-out. Dropping 62% of features cost nothing measurable for cancer type, indicating most of the 910-feature space does not carry additional signal for these tasks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hotspot mutations almost exclusive to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which attribute each prediction to its input features, on the held-out samples, we averaged absolute SHAP values (mean |SHAP|) [26] by annotation family. For cancer type, the largest family was VEP consequence (23.8% of total importance),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(almost exclusive to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tasks,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same calibration shift appeared across all 570 POG570 tumors: Pearson 0.551, Spearman 0.520, MAE 20.64, RMSE 23.72, R² -1.201. PCAWG per-type recalls varied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r>
        <w:rPr>
          <w:i/>
          <w:color w:val="555555"/>
          <w:sz w:val="20"/>
        </w:rPr>
        <w:t>Supplementary Table S5. Software environment (exact pinned versions).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18"/>
              </w:rPr>
              <w:t>Component</w:t>
            </w:r>
          </w:p>
        </w:tc>
        <w:tc>
          <w:tcPr>
            <w:tcW w:type="dxa" w:w="4680"/>
          </w:tcPr>
          <w:p>
            <w:r/>
            <w:r>
              <w:rPr>
                <w:b/>
                <w:sz w:val="18"/>
              </w:rPr>
              <w:t>Version</w:t>
            </w:r>
          </w:p>
        </w:tc>
      </w:tr>
      <w:tr>
        <w:tc>
          <w:tcPr>
            <w:tcW w:type="dxa" w:w="4680"/>
          </w:tcPr>
          <w:p>
            <w:r/>
            <w:r>
              <w:rPr>
                <w:sz w:val="18"/>
              </w:rPr>
              <w:t>Python</w:t>
            </w:r>
          </w:p>
        </w:tc>
        <w:tc>
          <w:tcPr>
            <w:tcW w:type="dxa" w:w="4680"/>
          </w:tcPr>
          <w:p>
            <w:r/>
            <w:r>
              <w:rPr>
                <w:sz w:val="18"/>
              </w:rPr>
              <w:t>3.10</w:t>
            </w:r>
          </w:p>
        </w:tc>
      </w:tr>
      <w:tr>
        <w:tc>
          <w:tcPr>
            <w:tcW w:type="dxa" w:w="4680"/>
          </w:tcPr>
          <w:p>
            <w:r/>
            <w:r>
              <w:rPr>
                <w:sz w:val="18"/>
              </w:rPr>
              <w:t>numpy</w:t>
            </w:r>
          </w:p>
        </w:tc>
        <w:tc>
          <w:tcPr>
            <w:tcW w:type="dxa" w:w="4680"/>
          </w:tcPr>
          <w:p>
            <w:r/>
            <w:r>
              <w:rPr>
                <w:sz w:val="18"/>
              </w:rPr>
              <w:t>1.26.4</w:t>
            </w:r>
          </w:p>
        </w:tc>
      </w:tr>
      <w:tr>
        <w:tc>
          <w:tcPr>
            <w:tcW w:type="dxa" w:w="4680"/>
          </w:tcPr>
          <w:p>
            <w:r/>
            <w:r>
              <w:rPr>
                <w:sz w:val="18"/>
              </w:rPr>
              <w:t>pandas</w:t>
            </w:r>
          </w:p>
        </w:tc>
        <w:tc>
          <w:tcPr>
            <w:tcW w:type="dxa" w:w="4680"/>
          </w:tcPr>
          <w:p>
            <w:r/>
            <w:r>
              <w:rPr>
                <w:sz w:val="18"/>
              </w:rPr>
              <w:t>2.3.1</w:t>
            </w:r>
          </w:p>
        </w:tc>
      </w:tr>
      <w:tr>
        <w:tc>
          <w:tcPr>
            <w:tcW w:type="dxa" w:w="4680"/>
          </w:tcPr>
          <w:p>
            <w:r/>
            <w:r>
              <w:rPr>
                <w:sz w:val="18"/>
              </w:rPr>
              <w:t>scipy</w:t>
            </w:r>
          </w:p>
        </w:tc>
        <w:tc>
          <w:tcPr>
            <w:tcW w:type="dxa" w:w="4680"/>
          </w:tcPr>
          <w:p>
            <w:r/>
            <w:r>
              <w:rPr>
                <w:sz w:val="18"/>
              </w:rPr>
              <w:t>1.15.3</w:t>
            </w:r>
          </w:p>
        </w:tc>
      </w:tr>
      <w:tr>
        <w:tc>
          <w:tcPr>
            <w:tcW w:type="dxa" w:w="4680"/>
          </w:tcPr>
          <w:p>
            <w:r/>
            <w:r>
              <w:rPr>
                <w:sz w:val="18"/>
              </w:rPr>
              <w:t>scikit-learn</w:t>
            </w:r>
          </w:p>
        </w:tc>
        <w:tc>
          <w:tcPr>
            <w:tcW w:type="dxa" w:w="4680"/>
          </w:tcPr>
          <w:p>
            <w:r/>
            <w:r>
              <w:rPr>
                <w:sz w:val="18"/>
              </w:rPr>
              <w:t>1.7.2</w:t>
            </w:r>
          </w:p>
        </w:tc>
      </w:tr>
      <w:tr>
        <w:tc>
          <w:tcPr>
            <w:tcW w:type="dxa" w:w="4680"/>
          </w:tcPr>
          <w:p>
            <w:r/>
            <w:r>
              <w:rPr>
                <w:sz w:val="18"/>
              </w:rPr>
              <w:t>XGBoost</w:t>
            </w:r>
          </w:p>
        </w:tc>
        <w:tc>
          <w:tcPr>
            <w:tcW w:type="dxa" w:w="4680"/>
          </w:tcPr>
          <w:p>
            <w:r/>
            <w:r>
              <w:rPr>
                <w:sz w:val="18"/>
              </w:rPr>
              <w:t>1.6.2</w:t>
            </w:r>
          </w:p>
        </w:tc>
      </w:tr>
      <w:tr>
        <w:tc>
          <w:tcPr>
            <w:tcW w:type="dxa" w:w="4680"/>
          </w:tcPr>
          <w:p>
            <w:r/>
            <w:r>
              <w:rPr>
                <w:sz w:val="18"/>
              </w:rPr>
              <w:t>matplotlib</w:t>
            </w:r>
          </w:p>
        </w:tc>
        <w:tc>
          <w:tcPr>
            <w:tcW w:type="dxa" w:w="4680"/>
          </w:tcPr>
          <w:p>
            <w:r/>
            <w:r>
              <w:rPr>
                <w:sz w:val="18"/>
              </w:rPr>
              <w:t>3.9.2</w:t>
            </w:r>
          </w:p>
        </w:tc>
      </w:tr>
      <w:tr>
        <w:tc>
          <w:tcPr>
            <w:tcW w:type="dxa" w:w="4680"/>
          </w:tcPr>
          <w:p>
            <w:r/>
            <w:r>
              <w:rPr>
                <w:sz w:val="18"/>
              </w:rPr>
              <w:t>PyYAML</w:t>
            </w:r>
          </w:p>
        </w:tc>
        <w:tc>
          <w:tcPr>
            <w:tcW w:type="dxa" w:w="4680"/>
          </w:tcPr>
          <w:p>
            <w:r/>
            <w:r>
              <w:rPr>
                <w:sz w:val="18"/>
              </w:rPr>
              <w:t>6.0.2</w:t>
            </w:r>
          </w:p>
        </w:tc>
      </w:tr>
      <w:tr>
        <w:tc>
          <w:tcPr>
            <w:tcW w:type="dxa" w:w="4680"/>
          </w:tcPr>
          <w:p>
            <w:r/>
            <w:r>
              <w:rPr>
                <w:sz w:val="18"/>
              </w:rPr>
              <w:t>openpyxl</w:t>
            </w:r>
          </w:p>
        </w:tc>
        <w:tc>
          <w:tcPr>
            <w:tcW w:type="dxa" w:w="4680"/>
          </w:tcPr>
          <w:p>
            <w:r/>
            <w:r>
              <w:rPr>
                <w:sz w:val="18"/>
              </w:rPr>
              <w:t>3.1.5</w:t>
            </w:r>
          </w:p>
        </w:tc>
      </w:tr>
      <w:tr>
        <w:tc>
          <w:tcPr>
            <w:tcW w:type="dxa" w:w="4680"/>
          </w:tcPr>
          <w:p>
            <w:r/>
            <w:r>
              <w:rPr>
                <w:sz w:val="18"/>
              </w:rPr>
              <w:t>statsmodels</w:t>
            </w:r>
          </w:p>
        </w:tc>
        <w:tc>
          <w:tcPr>
            <w:tcW w:type="dxa" w:w="4680"/>
          </w:tcPr>
          <w:p>
            <w:r/>
            <w:r>
              <w:rPr>
                <w:sz w:val="18"/>
              </w:rPr>
              <w:t>0.14.4</w:t>
            </w:r>
          </w:p>
        </w:tc>
      </w:tr>
      <w:tr>
        <w:tc>
          <w:tcPr>
            <w:tcW w:type="dxa" w:w="4680"/>
          </w:tcPr>
          <w:p>
            <w:r/>
            <w:r>
              <w:rPr>
                <w:sz w:val="18"/>
              </w:rPr>
              <w:t>Optuna</w:t>
            </w:r>
          </w:p>
        </w:tc>
        <w:tc>
          <w:tcPr>
            <w:tcW w:type="dxa" w:w="4680"/>
          </w:tcPr>
          <w:p>
            <w:r/>
            <w:r>
              <w:rPr>
                <w:sz w:val="18"/>
              </w:rPr>
              <w:t>4.1.0</w:t>
            </w:r>
          </w:p>
        </w:tc>
      </w:tr>
      <w:tr>
        <w:tc>
          <w:tcPr>
            <w:tcW w:type="dxa" w:w="4680"/>
          </w:tcPr>
          <w:p>
            <w:r/>
            <w:r>
              <w:rPr>
                <w:sz w:val="18"/>
              </w:rPr>
              <w:t>scikit-survival</w:t>
            </w:r>
          </w:p>
        </w:tc>
        <w:tc>
          <w:tcPr>
            <w:tcW w:type="dxa" w:w="4680"/>
          </w:tcPr>
          <w:p>
            <w:r/>
            <w:r>
              <w:rPr>
                <w:sz w:val="18"/>
              </w:rPr>
              <w:t>0.27.0</w:t>
            </w:r>
          </w:p>
        </w:tc>
      </w:tr>
      <w:tr>
        <w:tc>
          <w:tcPr>
            <w:tcW w:type="dxa" w:w="4680"/>
          </w:tcPr>
          <w:p>
            <w:r/>
            <w:r>
              <w:rPr>
                <w:sz w:val="18"/>
              </w:rPr>
              <w:t>PyTorch (MuAt comparator only)</w:t>
            </w:r>
          </w:p>
        </w:tc>
        <w:tc>
          <w:tcPr>
            <w:tcW w:type="dxa" w:w="4680"/>
          </w:tcPr>
          <w:p>
            <w:r/>
            <w:r>
              <w:rPr>
                <w:sz w:val="18"/>
              </w:rPr>
              <w:t>2.5.1 (CUDA 12.1 build)</w:t>
            </w:r>
          </w:p>
        </w:tc>
      </w:tr>
      <w:tr>
        <w:tc>
          <w:tcPr>
            <w:tcW w:type="dxa" w:w="4680"/>
          </w:tcPr>
          <w:p>
            <w:r/>
            <w:r>
              <w:rPr>
                <w:sz w:val="18"/>
              </w:rPr>
              <w:t>requests</w:t>
            </w:r>
          </w:p>
        </w:tc>
        <w:tc>
          <w:tcPr>
            <w:tcW w:type="dxa" w:w="4680"/>
          </w:tcPr>
          <w:p>
            <w:r/>
            <w:r>
              <w:rPr>
                <w:sz w:val="18"/>
              </w:rPr>
              <w:t>2.32.3</w:t>
            </w:r>
          </w:p>
        </w:tc>
      </w:tr>
      <w:tr>
        <w:tc>
          <w:tcPr>
            <w:tcW w:type="dxa" w:w="4680"/>
          </w:tcPr>
          <w:p>
            <w:r/>
            <w:r>
              <w:rPr>
                <w:sz w:val="18"/>
              </w:rPr>
              <w:t>tabulate</w:t>
            </w:r>
          </w:p>
        </w:tc>
        <w:tc>
          <w:tcPr>
            <w:tcW w:type="dxa" w:w="4680"/>
          </w:tcPr>
          <w:p>
            <w:r/>
            <w:r>
              <w:rPr>
                <w:sz w:val="18"/>
              </w:rPr>
              <w:t>0.9.0</w:t>
            </w:r>
          </w:p>
        </w:tc>
      </w:tr>
      <w:tr>
        <w:tc>
          <w:tcPr>
            <w:tcW w:type="dxa" w:w="4680"/>
          </w:tcPr>
          <w:p>
            <w:r/>
            <w:r>
              <w:rPr>
                <w:sz w:val="18"/>
              </w:rPr>
              <w:t>Operating system (reported runs)</w:t>
            </w:r>
          </w:p>
        </w:tc>
        <w:tc>
          <w:tcPr>
            <w:tcW w:type="dxa" w:w="4680"/>
          </w:tcPr>
          <w:p>
            <w:r/>
            <w:r>
              <w:rPr>
                <w:sz w:val="18"/>
              </w:rPr>
              <w:t>Linux</w:t>
            </w:r>
          </w:p>
        </w:tc>
      </w:tr>
      <w:tr>
        <w:tc>
          <w:tcPr>
            <w:tcW w:type="dxa" w:w="4680"/>
          </w:tcPr>
          <w:p>
            <w:r/>
            <w:r>
              <w:rPr>
                <w:sz w:val="18"/>
              </w:rPr>
              <w:t>Operating system (historical feature selection)</w:t>
            </w:r>
          </w:p>
        </w:tc>
        <w:tc>
          <w:tcPr>
            <w:tcW w:type="dxa" w:w="4680"/>
          </w:tcPr>
          <w:p>
            <w:r/>
            <w:r>
              <w:rPr>
                <w:sz w:val="18"/>
              </w:rPr>
              <w:t>Windows</w:t>
            </w:r>
          </w:p>
        </w:tc>
      </w:tr>
    </w:tbl>
    <w:p>
      <w:pPr>
        <w:spacing w:after="40"/>
      </w:pPr>
    </w:p>
    <w:p>
      <w:r>
        <w:rPr>
          <w:i/>
          <w:color w:val="555555"/>
          <w:sz w:val="20"/>
        </w:rPr>
        <w:t>Supplementary Table S6. Model hyperparameters and search spaces.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Fixed settings</w:t>
            </w:r>
          </w:p>
        </w:tc>
        <w:tc>
          <w:tcPr>
            <w:tcW w:type="dxa" w:w="3120"/>
          </w:tcPr>
          <w:p>
            <w:r/>
            <w:r>
              <w:rPr>
                <w:b/>
                <w:sz w:val="18"/>
              </w:rPr>
              <w:t>Tuned (inner validation split)</w:t>
            </w:r>
          </w:p>
        </w:tc>
      </w:tr>
      <w:tr>
        <w:tc>
          <w:tcPr>
            <w:tcW w:type="dxa" w:w="3120"/>
          </w:tcPr>
          <w:p>
            <w:r/>
            <w:r>
              <w:rPr>
                <w:sz w:val="18"/>
              </w:rPr>
              <w:t>Elastic-net regression</w:t>
            </w:r>
          </w:p>
        </w:tc>
        <w:tc>
          <w:tcPr>
            <w:tcW w:type="dxa" w:w="3120"/>
          </w:tcPr>
          <w:p>
            <w:r/>
            <w:r>
              <w:rPr>
                <w:sz w:val="18"/>
              </w:rPr>
              <w:t>Coordinate descent, max_iter 10000, standardized features</w:t>
            </w:r>
          </w:p>
        </w:tc>
        <w:tc>
          <w:tcPr>
            <w:tcW w:type="dxa" w:w="3120"/>
          </w:tcPr>
          <w:p>
            <w:r/>
            <w:r>
              <w:rPr>
                <w:sz w:val="18"/>
              </w:rPr>
              <w:t>Full grid: alpha {1e-4 to 10}, l1_ratio {0 to 1}</w:t>
            </w:r>
          </w:p>
        </w:tc>
      </w:tr>
      <w:tr>
        <w:tc>
          <w:tcPr>
            <w:tcW w:type="dxa" w:w="3120"/>
          </w:tcPr>
          <w:p>
            <w:r/>
            <w:r>
              <w:rPr>
                <w:sz w:val="18"/>
              </w:rPr>
              <w:t>Logistic regression (&lt; 500 features)</w:t>
            </w:r>
          </w:p>
        </w:tc>
        <w:tc>
          <w:tcPr>
            <w:tcW w:type="dxa" w:w="3120"/>
          </w:tcPr>
          <w:p>
            <w:r/>
            <w:r>
              <w:rPr>
                <w:sz w:val="18"/>
              </w:rPr>
              <w:t>saga solver, max_iter 5000, balanced class weights, standardized features</w:t>
            </w:r>
          </w:p>
        </w:tc>
        <w:tc>
          <w:tcPr>
            <w:tcW w:type="dxa" w:w="3120"/>
          </w:tcPr>
          <w:p>
            <w:r/>
            <w:r>
              <w:rPr>
                <w:sz w:val="18"/>
              </w:rPr>
              <w:t>Full grid: C {0.001 to 10}, l1_ratio {0 to 1}</w:t>
            </w:r>
          </w:p>
        </w:tc>
      </w:tr>
      <w:tr>
        <w:tc>
          <w:tcPr>
            <w:tcW w:type="dxa" w:w="3120"/>
          </w:tcPr>
          <w:p>
            <w:r/>
            <w:r>
              <w:rPr>
                <w:sz w:val="18"/>
              </w:rPr>
              <w:t>SGD log-loss (&gt;= 500 features)</w:t>
            </w:r>
          </w:p>
        </w:tc>
        <w:tc>
          <w:tcPr>
            <w:tcW w:type="dxa" w:w="3120"/>
          </w:tcPr>
          <w:p>
            <w:r/>
            <w:r>
              <w:rPr>
                <w:sz w:val="18"/>
              </w:rPr>
              <w:t>max_iter 200, tol 1e-3, 5-iteration patience, averaged weights, balanced class weights, standardized features</w:t>
            </w:r>
          </w:p>
        </w:tc>
        <w:tc>
          <w:tcPr>
            <w:tcW w:type="dxa" w:w="3120"/>
          </w:tcPr>
          <w:p>
            <w:r/>
            <w:r>
              <w:rPr>
                <w:sz w:val="18"/>
              </w:rPr>
              <w:t>10 seeded trials: C {0.001 to 10}, l1_ratio {0 to 1}</w:t>
            </w:r>
          </w:p>
        </w:tc>
      </w:tr>
      <w:tr>
        <w:tc>
          <w:tcPr>
            <w:tcW w:type="dxa" w:w="3120"/>
          </w:tcPr>
          <w:p>
            <w:r/>
            <w:r>
              <w:rPr>
                <w:sz w:val="18"/>
              </w:rPr>
              <w:t>XGBoost</w:t>
            </w:r>
          </w:p>
        </w:tc>
        <w:tc>
          <w:tcPr>
            <w:tcW w:type="dxa" w:w="3120"/>
          </w:tcPr>
          <w:p>
            <w:r/>
            <w:r>
              <w:rPr>
                <w:sz w:val="18"/>
              </w:rPr>
              <w:t>gpu_hist (hist fallback), 160 estimators max, 20-round early stopping, early-stopped rounds reused for refit, unscaled features</w:t>
            </w:r>
          </w:p>
        </w:tc>
        <w:tc>
          <w:tcPr>
            <w:tcW w:type="dxa" w:w="3120"/>
          </w:tcPr>
          <w:p>
            <w:r/>
            <w:r>
              <w:rPr>
                <w:sz w:val="18"/>
              </w:rPr>
              <w:t>10 seeded trials: max_depth {2-5}, learning_rate {0.01-0.1}, subsample/colsample_bytree {0.70-1.0}, min_child_weight {1-10}, reg_lambda {0.5-10}, reg_alpha {0-0.5}</w:t>
            </w:r>
          </w:p>
        </w:tc>
      </w:tr>
      <w:tr>
        <w:tc>
          <w:tcPr>
            <w:tcW w:type="dxa" w:w="3120"/>
          </w:tcPr>
          <w:p>
            <w:r/>
            <w:r>
              <w:rPr>
                <w:sz w:val="18"/>
              </w:rPr>
              <w:t>CoxNet (survival)</w:t>
            </w:r>
          </w:p>
        </w:tc>
        <w:tc>
          <w:tcPr>
            <w:tcW w:type="dxa" w:w="3120"/>
          </w:tcPr>
          <w:p>
            <w:r/>
            <w:r>
              <w:rPr>
                <w:sz w:val="18"/>
              </w:rPr>
              <w:t>CoxnetSurvivalAnalysis, single-alpha fits, max_iter 100000, tol 1e-7, standardized features, std &lt; 1e-8 dropped, 12-step warm-start path fallback</w:t>
            </w:r>
          </w:p>
        </w:tc>
        <w:tc>
          <w:tcPr>
            <w:tcW w:type="dxa" w:w="3120"/>
          </w:tcPr>
          <w:p>
            <w:r/>
            <w:r>
              <w:rPr>
                <w:sz w:val="18"/>
              </w:rPr>
              <w:t>10 seeded trials from 16 combos: alpha {1e-2 to 10}, l1_ratio {0.25-1.0}</w:t>
            </w:r>
          </w:p>
        </w:tc>
      </w:tr>
      <w:tr>
        <w:tc>
          <w:tcPr>
            <w:tcW w:type="dxa" w:w="3120"/>
          </w:tcPr>
          <w:p>
            <w:r/>
            <w:r>
              <w:rPr>
                <w:sz w:val="18"/>
              </w:rPr>
              <w:t>MuAt-compatible comparator</w:t>
            </w:r>
          </w:p>
        </w:tc>
        <w:tc>
          <w:tcPr>
            <w:tcW w:type="dxa" w:w="3120"/>
          </w:tcPr>
          <w:p>
            <w:r/>
            <w:r>
              <w:rPr>
                <w:sz w:val="18"/>
              </w:rPr>
              <w:t>SGD lr 6e-4 momentum 0.9, cosine annealing, batch size 1, dropout 0.1, AMP, max 5,000 events/tumor, exact token dictionaries, seed 20260524 + fold offsets</w:t>
            </w:r>
          </w:p>
        </w:tc>
        <w:tc>
          <w:tcPr>
            <w:tcW w:type="dxa" w:w="3120"/>
          </w:tcPr>
          <w:p>
            <w:r/>
            <w:r>
              <w:rPr>
                <w:sz w:val="18"/>
              </w:rPr>
              <w:t>3-epoch budget over embed {128, 256, 512}, layers {1, 2, 4}, heads {1, 2}; winner retrained 150 epochs with inner-split epoch selection</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identify the four largest centers at 69.7% cross-validated accuracy versus a 58.3% majority-class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top-20 samples with center barcodes; the benchmark cohort itself is 8,800 patients),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a measure of variance explained),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tasks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 Raw mutation tables: Mendeley Data, DOI 10.17632/m7r4msjb4c (Version 2: 10.17632/m7r4msjb4c.2).</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Acknowledgement: The research reported in this manuscript was supported by AIM-AHEAD Coordinating Center at the University of North Texas Health Science Center at Fort Worth. This research was, in part, funded by the National Institutes of Health (NIH) Agreement No. 1OT2OD032581. The views and conclusions contained in this document are those of the authors and should not be interpreted as representing the official policies, either expressed or implied, of the NIH.</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(Mendeley Data DOI 10.17632/m7r4msjb4c).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