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8258" w14:textId="78DEEF0D" w:rsidR="00EE2A19" w:rsidRDefault="00000000" w:rsidP="00883D13">
      <w:pPr>
        <w:pStyle w:val="a3"/>
      </w:pPr>
      <w:r>
        <w:rPr>
          <w:szCs w:val="30"/>
        </w:rPr>
        <w:t>HW2 Part 2：Real-world GMM 分析與互動展示</w:t>
      </w:r>
    </w:p>
    <w:p w14:paraId="6FDD344C" w14:textId="77777777" w:rsidR="00EE2A19" w:rsidRDefault="00000000">
      <w:pPr>
        <w:pStyle w:val="1"/>
        <w:spacing w:after="45"/>
      </w:pPr>
      <w:r>
        <w:rPr>
          <w:szCs w:val="22"/>
        </w:rPr>
        <w:t>1. 資料來源、清理與特徵選擇</w:t>
      </w:r>
    </w:p>
    <w:p w14:paraId="142C28A5" w14:textId="77777777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資料集：Mall Customers；Kaggle URL：https://www.kaggle.com/datasets/kandij/mall-customers。</w:t>
      </w:r>
    </w:p>
    <w:p w14:paraId="4F644C8A" w14:textId="77777777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GMM 特徵：Annual Income (k$) 與 Spending Score (1-100)。</w:t>
      </w:r>
    </w:p>
    <w:p w14:paraId="55D9385A" w14:textId="7FA1B55E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Annual Income (k$) 表示顧客年收入，單位為千美元</w:t>
      </w:r>
      <w:r w:rsidR="00AF38E7">
        <w:rPr>
          <w:rFonts w:hint="eastAsia"/>
          <w:sz w:val="17"/>
          <w:szCs w:val="17"/>
        </w:rPr>
        <w:t>。</w:t>
      </w:r>
      <w:r>
        <w:rPr>
          <w:sz w:val="17"/>
          <w:szCs w:val="17"/>
        </w:rPr>
        <w:t>Spending Score (1-100) 是商場根據顧客消費行為給出的消費分數。</w:t>
      </w:r>
    </w:p>
    <w:p w14:paraId="0953B5F5" w14:textId="5F081476" w:rsidR="00EE2A19" w:rsidRDefault="00000000" w:rsidP="00AF38E7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前處理：移除缺失列並使用 StandardScaler</w:t>
      </w:r>
      <w:r w:rsidR="00AF38E7">
        <w:rPr>
          <w:rFonts w:hint="eastAsia"/>
          <w:sz w:val="17"/>
          <w:szCs w:val="17"/>
        </w:rPr>
        <w:t>，</w:t>
      </w:r>
      <w:r w:rsidR="00AF38E7">
        <w:rPr>
          <w:sz w:val="17"/>
          <w:szCs w:val="17"/>
        </w:rPr>
        <w:t>清理前 200 筆，清理後 200 筆。</w:t>
      </w:r>
      <w:r w:rsidRPr="00AF38E7">
        <w:rPr>
          <w:sz w:val="17"/>
          <w:szCs w:val="17"/>
        </w:rPr>
        <w:t>模型在標準化資料上訓練，圖表用原始單位呈現。</w:t>
      </w:r>
    </w:p>
    <w:p w14:paraId="6B7822A3" w14:textId="1CD8E8ED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本</w:t>
      </w:r>
      <w:proofErr w:type="gramStart"/>
      <w:r>
        <w:rPr>
          <w:sz w:val="17"/>
          <w:szCs w:val="17"/>
        </w:rPr>
        <w:t>資料集僅</w:t>
      </w:r>
      <w:proofErr w:type="gramEnd"/>
      <w:r>
        <w:rPr>
          <w:sz w:val="17"/>
          <w:szCs w:val="17"/>
        </w:rPr>
        <w:t xml:space="preserve"> 200 筆，因此未進行抽樣</w:t>
      </w:r>
      <w:r w:rsidR="00AF38E7">
        <w:rPr>
          <w:rFonts w:hint="eastAsia"/>
          <w:sz w:val="17"/>
          <w:szCs w:val="17"/>
        </w:rPr>
        <w:t>。</w:t>
      </w:r>
      <w:r>
        <w:rPr>
          <w:sz w:val="17"/>
          <w:szCs w:val="17"/>
        </w:rPr>
        <w:t>收入與消費分數皆位於合理範圍，未額外移除 outliers。</w:t>
      </w:r>
    </w:p>
    <w:p w14:paraId="7AD5AE9D" w14:textId="77777777" w:rsidR="00EE2A19" w:rsidRDefault="00000000">
      <w:pPr>
        <w:pStyle w:val="1"/>
        <w:spacing w:after="45"/>
      </w:pPr>
      <w:r>
        <w:rPr>
          <w:szCs w:val="22"/>
        </w:rPr>
        <w:t>2. GMM fitting 與 model selection</w:t>
      </w:r>
    </w:p>
    <w:p w14:paraId="7298B059" w14:textId="77777777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比較 n_components=1..10，並比較 covariance_type=full、tied、diag、spherical。</w:t>
      </w:r>
    </w:p>
    <w:p w14:paraId="66B23526" w14:textId="77777777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以 BIC 作為最終選擇準則，最佳模型為 covariance_type=tied、K=7。</w:t>
      </w:r>
    </w:p>
    <w:p w14:paraId="5DADE585" w14:textId="77777777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最佳模型分數：BIC=1037.92，AIC=962.05。</w:t>
      </w:r>
    </w:p>
    <w:tbl>
      <w:tblPr>
        <w:tblW w:w="10898" w:type="dxa"/>
        <w:tblInd w:w="80" w:type="dxa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1000"/>
        <w:gridCol w:w="2500"/>
        <w:gridCol w:w="2700"/>
        <w:gridCol w:w="4698"/>
      </w:tblGrid>
      <w:tr w:rsidR="00EE2A19" w14:paraId="0996C497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AFCAD" w14:textId="77777777" w:rsidR="00EE2A19" w:rsidRDefault="00000000">
            <w:pPr>
              <w:spacing w:after="0"/>
            </w:pPr>
            <w:r>
              <w:rPr>
                <w:b/>
                <w:sz w:val="16"/>
                <w:szCs w:val="16"/>
              </w:rPr>
              <w:t>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C5F21" w14:textId="77777777" w:rsidR="00EE2A19" w:rsidRDefault="00000000">
            <w:pPr>
              <w:spacing w:after="0"/>
            </w:pPr>
            <w:r>
              <w:rPr>
                <w:b/>
                <w:sz w:val="16"/>
                <w:szCs w:val="16"/>
              </w:rPr>
              <w:t>covariance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A2638" w14:textId="77777777" w:rsidR="00EE2A19" w:rsidRDefault="00000000">
            <w:pPr>
              <w:spacing w:after="0"/>
            </w:pPr>
            <w:r>
              <w:rPr>
                <w:b/>
                <w:sz w:val="16"/>
                <w:szCs w:val="16"/>
              </w:rPr>
              <w:t>BIC</w:t>
            </w:r>
          </w:p>
        </w:tc>
        <w:tc>
          <w:tcPr>
            <w:tcW w:w="4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8F2C9" w14:textId="77777777" w:rsidR="00EE2A19" w:rsidRDefault="00000000">
            <w:pPr>
              <w:spacing w:after="0"/>
            </w:pPr>
            <w:r>
              <w:rPr>
                <w:b/>
                <w:sz w:val="16"/>
                <w:szCs w:val="16"/>
              </w:rPr>
              <w:t>AIC</w:t>
            </w:r>
          </w:p>
        </w:tc>
      </w:tr>
      <w:tr w:rsidR="00EE2A19" w14:paraId="468A939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097D7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E0A28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tied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88337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1037.92</w:t>
            </w:r>
          </w:p>
        </w:tc>
        <w:tc>
          <w:tcPr>
            <w:tcW w:w="4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E90EC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962.05</w:t>
            </w:r>
          </w:p>
        </w:tc>
      </w:tr>
      <w:tr w:rsidR="00EE2A19" w14:paraId="18A0C3F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BDDC5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79BF7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tied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744EC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1038.16</w:t>
            </w:r>
          </w:p>
        </w:tc>
        <w:tc>
          <w:tcPr>
            <w:tcW w:w="4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BE4AF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952.41</w:t>
            </w:r>
          </w:p>
        </w:tc>
      </w:tr>
      <w:tr w:rsidR="00EE2A19" w14:paraId="43614B43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AFC59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FDAD0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diag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A60C4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1041.67</w:t>
            </w:r>
          </w:p>
        </w:tc>
        <w:tc>
          <w:tcPr>
            <w:tcW w:w="4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EF4C7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962.51</w:t>
            </w:r>
          </w:p>
        </w:tc>
      </w:tr>
      <w:tr w:rsidR="00EE2A19" w14:paraId="6C711FB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1226F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E2AEAE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tied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3FF15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1043.29</w:t>
            </w:r>
          </w:p>
        </w:tc>
        <w:tc>
          <w:tcPr>
            <w:tcW w:w="4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DB978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947.64</w:t>
            </w:r>
          </w:p>
        </w:tc>
      </w:tr>
      <w:tr w:rsidR="00EE2A19" w14:paraId="6428FB99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A7144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82A20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spherical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4E119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1045.55</w:t>
            </w:r>
          </w:p>
        </w:tc>
        <w:tc>
          <w:tcPr>
            <w:tcW w:w="4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C3CE5" w14:textId="77777777" w:rsidR="00EE2A19" w:rsidRDefault="00000000">
            <w:pPr>
              <w:spacing w:after="0"/>
            </w:pPr>
            <w:r>
              <w:rPr>
                <w:sz w:val="16"/>
                <w:szCs w:val="16"/>
              </w:rPr>
              <w:t>969.68</w:t>
            </w:r>
          </w:p>
        </w:tc>
      </w:tr>
    </w:tbl>
    <w:p w14:paraId="134917B1" w14:textId="77777777" w:rsidR="00EE2A19" w:rsidRDefault="00000000">
      <w:pPr>
        <w:pStyle w:val="1"/>
        <w:spacing w:after="45"/>
      </w:pPr>
      <w:r>
        <w:rPr>
          <w:szCs w:val="22"/>
        </w:rPr>
        <w:t>3. 視覺化與結果解釋</w:t>
      </w:r>
    </w:p>
    <w:p w14:paraId="761EA57C" w14:textId="77777777" w:rsidR="00EE2A19" w:rsidRDefault="00000000">
      <w:pPr>
        <w:spacing w:after="45"/>
      </w:pPr>
      <w:r>
        <w:rPr>
          <w:sz w:val="17"/>
          <w:szCs w:val="17"/>
        </w:rPr>
        <w:t>Scatter 圖呈現 component assignment，contour 圖呈現 GMM 的機率密度與 covariance shape；BIC/AIC 圖用於支持模型選擇。</w:t>
      </w:r>
      <w:proofErr w:type="gramStart"/>
      <w:r>
        <w:rPr>
          <w:sz w:val="17"/>
          <w:szCs w:val="17"/>
        </w:rPr>
        <w:t>分群可解釋</w:t>
      </w:r>
      <w:proofErr w:type="gramEnd"/>
      <w:r>
        <w:rPr>
          <w:sz w:val="17"/>
          <w:szCs w:val="17"/>
        </w:rPr>
        <w:t>為不同收入與消費分數的顧客型態，例如高收入高消費、高收入低消費、低收入高消費與中等收入中等消費。</w:t>
      </w:r>
    </w:p>
    <w:tbl>
      <w:tblPr>
        <w:tblW w:w="10898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9"/>
        <w:gridCol w:w="5449"/>
      </w:tblGrid>
      <w:tr w:rsidR="00EE2A19" w14:paraId="67906D92" w14:textId="77777777">
        <w:tc>
          <w:tcPr>
            <w:tcW w:w="5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F6B21" w14:textId="77777777" w:rsidR="00EE2A19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4881D9F2" wp14:editId="3892E2CB">
                  <wp:extent cx="2816352" cy="2096040"/>
                  <wp:effectExtent l="0" t="0" r="0" b="0"/>
                  <wp:docPr id="1" name="gmm_assignment_scatte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mm_assignment_scatter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209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D85D1" w14:textId="77777777" w:rsidR="00EE2A19" w:rsidRDefault="00000000">
            <w:pPr>
              <w:spacing w:after="50"/>
              <w:jc w:val="center"/>
            </w:pPr>
            <w:r>
              <w:rPr>
                <w:sz w:val="15"/>
                <w:szCs w:val="15"/>
              </w:rPr>
              <w:t>圖 1  GMM component assignment</w:t>
            </w:r>
          </w:p>
        </w:tc>
        <w:tc>
          <w:tcPr>
            <w:tcW w:w="5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35893" w14:textId="77777777" w:rsidR="00EE2A19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76136354" wp14:editId="60D688B2">
                  <wp:extent cx="2816352" cy="2096040"/>
                  <wp:effectExtent l="0" t="0" r="0" b="0"/>
                  <wp:docPr id="2" name="gmm_density_contour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mm_density_contour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209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9DB57" w14:textId="77777777" w:rsidR="00EE2A19" w:rsidRDefault="00000000">
            <w:pPr>
              <w:spacing w:after="50"/>
              <w:jc w:val="center"/>
            </w:pPr>
            <w:r>
              <w:rPr>
                <w:sz w:val="15"/>
                <w:szCs w:val="15"/>
              </w:rPr>
              <w:t>圖 2  GMM density contour / covariance shape</w:t>
            </w:r>
          </w:p>
        </w:tc>
      </w:tr>
      <w:tr w:rsidR="00EE2A19" w14:paraId="2BA6A3A0" w14:textId="77777777">
        <w:tc>
          <w:tcPr>
            <w:tcW w:w="5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8797E" w14:textId="77777777" w:rsidR="00EE2A19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2147062F" wp14:editId="3CC4F3AB">
                  <wp:extent cx="2816352" cy="1064573"/>
                  <wp:effectExtent l="0" t="0" r="0" b="0"/>
                  <wp:docPr id="3" name="bic_aic_model_selection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ic_aic_model_selec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064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9AF7D" w14:textId="77777777" w:rsidR="00EE2A19" w:rsidRDefault="00000000">
            <w:pPr>
              <w:spacing w:after="50"/>
              <w:jc w:val="center"/>
            </w:pPr>
            <w:r>
              <w:rPr>
                <w:sz w:val="15"/>
                <w:szCs w:val="15"/>
              </w:rPr>
              <w:t>圖 3  BIC/AIC model selection</w:t>
            </w:r>
          </w:p>
        </w:tc>
        <w:tc>
          <w:tcPr>
            <w:tcW w:w="5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E2AA7" w14:textId="77777777" w:rsidR="00EE2A19" w:rsidRDefault="00000000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6AC4C29B" wp14:editId="196AAC32">
                  <wp:extent cx="2816352" cy="1066830"/>
                  <wp:effectExtent l="0" t="0" r="0" b="0"/>
                  <wp:docPr id="4" name="gmm_vs_kmeans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mm_vs_kmean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06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6ECC8" w14:textId="77777777" w:rsidR="00EE2A19" w:rsidRDefault="00000000">
            <w:pPr>
              <w:spacing w:after="50"/>
              <w:jc w:val="center"/>
            </w:pPr>
            <w:r>
              <w:rPr>
                <w:sz w:val="15"/>
                <w:szCs w:val="15"/>
              </w:rPr>
              <w:t>圖 4  GMM 與 K-means baseline 比較</w:t>
            </w:r>
          </w:p>
        </w:tc>
      </w:tr>
    </w:tbl>
    <w:p w14:paraId="32E00B57" w14:textId="1B0C9193" w:rsidR="00EE2A19" w:rsidRDefault="00000000">
      <w:pPr>
        <w:pStyle w:val="1"/>
        <w:spacing w:after="45"/>
      </w:pPr>
      <w:r>
        <w:rPr>
          <w:szCs w:val="22"/>
        </w:rPr>
        <w:t>4. K-means</w:t>
      </w:r>
    </w:p>
    <w:p w14:paraId="581FD6C1" w14:textId="77777777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K-means baseline 以 silhouette 選得 K=5，silhouette=0.5547。</w:t>
      </w:r>
    </w:p>
    <w:p w14:paraId="587E9542" w14:textId="77777777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lastRenderedPageBreak/>
        <w:t>GMM 的優點是可用 covariance 描述橢圓形群集，並提供 soft probabilistic assignment；因此邊界附近的顧客可用 responsibility 表示分群不確定性。</w:t>
      </w:r>
    </w:p>
    <w:p w14:paraId="0B30FB71" w14:textId="77777777" w:rsidR="00EE2A19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 xml:space="preserve">GMM 的限制是本資料只有 200 </w:t>
      </w:r>
      <w:proofErr w:type="gramStart"/>
      <w:r>
        <w:rPr>
          <w:sz w:val="17"/>
          <w:szCs w:val="17"/>
        </w:rPr>
        <w:t>筆且僅</w:t>
      </w:r>
      <w:proofErr w:type="gramEnd"/>
      <w:r>
        <w:rPr>
          <w:sz w:val="17"/>
          <w:szCs w:val="17"/>
        </w:rPr>
        <w:t>使用收入與消費分數兩個特徵，component 數會受 BIC/AIC 與初始化影響；</w:t>
      </w:r>
      <w:proofErr w:type="gramStart"/>
      <w:r>
        <w:rPr>
          <w:sz w:val="17"/>
          <w:szCs w:val="17"/>
        </w:rPr>
        <w:t>此外，</w:t>
      </w:r>
      <w:proofErr w:type="gramEnd"/>
      <w:r>
        <w:rPr>
          <w:sz w:val="17"/>
          <w:szCs w:val="17"/>
        </w:rPr>
        <w:t>顧客行為不一定完全符合 Gaussian mixture 假設。</w:t>
      </w:r>
    </w:p>
    <w:p w14:paraId="1A578B37" w14:textId="09AB4AEF" w:rsidR="00EE2A19" w:rsidRPr="00AF38E7" w:rsidRDefault="00000000">
      <w:pPr>
        <w:numPr>
          <w:ilvl w:val="0"/>
          <w:numId w:val="1"/>
        </w:numPr>
        <w:spacing w:after="24"/>
      </w:pPr>
      <w:r>
        <w:rPr>
          <w:sz w:val="17"/>
          <w:szCs w:val="17"/>
        </w:rPr>
        <w:t>相較之下，K-means 較簡單、容易解釋，但只提供 hard assignment，且偏向球狀群集。</w:t>
      </w:r>
    </w:p>
    <w:p w14:paraId="673617CC" w14:textId="213BD749" w:rsidR="00AF38E7" w:rsidRPr="00AF38E7" w:rsidRDefault="00AF38E7" w:rsidP="00AF38E7">
      <w:pPr>
        <w:spacing w:after="24"/>
        <w:rPr>
          <w:b/>
          <w:sz w:val="22"/>
          <w:szCs w:val="22"/>
        </w:rPr>
      </w:pPr>
      <w:r>
        <w:rPr>
          <w:b/>
          <w:sz w:val="22"/>
          <w:szCs w:val="22"/>
        </w:rPr>
        <w:t>5. UI screenshot</w:t>
      </w:r>
    </w:p>
    <w:tbl>
      <w:tblPr>
        <w:tblW w:w="10898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2"/>
        <w:gridCol w:w="3632"/>
        <w:gridCol w:w="3634"/>
      </w:tblGrid>
      <w:tr w:rsidR="00EE2A19" w14:paraId="423BF8B8" w14:textId="77777777">
        <w:tc>
          <w:tcPr>
            <w:tcW w:w="3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7F8A6" w14:textId="25E854D5" w:rsidR="00EE2A19" w:rsidRDefault="00000000" w:rsidP="00AF38E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2C5CC59E" wp14:editId="7E1614DD">
                  <wp:extent cx="1874519" cy="1054416"/>
                  <wp:effectExtent l="0" t="0" r="0" b="0"/>
                  <wp:docPr id="5" name="screenshot_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05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F38E7">
              <w:t xml:space="preserve"> </w:t>
            </w:r>
          </w:p>
        </w:tc>
        <w:tc>
          <w:tcPr>
            <w:tcW w:w="3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9D38C" w14:textId="5D0B428C" w:rsidR="00EE2A19" w:rsidRDefault="00000000" w:rsidP="00AF38E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302B53A7" wp14:editId="093500C4">
                  <wp:extent cx="1874519" cy="1054416"/>
                  <wp:effectExtent l="0" t="0" r="0" b="0"/>
                  <wp:docPr id="6" name="screenshot_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05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4F65B" w14:textId="1404E687" w:rsidR="00EE2A19" w:rsidRDefault="00000000" w:rsidP="00AF38E7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516B2389" wp14:editId="163F31CA">
                  <wp:extent cx="1874519" cy="1054416"/>
                  <wp:effectExtent l="0" t="0" r="0" b="0"/>
                  <wp:docPr id="7" name="screenshot_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05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187C2" w14:textId="77777777" w:rsidR="006C5EE1" w:rsidRDefault="006C5EE1"/>
    <w:sectPr w:rsidR="006C5EE1">
      <w:pgSz w:w="11906" w:h="16838"/>
      <w:pgMar w:top="504" w:right="504" w:bottom="504" w:left="504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029EF" w14:textId="77777777" w:rsidR="00CF56EF" w:rsidRDefault="00CF56EF" w:rsidP="00AF38E7">
      <w:pPr>
        <w:spacing w:after="0" w:line="240" w:lineRule="auto"/>
      </w:pPr>
      <w:r>
        <w:separator/>
      </w:r>
    </w:p>
  </w:endnote>
  <w:endnote w:type="continuationSeparator" w:id="0">
    <w:p w14:paraId="209F1905" w14:textId="77777777" w:rsidR="00CF56EF" w:rsidRDefault="00CF56EF" w:rsidP="00AF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F35FC" w14:textId="77777777" w:rsidR="00CF56EF" w:rsidRDefault="00CF56EF" w:rsidP="00AF38E7">
      <w:pPr>
        <w:spacing w:after="0" w:line="240" w:lineRule="auto"/>
      </w:pPr>
      <w:r>
        <w:separator/>
      </w:r>
    </w:p>
  </w:footnote>
  <w:footnote w:type="continuationSeparator" w:id="0">
    <w:p w14:paraId="734A6474" w14:textId="77777777" w:rsidR="00CF56EF" w:rsidRDefault="00CF56EF" w:rsidP="00AF3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7468D"/>
    <w:multiLevelType w:val="multilevel"/>
    <w:tmpl w:val="A962A4B6"/>
    <w:lvl w:ilvl="0">
      <w:start w:val="1"/>
      <w:numFmt w:val="bullet"/>
      <w:lvlText w:val="•"/>
      <w:lvlJc w:val="left"/>
      <w:pPr>
        <w:ind w:left="36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805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2A19"/>
    <w:rsid w:val="0016399C"/>
    <w:rsid w:val="006C5EE1"/>
    <w:rsid w:val="00883D13"/>
    <w:rsid w:val="00AF38E7"/>
    <w:rsid w:val="00BE6A92"/>
    <w:rsid w:val="00CF56EF"/>
    <w:rsid w:val="00EE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BE290"/>
  <w15:docId w15:val="{959EA11D-7CFD-47A9-B01E-3E068889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軟正黑體" w:eastAsia="微軟正黑體"/>
      <w:sz w:val="18"/>
    </w:rPr>
  </w:style>
  <w:style w:type="paragraph" w:styleId="1">
    <w:name w:val="heading 1"/>
    <w:uiPriority w:val="9"/>
    <w:qFormat/>
    <w:pPr>
      <w:spacing w:before="70" w:after="35"/>
      <w:outlineLvl w:val="0"/>
    </w:pPr>
    <w:rPr>
      <w:rFonts w:ascii="微軟正黑體" w:eastAsia="微軟正黑體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  <w:jc w:val="center"/>
    </w:pPr>
    <w:rPr>
      <w:rFonts w:ascii="微軟正黑體" w:eastAsia="微軟正黑體"/>
      <w:b/>
      <w:sz w:val="30"/>
    </w:rPr>
  </w:style>
  <w:style w:type="paragraph" w:styleId="a4">
    <w:name w:val="header"/>
    <w:basedOn w:val="a"/>
    <w:link w:val="a5"/>
    <w:uiPriority w:val="99"/>
    <w:unhideWhenUsed/>
    <w:rsid w:val="00AF38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F38E7"/>
    <w:rPr>
      <w:rFonts w:ascii="微軟正黑體" w:eastAsia="微軟正黑體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F38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F38E7"/>
    <w:rPr>
      <w:rFonts w:ascii="微軟正黑體" w:eastAsia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吳旻融</cp:lastModifiedBy>
  <cp:revision>3</cp:revision>
  <dcterms:created xsi:type="dcterms:W3CDTF">2026-05-22T10:28:00Z</dcterms:created>
  <dcterms:modified xsi:type="dcterms:W3CDTF">2026-05-22T10:45:00Z</dcterms:modified>
</cp:coreProperties>
</file>