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shd w:fill="1F3864" w:color="auto" w:val="clear"/>
            <w:tcMar>
              <w:top w:type="dxa" w:w="700"/>
              <w:left w:type="dxa" w:w="900"/>
              <w:bottom w:type="dxa" w:w="700"/>
              <w:right w:type="dxa" w:w="900"/>
            </w:tcMar>
            <w:vAlign w:val="center"/>
          </w:tcPr>
          <w:p>
            <w:pPr>
              <w:spacing w:after="320"/>
              <w:jc w:val="center"/>
            </w:pPr>
            <w:r>
              <w:rPr>
                <w:rFonts w:ascii="微软雅黑" w:cs="微软雅黑" w:eastAsia="微软雅黑" w:hAnsi="微软雅黑"/>
                <w:color w:val="8FAADC"/>
                <w:sz w:val="18"/>
                <w:szCs w:val="18"/>
              </w:rPr>
              <w:t xml:space="preserve">INTERFACE  ·  API SPECIFICATION</w:t>
            </w:r>
          </w:p>
          <w:p>
            <w:pPr>
              <w:spacing w:after="1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56"/>
                <w:szCs w:val="56"/>
              </w:rPr>
              <w:t xml:space="preserve">上海真仁堂统计汇总</w:t>
            </w:r>
          </w:p>
          <w:p>
            <w:pPr>
              <w:spacing w:after="420"/>
              <w:jc w:val="center"/>
            </w:pPr>
            <w:r>
              <w:rPr>
                <w:rFonts w:ascii="微软雅黑" w:cs="微软雅黑" w:eastAsia="微软雅黑" w:hAnsi="微软雅黑"/>
                <w:color w:val="D6E4F5"/>
                <w:sz w:val="32"/>
                <w:szCs w:val="32"/>
              </w:rPr>
              <w:t xml:space="preserve">查询接口对接文档</w:t>
            </w:r>
          </w:p>
          <w:p>
            <w:pPr>
              <w:pBdr>
                <w:bottom w:val="single" w:color="F0A500" w:sz="6" w:space="8"/>
              </w:pBdr>
              <w:spacing w:after="140"/>
              <w:jc w:val="center"/>
            </w:pPr>
          </w:p>
          <w:p>
            <w:pPr>
              <w:spacing w:before="220"/>
              <w:jc w:val="center"/>
            </w:pPr>
            <w:r>
              <w:rPr>
                <w:rFonts w:ascii="微软雅黑" w:cs="微软雅黑" w:eastAsia="微软雅黑" w:hAnsi="微软雅黑"/>
                <w:color w:val="B9CBE8"/>
                <w:sz w:val="20"/>
                <w:szCs w:val="20"/>
              </w:rPr>
              <w:t xml:space="preserve">版本 v1.0　|　编制日期 2026-08-13　|　编制单位：信息科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10" w:hRule="exact"/>
        </w:trPr>
        <w:tc>
          <w:tcPr>
            <w:shd w:fill="F0A5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before="400"/>
      </w:pPr>
    </w:p>
    <w:p>
      <w:pPr>
        <w:sectPr>
          <w:pgSz w:w="11906" w:h="16838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pStyle w:val="Heading1"/>
        <w:spacing w:after="220" w:before="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目　　录</w:t>
      </w:r>
    </w:p>
    <w:tbl>
      <w:tblPr>
        <w:tblW w:type="dxa" w:w="9026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none" w:color="auto" w:sz="0"/>
          <w:insideV w:val="none" w:color="auto" w:sz="0"/>
        </w:tblBorders>
        <w:tblLayout w:type="fixed"/>
      </w:tblPr>
      <w:tblGrid>
        <w:gridCol w:w="1200"/>
        <w:gridCol w:w="7826"/>
      </w:tblGrid>
      <w:tr>
        <w:tc>
          <w:tcPr>
            <w:tcW w:type="dxa" w:w="1200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b/>
                <w:bCs/>
                <w:color w:val="1F4E79"/>
                <w:sz w:val="20"/>
                <w:szCs w:val="20"/>
              </w:rPr>
              <w:t xml:space="preserve">01</w:t>
            </w:r>
          </w:p>
        </w:tc>
        <w:tc>
          <w:tcPr>
            <w:tcW w:type="dxa" w:w="7826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基本信息</w:t>
            </w:r>
          </w:p>
        </w:tc>
      </w:tr>
      <w:tr>
        <w:tc>
          <w:tcPr>
            <w:tcW w:type="dxa" w:w="1200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b/>
                <w:bCs/>
                <w:color w:val="1F4E79"/>
                <w:sz w:val="20"/>
                <w:szCs w:val="20"/>
              </w:rPr>
              <w:t xml:space="preserve">02</w:t>
            </w:r>
          </w:p>
        </w:tc>
        <w:tc>
          <w:tcPr>
            <w:tcW w:type="dxa" w:w="7826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鉴权说明</w:t>
            </w:r>
          </w:p>
        </w:tc>
      </w:tr>
      <w:tr>
        <w:tc>
          <w:tcPr>
            <w:tcW w:type="dxa" w:w="1200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b/>
                <w:bCs/>
                <w:color w:val="1F4E79"/>
                <w:sz w:val="20"/>
                <w:szCs w:val="20"/>
              </w:rPr>
              <w:t xml:space="preserve">03</w:t>
            </w:r>
          </w:p>
        </w:tc>
        <w:tc>
          <w:tcPr>
            <w:tcW w:type="dxa" w:w="7826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请求参数</w:t>
            </w:r>
          </w:p>
        </w:tc>
      </w:tr>
      <w:tr>
        <w:tc>
          <w:tcPr>
            <w:tcW w:type="dxa" w:w="1200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b/>
                <w:bCs/>
                <w:color w:val="1F4E79"/>
                <w:sz w:val="20"/>
                <w:szCs w:val="20"/>
              </w:rPr>
              <w:t xml:space="preserve">04</w:t>
            </w:r>
          </w:p>
        </w:tc>
        <w:tc>
          <w:tcPr>
            <w:tcW w:type="dxa" w:w="7826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返回说明</w:t>
            </w:r>
          </w:p>
        </w:tc>
      </w:tr>
      <w:tr>
        <w:tc>
          <w:tcPr>
            <w:tcW w:type="dxa" w:w="1200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b/>
                <w:bCs/>
                <w:color w:val="1F4E79"/>
                <w:sz w:val="20"/>
                <w:szCs w:val="20"/>
              </w:rPr>
              <w:t xml:space="preserve">05</w:t>
            </w:r>
          </w:p>
        </w:tc>
        <w:tc>
          <w:tcPr>
            <w:tcW w:type="dxa" w:w="7826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调用示例</w:t>
            </w:r>
          </w:p>
        </w:tc>
      </w:tr>
      <w:tr>
        <w:tc>
          <w:tcPr>
            <w:tcW w:type="dxa" w:w="1200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b/>
                <w:bCs/>
                <w:color w:val="1F4E79"/>
                <w:sz w:val="20"/>
                <w:szCs w:val="20"/>
              </w:rPr>
              <w:t xml:space="preserve">06</w:t>
            </w:r>
          </w:p>
        </w:tc>
        <w:tc>
          <w:tcPr>
            <w:tcW w:type="dxa" w:w="7826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常见问题</w:t>
            </w:r>
          </w:p>
        </w:tc>
      </w:tr>
      <w:tr>
        <w:tc>
          <w:tcPr>
            <w:tcW w:type="dxa" w:w="1200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b/>
                <w:bCs/>
                <w:color w:val="1F4E79"/>
                <w:sz w:val="20"/>
                <w:szCs w:val="20"/>
              </w:rPr>
              <w:t xml:space="preserve">07</w:t>
            </w:r>
          </w:p>
        </w:tc>
        <w:tc>
          <w:tcPr>
            <w:tcW w:type="dxa" w:w="7826"/>
            <w:shd w:fill="F7FAF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相关页面</w:t>
            </w:r>
          </w:p>
        </w:tc>
      </w:tr>
    </w:tbl>
    <w:p>
      <w:pPr>
        <w:spacing w:after="0"/>
      </w:pPr>
    </w:p>
    <w:p>
      <w:pPr>
        <w:pStyle w:val="Heading1"/>
        <w:pBdr>
          <w:left w:val="single" w:color="1F4E79" w:sz="28" w:space="8"/>
        </w:pBdr>
        <w:shd w:fill="EAF1F8" w:color="auto" w:val="clear"/>
        <w:spacing w:after="180" w:before="32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一、基本信息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26"/>
      </w:tblGrid>
      <w:tr>
        <w:tc>
          <w:tcPr>
            <w:tcW w:type="dxa" w:w="2200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26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接口地址</w:t>
            </w:r>
          </w:p>
        </w:tc>
        <w:tc>
          <w:tcPr>
            <w:tcW w:type="dxa" w:w="68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请求方式</w:t>
            </w:r>
          </w:p>
        </w:tc>
        <w:tc>
          <w:tcPr>
            <w:tcW w:type="dxa" w:w="68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POST </w:t>
            </w: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　仅支持 POST，GET 不可用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68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JSON（UTF-8）</w:t>
            </w:r>
          </w:p>
        </w:tc>
      </w:tr>
      <w:tr>
        <w:tc>
          <w:tcPr>
            <w:tcW w:type="dxa" w:w="22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鉴权方式</w:t>
            </w:r>
          </w:p>
        </w:tc>
        <w:tc>
          <w:tcPr>
            <w:tcW w:type="dxa" w:w="68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请求头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X-Api-Key: &lt;密钥&gt;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68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fghis5..上海真仁堂统计汇总</w:t>
            </w: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　表（「加工费及快递费汇总」页面「导入到OA」写入）</w:t>
            </w:r>
          </w:p>
        </w:tc>
      </w:tr>
    </w:tbl>
    <w:p>
      <w:pPr>
        <w:pBdr>
          <w:left w:val="single" w:color="F0A500" w:sz="18" w:space="6"/>
        </w:pBdr>
        <w:shd w:fill="FFF8E1" w:color="auto" w:val="clear"/>
        <w:spacing w:after="140" w:before="80" w:line="300"/>
        <w:ind w:left="160" w:right="160"/>
      </w:pPr>
      <w:r>
        <w:rPr>
          <w:rFonts w:ascii="Calibri" w:cs="Calibri" w:eastAsia="微软雅黑" w:hAnsi="Calibri"/>
          <w:color w:val="8A6D00"/>
          <w:sz w:val="21"/>
          <w:szCs w:val="21"/>
        </w:rPr>
        <w:t xml:space="preserve">⚠️ 端口为 8080，非 80。</w:t>
      </w:r>
    </w:p>
    <w:p>
      <w:pPr>
        <w:pStyle w:val="Heading1"/>
        <w:pBdr>
          <w:left w:val="single" w:color="1F4E79" w:sz="28" w:space="8"/>
        </w:pBdr>
        <w:shd w:fill="EAF1F8" w:color="auto" w:val="clear"/>
        <w:spacing w:after="180" w:before="32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二、鉴权说明</w:t>
      </w:r>
    </w:p>
    <w:p>
      <w:pPr>
        <w:spacing w:after="80"/>
      </w:pPr>
      <w:r>
        <w:rPr>
          <w:rFonts w:ascii="Calibri" w:cs="Calibri" w:eastAsia="微软雅黑" w:hAnsi="Calibri"/>
          <w:color w:val="333333"/>
          <w:sz w:val="21"/>
          <w:szCs w:val="21"/>
        </w:rPr>
        <w:t xml:space="preserve">调用方必须携带访问密钥，以下三种传法任选其一：</w:t>
      </w:r>
    </w:p>
    <w:p>
      <w:pPr>
        <w:spacing w:after="60" w:before="80"/>
      </w:pPr>
      <w:r>
        <w:rPr>
          <w:rFonts w:ascii="Calibri" w:cs="Calibri" w:eastAsia="微软雅黑" w:hAnsi="Calibri"/>
          <w:b/>
          <w:bCs/>
          <w:color w:val="1F4E79"/>
          <w:sz w:val="21"/>
          <w:szCs w:val="21"/>
        </w:rPr>
        <w:t xml:space="preserve">1. 推荐：</w:t>
      </w:r>
      <w:r>
        <w:rPr>
          <w:rFonts w:ascii="Calibri" w:cs="Calibri" w:eastAsia="微软雅黑" w:hAnsi="Calibri"/>
          <w:color w:val="333333"/>
          <w:sz w:val="21"/>
          <w:szCs w:val="21"/>
        </w:rPr>
        <w:t xml:space="preserve">自定义请求头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X-Api-Key: zrt-oa-2026</w:t>
      </w:r>
    </w:p>
    <w:p>
      <w:pPr>
        <w:spacing w:after="60" w:before="140"/>
      </w:pPr>
      <w:r>
        <w:rPr>
          <w:rFonts w:ascii="Calibri" w:cs="Calibri" w:eastAsia="微软雅黑" w:hAnsi="Calibri"/>
          <w:b/>
          <w:bCs/>
          <w:color w:val="1F4E79"/>
          <w:sz w:val="21"/>
          <w:szCs w:val="21"/>
        </w:rPr>
        <w:t xml:space="preserve">2. 兼容方式：</w:t>
      </w:r>
      <w:r>
        <w:rPr>
          <w:rFonts w:ascii="Calibri" w:cs="Calibri" w:eastAsia="微软雅黑" w:hAnsi="Calibri"/>
          <w:color w:val="333333"/>
          <w:sz w:val="21"/>
          <w:szCs w:val="21"/>
        </w:rPr>
        <w:t xml:space="preserve">标准 Bearer 请求头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zrt-oa-2026</w:t>
      </w:r>
    </w:p>
    <w:p>
      <w:pPr>
        <w:spacing w:after="60" w:before="140"/>
      </w:pPr>
      <w:r>
        <w:rPr>
          <w:rFonts w:ascii="Calibri" w:cs="Calibri" w:eastAsia="微软雅黑" w:hAnsi="Calibri"/>
          <w:b/>
          <w:bCs/>
          <w:color w:val="1F4E79"/>
          <w:sz w:val="21"/>
          <w:szCs w:val="21"/>
        </w:rPr>
        <w:t xml:space="preserve">3. 代理/浏览器直调：</w:t>
      </w:r>
      <w:r>
        <w:rPr>
          <w:rFonts w:ascii="Calibri" w:cs="Calibri" w:eastAsia="微软雅黑" w:hAnsi="Calibri"/>
          <w:color w:val="333333"/>
          <w:sz w:val="21"/>
          <w:szCs w:val="21"/>
        </w:rPr>
        <w:t xml:space="preserve">查询字符串或表单 body 带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key</w:t>
      </w:r>
      <w:r>
        <w:rPr>
          <w:rFonts w:ascii="Calibri" w:cs="Calibri" w:eastAsia="微软雅黑" w:hAnsi="Calibri"/>
          <w:color w:val="333333"/>
          <w:sz w:val="21"/>
          <w:szCs w:val="21"/>
        </w:rPr>
        <w:t xml:space="preserve">（无法自定义请求头时使用，如 OA 代理、浏览器地址栏）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/OaApi/GetZhenRenTangStats?month=2026-08&amp;key=zrt-oa-2026</w:t>
      </w:r>
    </w:p>
    <w:p>
      <w:pPr>
        <w:pBdr>
          <w:left w:val="single" w:color="F0A500" w:sz="18" w:space="6"/>
        </w:pBdr>
        <w:shd w:fill="FFF8E1" w:color="auto" w:val="clear"/>
        <w:spacing w:after="140" w:before="80" w:line="300"/>
        <w:ind w:left="160" w:right="160"/>
      </w:pPr>
      <w:r>
        <w:rPr>
          <w:rFonts w:ascii="Calibri" w:cs="Calibri" w:eastAsia="微软雅黑" w:hAnsi="Calibri"/>
          <w:color w:val="8A6D00"/>
          <w:sz w:val="21"/>
          <w:szCs w:val="21"/>
        </w:rPr>
        <w:t xml:space="preserve">密钥由我方线下提供。密钥错误或缺失时，接口返回 {"success":false,"msg":"无效的访问密钥"}。</w:t>
      </w:r>
    </w:p>
    <w:p>
      <w:pPr>
        <w:pStyle w:val="Heading1"/>
        <w:pBdr>
          <w:left w:val="single" w:color="1F4E79" w:sz="28" w:space="8"/>
        </w:pBdr>
        <w:shd w:fill="EAF1F8" w:color="auto" w:val="clear"/>
        <w:spacing w:after="180" w:before="32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三、请求参数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200"/>
        <w:gridCol w:w="900"/>
        <w:gridCol w:w="5526"/>
      </w:tblGrid>
      <w:tr>
        <w:tc>
          <w:tcPr>
            <w:tcW w:type="dxa" w:w="1400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526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55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月份，格式 yyyy-MM，如 2026-08。可放在查询字符串或表单 body 中；省略时返回全部月份（按月份倒序）</w:t>
            </w:r>
          </w:p>
        </w:tc>
      </w:tr>
      <w:tr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55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访问密钥。可放在查询字符串或表单 body 中（请求头 X-Api-Key / Authorization: Bearer 仍可用）。密钥错误或缺失时返回“无效的访问密钥”</w:t>
            </w:r>
          </w:p>
        </w:tc>
      </w:tr>
    </w:tbl>
    <w:p>
      <w:pPr>
        <w:spacing w:after="60" w:before="120"/>
      </w:pPr>
      <w:r>
        <w:rPr>
          <w:rFonts w:ascii="Calibri" w:cs="Calibri" w:eastAsia="微软雅黑" w:hAnsi="Calibri"/>
          <w:b/>
          <w:bCs/>
          <w:color w:val="1F4E79"/>
          <w:sz w:val="21"/>
          <w:szCs w:val="21"/>
        </w:rPr>
        <w:t xml:space="preserve">示例请求参数形式（两种等价）：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查询字符串：POST /OaApi/GetZhenRenTangStats?month=2026-08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表单 body：　POST /OaApi/GetZhenRenTangStats ，body = month=2026-08</w:t>
      </w:r>
    </w:p>
    <w:p>
      <w:pPr>
        <w:pStyle w:val="Heading1"/>
        <w:pBdr>
          <w:left w:val="single" w:color="1F4E79" w:sz="28" w:space="8"/>
        </w:pBdr>
        <w:shd w:fill="EAF1F8" w:color="auto" w:val="clear"/>
        <w:spacing w:after="180" w:before="32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四、返回说明</w:t>
      </w:r>
    </w:p>
    <w:p>
      <w:pPr>
        <w:pStyle w:val="Heading2"/>
        <w:pBdr>
          <w:bottom w:val="single" w:color="9BB7D4" w:sz="6" w:space="4"/>
        </w:pBdr>
        <w:spacing w:after="120" w:before="200" w:line="28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4.1 成功返回示例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[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"序号": 4,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"月份": "2026-07",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"开始日期": "2026-07-01",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"结束日期": "2026-07-31",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"应付加工费": 4257.18,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"应付快递费": 470.00,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"导入时间": "\/Date(1786609765923)\/",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"应付总金额": 4727.18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pBdr>
          <w:bottom w:val="single" w:color="9BB7D4" w:sz="6" w:space="4"/>
        </w:pBdr>
        <w:spacing w:after="120" w:before="200" w:line="28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4.2 字段说明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200"/>
        <w:gridCol w:w="5326"/>
      </w:tblGrid>
      <w:tr>
        <w:tc>
          <w:tcPr>
            <w:tcW w:type="dxa" w:w="2500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是否成功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数据列表，按月份倒序排列</w:t>
            </w:r>
          </w:p>
        </w:tc>
      </w:tr>
      <w:tr>
        <w:tc>
          <w:tcPr>
            <w:tcW w:type="dxa" w:w="2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3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统计月份，格式 yyyy-MM</w:t>
            </w:r>
          </w:p>
        </w:tc>
      </w:tr>
      <w:tr>
        <w:tc>
          <w:tcPr>
            <w:tcW w:type="dxa" w:w="2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统计月份起始日，格式 yyyy-MM-dd（导入时写入，即当月 1 日）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统计月份结束日，格式 yyyy-MM-dd（导入时写入，即当月月末）</w:t>
            </w:r>
          </w:p>
        </w:tc>
      </w:tr>
      <w:tr>
        <w:tc>
          <w:tcPr>
            <w:tcW w:type="dxa" w:w="2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3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该月应付加工费（合计）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3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该月应付快递费（合计）</w:t>
            </w:r>
          </w:p>
        </w:tc>
      </w:tr>
      <w:tr>
        <w:tc>
          <w:tcPr>
            <w:tcW w:type="dxa" w:w="2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导入时间（微软 JSON 日期格式，形如 \/Date(毫秒时间戳)\/）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3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该月应付总金额（= 应付加工费 + 应付快递费，导入时写入）</w:t>
            </w:r>
          </w:p>
        </w:tc>
      </w:tr>
    </w:tbl>
    <w:p>
      <w:pPr>
        <w:pBdr>
          <w:left w:val="single" w:color="F0A500" w:sz="18" w:space="6"/>
        </w:pBdr>
        <w:shd w:fill="FFF8E1" w:color="auto" w:val="clear"/>
        <w:spacing w:after="140" w:before="80" w:line="300"/>
        <w:ind w:left="160" w:right="160"/>
      </w:pPr>
      <w:r>
        <w:rPr>
          <w:rFonts w:ascii="Calibri" w:cs="Calibri" w:eastAsia="微软雅黑" w:hAnsi="Calibri"/>
          <w:color w:val="8A6D00"/>
          <w:sz w:val="21"/>
          <w:szCs w:val="21"/>
        </w:rPr>
        <w:t xml:space="preserve">导入时间为 .NET 序列化的日期格式，如需普通时间可解析括号内毫秒时间戳：new Date(1786609765923)。开始日期/结束日期/应付总金额为表中实际存储的字段，由「导入到OA」写入：开始=当月1日，结束=当月月末，应付总金额=应付加工费+应付快递费。若某月份尚未导入，data 为空数组 []，success 仍为 true。</w:t>
      </w:r>
    </w:p>
    <w:p>
      <w:pPr>
        <w:pStyle w:val="Heading2"/>
        <w:pBdr>
          <w:bottom w:val="single" w:color="9BB7D4" w:sz="6" w:space="4"/>
        </w:pBdr>
        <w:spacing w:after="120" w:before="200" w:line="28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4.3 失败返回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26"/>
      </w:tblGrid>
      <w:tr>
        <w:tc>
          <w:tcPr>
            <w:tcW w:type="dxa" w:w="2800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226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返回</w:t>
            </w:r>
          </w:p>
        </w:tc>
      </w:tr>
      <w:tr>
        <w:tc>
          <w:tcPr>
            <w:tcW w:type="dxa" w:w="2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密钥缺失或错误</w:t>
            </w:r>
          </w:p>
        </w:tc>
        <w:tc>
          <w:tcPr>
            <w:tcW w:type="dxa" w:w="62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服务异常</w:t>
            </w:r>
          </w:p>
        </w:tc>
        <w:tc>
          <w:tcPr>
            <w:tcW w:type="dxa" w:w="62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default"/>
            </w:r>
          </w:p>
        </w:tc>
      </w:tr>
    </w:tbl>
    <w:p>
      <w:pPr>
        <w:pStyle w:val="Heading1"/>
        <w:pBdr>
          <w:left w:val="single" w:color="1F4E79" w:sz="28" w:space="8"/>
        </w:pBdr>
        <w:shd w:fill="EAF1F8" w:color="auto" w:val="clear"/>
        <w:spacing w:after="180" w:before="32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五、调用示例</w:t>
      </w:r>
    </w:p>
    <w:p>
      <w:pPr>
        <w:pStyle w:val="Heading2"/>
        <w:pBdr>
          <w:bottom w:val="single" w:color="9BB7D4" w:sz="6" w:space="4"/>
        </w:pBdr>
        <w:spacing w:after="120" w:before="200" w:line="28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5.1 curl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查询指定月份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"http://172.68.1.12:8080/OaApi/GetZhenRenTangStats" \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"X-Api-Key: zrt-oa-2026" \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 "month=2026-07"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查询全部月份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"http://172.68.1.12:8080/OaApi/GetZhenRenTangStats" \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"X-Api-Key: zrt-oa-2026" \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 ""</w:t>
      </w:r>
    </w:p>
    <w:p>
      <w:pPr>
        <w:pBdr>
          <w:left w:val="single" w:color="F0A500" w:sz="18" w:space="6"/>
        </w:pBdr>
        <w:shd w:fill="FFF8E1" w:color="auto" w:val="clear"/>
        <w:spacing w:after="140" w:before="80" w:line="300"/>
        <w:ind w:left="160" w:right="160"/>
      </w:pPr>
      <w:r>
        <w:rPr>
          <w:rFonts w:ascii="Calibri" w:cs="Calibri" w:eastAsia="微软雅黑" w:hAnsi="Calibri"/>
          <w:color w:val="8A6D00"/>
          <w:sz w:val="21"/>
          <w:szCs w:val="21"/>
        </w:rPr>
        <w:t xml:space="preserve">⚠️ 注意：POST 请求必须带 body（哪怕为空 -d ""），否则 IIS 会返回 HTTP 411「Length Required」。</w:t>
      </w:r>
    </w:p>
    <w:p>
      <w:pPr>
        <w:pStyle w:val="Heading2"/>
        <w:pBdr>
          <w:bottom w:val="single" w:color="9BB7D4" w:sz="6" w:space="4"/>
        </w:pBdr>
        <w:spacing w:after="120" w:before="200" w:line="28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5.2 JavaScript（fetch）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res = await fetch('http://172.68.1.12:8080/OaApi/GetZhenRenTangStats', {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method: 'POST',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headers: { 'Content-Type': 'application/x-www-form-urlencoded',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'X-Api-Key': 'zrt-oa-2026' },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body: 'month=2026-07'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json = await res.json();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(json.success) {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console.log(json.data);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else {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console.error(json.msg);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pBdr>
          <w:bottom w:val="single" w:color="9BB7D4" w:sz="6" w:space="4"/>
        </w:pBdr>
        <w:spacing w:after="120" w:before="200" w:line="28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5.3 C#（HttpClient）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using (var client = new HttpClient())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client.DefaultRequestHeaders.Add("X-Api-Key", "zrt-oa-2026");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var content = new FormUrlEncodedContent(new[] {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new KeyValuePair&lt;string, string&gt;("month", "2026-07")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var resp = await client.PostAsync(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"http://172.68.1.12:8080/OaApi/GetZhenRenTangStats", content);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var json = await resp.Content.ReadAsStringAsync();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pBdr>
          <w:bottom w:val="single" w:color="9BB7D4" w:sz="6" w:space="4"/>
        </w:pBdr>
        <w:spacing w:after="120" w:before="200" w:line="28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5.4 Java（OkHttp）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OkHttpClient client = new OkHttpClient();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RequestBody body = new FormBody.Builder()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.add("month", "2026-07")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.build();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 request = new Request.Builder()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.url("http://172.68.1.12:8080/OaApi/GetZhenRenTangStats")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.post(body)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.header("X-Api-Key", "zrt-oa-2026")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.build();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try (Response response = client.newCall(request).execute()) {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System.out.println(response.body().string());</w:t>
      </w:r>
    </w:p>
    <w:p>
      <w:pPr>
        <w:pBdr>
          <w:left w:val="single" w:color="2E74B5" w:sz="18" w:space="6"/>
        </w:pBdr>
        <w:shd w:fill="F5F5F5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left w:val="single" w:color="1F4E79" w:sz="28" w:space="8"/>
        </w:pBdr>
        <w:shd w:fill="EAF1F8" w:color="auto" w:val="clear"/>
        <w:spacing w:after="180" w:before="32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六、常见问题</w:t>
      </w:r>
    </w:p>
    <w:p>
      <w:pPr>
        <w:spacing w:after="100"/>
      </w:pPr>
      <w:r>
        <w:rPr>
          <w:rFonts w:ascii="Calibri" w:cs="Calibri" w:eastAsia="微软雅黑" w:hAnsi="Calibri"/>
          <w:b/>
          <w:bCs/>
          <w:color w:val="1F4E79"/>
          <w:sz w:val="21"/>
          <w:szCs w:val="21"/>
        </w:rPr>
        <w:t xml:space="preserve">1. 为什么报 411？</w:t>
      </w:r>
      <w:r>
        <w:rPr>
          <w:rFonts w:ascii="Calibri" w:cs="Calibri" w:eastAsia="微软雅黑" w:hAnsi="Calibri"/>
          <w:color w:val="333333"/>
          <w:sz w:val="21"/>
          <w:szCs w:val="21"/>
        </w:rPr>
        <w:t xml:space="preserve">　服务器为 IIS，POST 请求必须包含 body（Content-Length 不能为空）。用 curl 时请加 -d "" 或实际参数。</w:t>
      </w:r>
    </w:p>
    <w:p>
      <w:pPr>
        <w:spacing w:after="100"/>
      </w:pPr>
      <w:r>
        <w:rPr>
          <w:rFonts w:ascii="Calibri" w:cs="Calibri" w:eastAsia="微软雅黑" w:hAnsi="Calibri"/>
          <w:b/>
          <w:bCs/>
          <w:color w:val="1F4E79"/>
          <w:sz w:val="21"/>
          <w:szCs w:val="21"/>
        </w:rPr>
        <w:t xml:space="preserve">2. 返回「无效的访问密钥」？</w:t>
      </w:r>
      <w:r>
        <w:rPr>
          <w:rFonts w:ascii="Calibri" w:cs="Calibri" w:eastAsia="微软雅黑" w:hAnsi="Calibri"/>
          <w:color w:val="333333"/>
          <w:sz w:val="21"/>
          <w:szCs w:val="21"/>
        </w:rPr>
        <w:t xml:space="preserve">　请确认请求头名称 X-Api-Key 拼写正确、密钥与我方提供的一致。</w:t>
      </w:r>
    </w:p>
    <w:p>
      <w:pPr>
        <w:spacing w:after="100"/>
      </w:pPr>
      <w:r>
        <w:rPr>
          <w:rFonts w:ascii="Calibri" w:cs="Calibri" w:eastAsia="微软雅黑" w:hAnsi="Calibri"/>
          <w:b/>
          <w:bCs/>
          <w:color w:val="1F4E79"/>
          <w:sz w:val="21"/>
          <w:szCs w:val="21"/>
        </w:rPr>
        <w:t xml:space="preserve">3. 查不到某月数据？</w:t>
      </w:r>
      <w:r>
        <w:rPr>
          <w:rFonts w:ascii="Calibri" w:cs="Calibri" w:eastAsia="微软雅黑" w:hAnsi="Calibri"/>
          <w:color w:val="333333"/>
          <w:sz w:val="21"/>
          <w:szCs w:val="21"/>
        </w:rPr>
        <w:t xml:space="preserve">　该月尚未在「加工费及快递费汇总」页面执行「导入到OA」。需足月查询（整月 1 日~月末）后才能导入。</w:t>
      </w:r>
    </w:p>
    <w:p>
      <w:pPr>
        <w:spacing w:after="100"/>
      </w:pPr>
      <w:r>
        <w:rPr>
          <w:rFonts w:ascii="Calibri" w:cs="Calibri" w:eastAsia="微软雅黑" w:hAnsi="Calibri"/>
          <w:b/>
          <w:bCs/>
          <w:color w:val="1F4E79"/>
          <w:sz w:val="21"/>
          <w:szCs w:val="21"/>
        </w:rPr>
        <w:t xml:space="preserve">4. 同一月份可以导入多次吗？</w:t>
      </w:r>
      <w:r>
        <w:rPr>
          <w:rFonts w:ascii="Calibri" w:cs="Calibri" w:eastAsia="微软雅黑" w:hAnsi="Calibri"/>
          <w:color w:val="333333"/>
          <w:sz w:val="21"/>
          <w:szCs w:val="21"/>
        </w:rPr>
        <w:t xml:space="preserve">　不可以。重复导入会提示「该月份已导入」，需先删除表中该月数据。</w:t>
      </w:r>
    </w:p>
    <w:p>
      <w:pPr>
        <w:pStyle w:val="Heading1"/>
        <w:pBdr>
          <w:left w:val="single" w:color="1F4E79" w:sz="28" w:space="8"/>
        </w:pBdr>
        <w:shd w:fill="EAF1F8" w:color="auto" w:val="clear"/>
        <w:spacing w:after="180" w:before="32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七、相关页面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526"/>
            <w:shd w:fill="2E74B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2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数据来源（导入）</w:t>
            </w:r>
          </w:p>
        </w:tc>
        <w:tc>
          <w:tcPr>
            <w:tcW w:type="dxa" w:w="652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医院信息系统 → 药品信息核对 → 加工费及快递费汇总 → 「导入到OA」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数据表</w:t>
            </w:r>
          </w:p>
        </w:tc>
        <w:tc>
          <w:tcPr>
            <w:tcW w:type="dxa" w:w="6526"/>
            <w:shd w:fill="F2F7F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fghis5..上海真仁堂统计汇总</w:t>
            </w:r>
            <w:r>
              <w:rPr>
                <w:rFonts w:ascii="Calibri" w:cs="Calibri" w:eastAsia="微软雅黑" w:hAnsi="Calibri"/>
                <w:color w:val="333333"/>
                <w:sz w:val="20"/>
                <w:szCs w:val="20"/>
              </w:rPr>
              <w:t xml:space="preserve">（字段：序号、月份、开始日期、结束日期、应付加工费、应付快递费、应付总金额、导入时间）</w:t>
            </w:r>
          </w:p>
        </w:tc>
      </w:tr>
    </w:tbl>
    <w:p>
      <w:pPr>
        <w:spacing w:before="400"/>
        <w:jc w:val="center"/>
      </w:pPr>
      <w:r>
        <w:rPr>
          <w:rFonts w:ascii="微软雅黑" w:cs="微软雅黑" w:eastAsia="微软雅黑" w:hAnsi="微软雅黑"/>
          <w:color w:val="9AA5B1"/>
          <w:sz w:val="20"/>
          <w:szCs w:val="20"/>
        </w:rPr>
        <w:t xml:space="preserve">— 文档结束，如有疑问请联系信息科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4"/>
      </w:pBdr>
      <w:jc w:val="center"/>
    </w:pPr>
    <w:r>
      <w:rPr>
        <w:rFonts w:ascii="微软雅黑" w:cs="微软雅黑" w:eastAsia="微软雅黑" w:hAnsi="微软雅黑"/>
        <w:color w:val="808080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4" w:sz="4" w:space="4"/>
      </w:pBdr>
      <w:jc w:val="right"/>
    </w:pPr>
    <w:r>
      <w:rPr>
        <w:rFonts w:ascii="微软雅黑" w:cs="微软雅黑" w:eastAsia="微软雅黑" w:hAnsi="微软雅黑"/>
        <w:color w:val="9AA5B1"/>
        <w:sz w:val="16"/>
        <w:szCs w:val="16"/>
      </w:rPr>
      <w:t xml:space="preserve">上海真仁堂统计汇总 · 查询接口文档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软雅黑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上海真仁堂统计汇总 查询接口文档</dc:title>
  <dc:creator>信息科</dc:creator>
  <dc:description>第三方接口对接文档</dc:description>
  <cp:lastModifiedBy>Un-named</cp:lastModifiedBy>
  <cp:revision>1</cp:revision>
  <dcterms:created xsi:type="dcterms:W3CDTF">2026-08-14T08:04:26.807Z</dcterms:created>
  <dcterms:modified xsi:type="dcterms:W3CDTF">2026-08-14T08:04:26.808Z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