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s"/>
      </w:pPr>
      <w:r>
        <w:t xml:space="preserve">Matthew</w:t>
      </w:r>
      <w:r>
        <w:t xml:space="preserve"> </w:t>
      </w:r>
      <w:r>
        <w:t xml:space="preserve">X.</w:t>
      </w:r>
      <w:r>
        <w:t xml:space="preserve"> </w:t>
      </w:r>
      <w:r>
        <w:t xml:space="preserve">Curinga</w:t>
      </w:r>
    </w:p>
    <w:p>
      <w:r>
        <w:rPr>
          <w:b/>
        </w:rPr>
        <w:t xml:space="preserve">Educational Technology 0850-620, Spring 2013</w:t>
      </w:r>
    </w:p>
    <w:p>
      <w:r>
        <w:rPr>
          <w:b/>
        </w:rPr>
        <w:t xml:space="preserve">Keywords:</w:t>
      </w:r>
      <w:r>
        <w:t xml:space="preserve"> </w:t>
      </w:r>
      <w:r>
        <w:t xml:space="preserve">studio pedagogy, interaction design, multimedia learning, digital studio, ed tech capstone, instructional design</w:t>
      </w:r>
    </w:p>
    <w:p>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Quote"/>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Link"/>
          </w:rPr>
          <w:t xml:space="preserve">StudyPlace</w:t>
        </w:r>
      </w:hyperlink>
    </w:p>
    <w:p>
      <w:pPr>
        <w:pStyle w:val="BlockQuote"/>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bookmarkStart w:id="22" w:name="spring-2013-studio-debt"/>
    <w:p>
      <w:pPr>
        <w:pStyle w:val="Heading2"/>
      </w:pPr>
      <w:r>
        <w:t xml:space="preserve">Spring 2013 Studio: Debt</w:t>
      </w:r>
    </w:p>
    <w:bookmarkEnd w:id="22"/>
    <w:p>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5"/>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r>
        <w:t xml:space="preserve">Debt is one of the defining characteristics of our times. Student debt in the U.S. has passed the one trillion dollar mark.</w:t>
      </w:r>
      <w:r>
        <w:t xml:space="preserve"> </w:t>
      </w:r>
      <w:hyperlink r:id="rId26">
        <w:r>
          <w:rPr>
            <w:rStyle w:val="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7">
        <w:r>
          <w:rPr>
            <w:rStyle w:val="Link"/>
          </w:rPr>
          <w:t xml:space="preserve">$20 billion behind in paying back their credit card debt</w:t>
        </w:r>
      </w:hyperlink>
      <w:r>
        <w:t xml:space="preserve">.</w:t>
      </w:r>
    </w:p>
    <w:p>
      <w:r>
        <w:t xml:space="preserve">This studio challenges students to create multimedia learning artifacts that explore the history and contemporary issues surrounding debt.</w:t>
      </w:r>
    </w:p>
    <w:bookmarkStart w:id="28" w:name="goals"/>
    <w:p>
      <w:pPr>
        <w:pStyle w:val="Heading2"/>
      </w:pPr>
      <w:r>
        <w:t xml:space="preserve">Goals</w:t>
      </w:r>
    </w:p>
    <w:bookmarkEnd w:id="28"/>
    <w:p>
      <w:r>
        <w:t xml:space="preserve">This course is designed to challenge students to develop their abilities as instructional designers and as authors and producers of digital media for learning. Specifically, they should learn to:</w:t>
      </w:r>
    </w:p>
    <w:p>
      <w:pPr>
        <w:pStyle w:val="Compact"/>
        <w:numPr>
          <w:numId w:val="2"/>
          <w:ilvl w:val="0"/>
        </w:numPr>
      </w:pPr>
      <w:r>
        <w:t xml:space="preserve">design an effective digital learning environment that is intuitive to use and follows principles of Universal Design for Learning</w:t>
      </w:r>
    </w:p>
    <w:p>
      <w:pPr>
        <w:pStyle w:val="Compact"/>
        <w:numPr>
          <w:numId w:val="2"/>
          <w:ilvl w:val="0"/>
        </w:numPr>
      </w:pPr>
      <w:r>
        <w:t xml:space="preserve">develop in-depth skill in one area of digital production: video editing, graphic design, game design, computer programming, web design, etc.</w:t>
      </w:r>
    </w:p>
    <w:p>
      <w:pPr>
        <w:pStyle w:val="Compact"/>
        <w:numPr>
          <w:numId w:val="2"/>
          <w:ilvl w:val="0"/>
        </w:numPr>
      </w:pPr>
      <w:r>
        <w:t xml:space="preserve">understand key concepts of instructional design, including meeting the needs of the target audience and following sound and ethical pedagogical principles</w:t>
      </w:r>
    </w:p>
    <w:p>
      <w:pPr>
        <w:pStyle w:val="Compact"/>
        <w:numPr>
          <w:numId w:val="2"/>
          <w:ilvl w:val="0"/>
        </w:numPr>
      </w:pPr>
      <w:r>
        <w:t xml:space="preserve">think creatively about far-reaching challenges in teaching and learning</w:t>
      </w:r>
    </w:p>
    <w:p>
      <w:r>
        <w:t xml:space="preserve">At the end of the studio, every student will have a high quality, published multimedia artefact that will be part of their portfolio.</w:t>
      </w:r>
    </w:p>
    <w:bookmarkStart w:id="29" w:name="required-text"/>
    <w:p>
      <w:pPr>
        <w:pStyle w:val="Heading2"/>
      </w:pPr>
      <w:r>
        <w:t xml:space="preserve">Required text</w:t>
      </w:r>
    </w:p>
    <w:bookmarkEnd w:id="29"/>
    <w:p>
      <w:r>
        <w:t xml:space="preserve">Graeber, D. (2011).</w:t>
      </w:r>
      <w:r>
        <w:t xml:space="preserve"> </w:t>
      </w:r>
      <w:r>
        <w:rPr>
          <w:i/>
        </w:rPr>
        <w:t xml:space="preserve">Debt: the first 5,000 years</w:t>
      </w:r>
      <w:r>
        <w:t xml:space="preserve">. Brooklyn, NY: Melville House.</w:t>
      </w:r>
    </w:p>
    <w:bookmarkStart w:id="30" w:name="debt-readings"/>
    <w:p>
      <w:pPr>
        <w:pStyle w:val="Heading2"/>
      </w:pPr>
      <w:r>
        <w:t xml:space="preserve">Debt readings</w:t>
      </w:r>
    </w:p>
    <w:bookmarkEnd w:id="30"/>
    <w:p>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hyperlink r:id="rId31">
        <w:r>
          <w:rPr>
            <w:rStyle w:val="Link"/>
          </w:rPr>
          <w:t xml:space="preserve">BEYOND GOOD AND EVIL COMMONS: A seminar Silvia Federici, George Caffentzis, &amp; David Graeber</w:t>
        </w:r>
      </w:hyperlink>
      <w:r>
        <w:t xml:space="preserve">.</w:t>
      </w:r>
    </w:p>
    <w:p>
      <w:r>
        <w:t xml:space="preserve">Graeber, D. (2012). [Video] [DEBT: The First 5,000 Years](http://www.youtube.com/watch?v=CZIINXhGDcs). Authors@Google.</w:t>
      </w:r>
    </w:p>
    <w:p>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hyperlink r:id="rId32">
        <w:r>
          <w:rPr>
            <w:rStyle w:val="Link"/>
          </w:rPr>
          <w:t xml:space="preserve">Strike Debt! Debt Resistance for the 99%</w:t>
        </w:r>
      </w:hyperlink>
    </w:p>
    <w:bookmarkStart w:id="33" w:name="multimedia-design-readings"/>
    <w:p>
      <w:pPr>
        <w:pStyle w:val="Heading2"/>
      </w:pPr>
      <w:r>
        <w:t xml:space="preserve">Multimedia &amp; design readings</w:t>
      </w:r>
    </w:p>
    <w:bookmarkEnd w:id="33"/>
    <w:p>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r>
        <w:t xml:space="preserve">Kvan, T. (2001)</w:t>
      </w:r>
      <w:r>
        <w:t xml:space="preserve"> </w:t>
      </w:r>
      <w:hyperlink r:id="rId34">
        <w:r>
          <w:rPr>
            <w:rStyle w:val="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r>
        <w:t xml:space="preserve">Moggridge, B. 2007.</w:t>
      </w:r>
      <w:r>
        <w:t xml:space="preserve"> </w:t>
      </w:r>
      <w:r>
        <w:rPr>
          <w:i/>
        </w:rPr>
        <w:t xml:space="preserve">Designing interactions.</w:t>
      </w:r>
      <w:r>
        <w:t xml:space="preserve"> </w:t>
      </w:r>
      <w:r>
        <w:t xml:space="preserve">MIT Press. Cambridge Mass. ISBN 9780262134743</w:t>
      </w:r>
    </w:p>
    <w:p>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r>
        <w:t xml:space="preserve">Wilson, B. G. 1997. Constructivist learning environments: Case studies in instructional design.</w:t>
      </w:r>
      <w:r>
        <w:t xml:space="preserve"> </w:t>
      </w:r>
      <w:r>
        <w:rPr>
          <w:i/>
        </w:rPr>
        <w:t xml:space="preserve">IEEE Transactions on Professional Communication</w:t>
      </w:r>
      <w:r>
        <w:t xml:space="preserve">.</w:t>
      </w:r>
    </w:p>
    <w:bookmarkStart w:id="35" w:name="schedule"/>
    <w:p>
      <w:pPr>
        <w:pStyle w:val="Heading2"/>
      </w:pPr>
      <w:r>
        <w:t xml:space="preserve">Schedule</w:t>
      </w:r>
    </w:p>
    <w:bookmarkEnd w:id="35"/>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r>
        <w:rPr>
          <w:i/>
        </w:rPr>
        <w:t xml:space="preserve">This is a tentative list and schedule of workshops. The actual studio will be organized to be responsive to the needs of the students.</w:t>
      </w:r>
    </w:p>
    <w:bookmarkStart w:id="36" w:name="assignments"/>
    <w:p>
      <w:pPr>
        <w:pStyle w:val="Heading2"/>
      </w:pPr>
      <w:r>
        <w:t xml:space="preserve">Assignments</w:t>
      </w:r>
    </w:p>
    <w:bookmarkEnd w:id="36"/>
    <w:p>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bookmarkStart w:id="37" w:name="grading-due-dates"/>
    <w:p>
      <w:pPr>
        <w:pStyle w:val="Heading3"/>
      </w:pPr>
      <w:r>
        <w:t xml:space="preserve">Grading &amp; due dates</w:t>
      </w:r>
    </w:p>
    <w:bookmarkEnd w:id="37"/>
    <w:tbl>
      <w:tblPr>
        <w:tblStyle w:val="TableNormal"/>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bookmarkStart w:id="38" w:name="evaluation-criteria"/>
    <w:p>
      <w:pPr>
        <w:pStyle w:val="Heading2"/>
      </w:pPr>
      <w:r>
        <w:t xml:space="preserve">Evaluation Criteria</w:t>
      </w:r>
    </w:p>
    <w:bookmarkEnd w:id="38"/>
    <w:bookmarkStart w:id="39" w:name="design"/>
    <w:p>
      <w:pPr>
        <w:pStyle w:val="Heading3"/>
      </w:pPr>
      <w:r>
        <w:t xml:space="preserve">Design</w:t>
      </w:r>
    </w:p>
    <w:bookmarkEnd w:id="39"/>
    <w:p>
      <w:r>
        <w:t xml:space="preserve">The design of the project encompasses the information, interaction, and media design. Points to consider when evaluating the design:</w:t>
      </w:r>
    </w:p>
    <w:p>
      <w:pPr>
        <w:pStyle w:val="Compact"/>
        <w:numPr>
          <w:numId w:val="3"/>
          <w:ilvl w:val="0"/>
        </w:numPr>
      </w:pPr>
      <w:r>
        <w:t xml:space="preserve">is the navigation consistent, logical, and easily understood?</w:t>
      </w:r>
    </w:p>
    <w:p>
      <w:pPr>
        <w:pStyle w:val="Compact"/>
        <w:numPr>
          <w:numId w:val="3"/>
          <w:ilvl w:val="0"/>
        </w:numPr>
      </w:pPr>
      <w:r>
        <w:t xml:space="preserve">does the graphic design engage users?</w:t>
      </w:r>
    </w:p>
    <w:p>
      <w:pPr>
        <w:pStyle w:val="Compact"/>
        <w:numPr>
          <w:numId w:val="3"/>
          <w:ilvl w:val="0"/>
        </w:numPr>
      </w:pPr>
      <w:r>
        <w:t xml:space="preserve">does the look and feel support the learning goals of the project?</w:t>
      </w:r>
    </w:p>
    <w:p>
      <w:pPr>
        <w:pStyle w:val="Compact"/>
        <w:numPr>
          <w:numId w:val="3"/>
          <w:ilvl w:val="0"/>
        </w:numPr>
      </w:pPr>
      <w:r>
        <w:t xml:space="preserve">does the user interface take advantage of existing conventions, UI widgets, and user patterns?</w:t>
      </w:r>
    </w:p>
    <w:p>
      <w:pPr>
        <w:pStyle w:val="Compact"/>
        <w:numPr>
          <w:numId w:val="3"/>
          <w:ilvl w:val="0"/>
        </w:numPr>
      </w:pPr>
      <w:r>
        <w:t xml:space="preserve">are there clear paths through the system to accomplish user goals?</w:t>
      </w:r>
    </w:p>
    <w:p>
      <w:pPr>
        <w:pStyle w:val="Compact"/>
        <w:numPr>
          <w:numId w:val="3"/>
          <w:ilvl w:val="0"/>
        </w:numPr>
      </w:pPr>
      <w:r>
        <w:t xml:space="preserve">are system messages and instructions consistent and clear?</w:t>
      </w:r>
    </w:p>
    <w:p>
      <w:pPr>
        <w:pStyle w:val="Compact"/>
        <w:numPr>
          <w:numId w:val="3"/>
          <w:ilvl w:val="0"/>
        </w:numPr>
      </w:pPr>
      <w:r>
        <w:t xml:space="preserve">does the overall design exhibit a level of professionalism and polish that supports trust by the user?</w:t>
      </w:r>
    </w:p>
    <w:p>
      <w:pPr>
        <w:pStyle w:val="Compact"/>
        <w:numPr>
          <w:numId w:val="3"/>
          <w:ilvl w:val="0"/>
        </w:numPr>
      </w:pPr>
      <w:r>
        <w:t xml:space="preserve">is the design accessible?</w:t>
      </w:r>
    </w:p>
    <w:p>
      <w:pPr>
        <w:pStyle w:val="Compact"/>
        <w:numPr>
          <w:numId w:val="4"/>
          <w:ilvl w:val="1"/>
        </w:numPr>
      </w:pPr>
      <w:r>
        <w:t xml:space="preserve">does it support the widest possible range of computer systems (including OS, web browser, screen size/mobile, processor speed, internet connection quality)</w:t>
      </w:r>
    </w:p>
    <w:p>
      <w:pPr>
        <w:pStyle w:val="Compact"/>
        <w:numPr>
          <w:numId w:val="4"/>
          <w:ilvl w:val="1"/>
        </w:numPr>
      </w:pPr>
      <w:r>
        <w:t xml:space="preserve">can it be accessed by users with disabilities, where appropriate?</w:t>
      </w:r>
    </w:p>
    <w:bookmarkStart w:id="40" w:name="technique"/>
    <w:p>
      <w:pPr>
        <w:pStyle w:val="Heading3"/>
      </w:pPr>
      <w:r>
        <w:t xml:space="preserve">Technique</w:t>
      </w:r>
    </w:p>
    <w:bookmarkEnd w:id="40"/>
    <w:p>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5"/>
          <w:ilvl w:val="0"/>
        </w:numPr>
      </w:pPr>
      <w:r>
        <w:t xml:space="preserve">is video composed and edited like an expert video?</w:t>
      </w:r>
    </w:p>
    <w:p>
      <w:pPr>
        <w:pStyle w:val="Compact"/>
        <w:numPr>
          <w:numId w:val="5"/>
          <w:ilvl w:val="0"/>
        </w:numPr>
      </w:pPr>
      <w:r>
        <w:t xml:space="preserve">does software meet the speed and reliability that an expert would expect?</w:t>
      </w:r>
    </w:p>
    <w:p>
      <w:pPr>
        <w:pStyle w:val="Compact"/>
        <w:numPr>
          <w:numId w:val="5"/>
          <w:ilvl w:val="0"/>
        </w:numPr>
      </w:pPr>
      <w:r>
        <w:t xml:space="preserve">etc.</w:t>
      </w:r>
    </w:p>
    <w:bookmarkStart w:id="41" w:name="originality-innovation"/>
    <w:p>
      <w:pPr>
        <w:pStyle w:val="Heading3"/>
      </w:pPr>
      <w:r>
        <w:t xml:space="preserve">Originality &amp; innovation</w:t>
      </w:r>
    </w:p>
    <w:bookmarkEnd w:id="41"/>
    <w:p>
      <w:r>
        <w:t xml:space="preserve">Teams will gain points based on the originality of their project. Does the project take a novel approach to teaching with digital media? Does it combine existing practices in new ways, for a new effect?</w:t>
      </w:r>
    </w:p>
    <w:p>
      <w:r>
        <w:t xml:space="preserve">Students will lose points in originality for verbatim translating of existing learning solutions to the new problem space.</w:t>
      </w:r>
    </w:p>
    <w:bookmarkStart w:id="42" w:name="learning-science"/>
    <w:p>
      <w:pPr>
        <w:pStyle w:val="Heading3"/>
      </w:pPr>
      <w:r>
        <w:t xml:space="preserve">Learning science</w:t>
      </w:r>
    </w:p>
    <w:bookmarkEnd w:id="42"/>
    <w:p>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a7484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daa08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7" Target="http://dealbook.nytimes.com/2012/08/12/problems-riddle-moves-to-collect-credit-card-debt" TargetMode="External" /><Relationship Type="http://schemas.openxmlformats.org/officeDocument/2006/relationships/hyperlink" Id="rId32" Target="http://strikedebt.org/" TargetMode="External" /><Relationship Type="http://schemas.openxmlformats.org/officeDocument/2006/relationships/hyperlink" Id="rId31" Target="http://www.16beavergroup.org/silvia_george_david/" TargetMode="External" /><Relationship Type="http://schemas.openxmlformats.org/officeDocument/2006/relationships/hyperlink" Id="rId26" Target="http://www.businessweek.com/ap/2012-09-12/underwater-mortgages-declined-in-2nd-quarter" TargetMode="External" /><Relationship Type="http://schemas.openxmlformats.org/officeDocument/2006/relationships/hyperlink" Id="rId34"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