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E97824"/>
          <w:sz w:val="21"/>
        </w:rPr>
        <w:t>VIDEO SHOOT GUIDE</w:t>
      </w:r>
    </w:p>
    <w:p>
      <w:pPr>
        <w:spacing w:after="40"/>
      </w:pPr>
      <w:r>
        <w:rPr>
          <w:rFonts w:ascii="Calibri" w:hAnsi="Calibri"/>
          <w:b/>
          <w:i w:val="0"/>
          <w:color w:val="0B2545"/>
          <w:sz w:val="54"/>
        </w:rPr>
        <w:t>TripSync BIDA 2026</w:t>
      </w:r>
    </w:p>
    <w:p>
      <w:pPr>
        <w:spacing w:after="220"/>
      </w:pPr>
      <w:r>
        <w:rPr>
          <w:rFonts w:ascii="Calibri" w:hAnsi="Calibri"/>
          <w:b/>
          <w:i w:val="0"/>
          <w:color w:val="E97824"/>
          <w:sz w:val="28"/>
        </w:rPr>
        <w:t>Board smart, travel smarter.</w:t>
      </w:r>
    </w:p>
    <w:tbl>
      <w:tblPr>
        <w:tblStyle w:val="TableGrid"/>
        <w:tblW w:type="dxa" w:w="9360"/>
        <w:jc w:val="left"/>
        <w:tblLayout w:type="fixed"/>
        <w:tblLook w:firstColumn="1" w:firstRow="1" w:lastColumn="0" w:lastRow="0" w:noHBand="0" w:noVBand="1" w:val="04A0"/>
        <w:tblInd w:type="dxa" w:w="120"/>
      </w:tblPr>
      <w:tblGrid>
        <w:gridCol w:w="1800"/>
        <w:gridCol w:w="2700"/>
        <w:gridCol w:w="2430"/>
        <w:gridCol w:w="2430"/>
      </w:tblGrid>
      <w:tr>
        <w:trPr>
          <w:tblHeader w:val="true"/>
          <w:cantSplit/>
        </w:trPr>
        <w:tc>
          <w:tcPr>
            <w:tcW w:type="dxa" w:w="1800"/>
            <w:vAlign w:val="center"/>
            <w:shd w:fill="E8EEF5"/>
            <w:tcMar>
              <w:top w:w="80" w:type="dxa"/>
              <w:bottom w:w="80" w:type="dxa"/>
              <w:start w:w="120" w:type="dxa"/>
              <w:end w:w="120" w:type="dxa"/>
            </w:tcMar>
          </w:tcPr>
          <w:p>
            <w:pPr>
              <w:keepLines/>
              <w:widowControl/>
              <w:spacing w:before="0" w:after="0" w:line="252" w:lineRule="auto"/>
              <w:jc w:val="center"/>
            </w:pPr>
            <w:r>
              <w:rPr>
                <w:rFonts w:ascii="Calibri" w:hAnsi="Calibri"/>
                <w:b/>
                <w:i w:val="0"/>
                <w:color w:val="1F4D78"/>
                <w:sz w:val="18"/>
              </w:rPr>
              <w:t>TARGET</w:t>
            </w:r>
          </w:p>
        </w:tc>
        <w:tc>
          <w:tcPr>
            <w:tcW w:type="dxa" w:w="2700"/>
            <w:vAlign w:val="center"/>
            <w:shd w:fill="E8EEF5"/>
            <w:tcMar>
              <w:top w:w="80" w:type="dxa"/>
              <w:bottom w:w="80" w:type="dxa"/>
              <w:start w:w="120" w:type="dxa"/>
              <w:end w:w="120" w:type="dxa"/>
            </w:tcMar>
          </w:tcPr>
          <w:p>
            <w:pPr>
              <w:keepLines/>
              <w:widowControl/>
              <w:spacing w:before="0" w:after="0" w:line="252" w:lineRule="auto"/>
              <w:jc w:val="center"/>
            </w:pPr>
            <w:r>
              <w:rPr>
                <w:rFonts w:ascii="Calibri" w:hAnsi="Calibri"/>
                <w:b/>
                <w:i w:val="0"/>
                <w:color w:val="1F4D78"/>
                <w:sz w:val="18"/>
              </w:rPr>
              <w:t>LOCATION</w:t>
            </w:r>
          </w:p>
        </w:tc>
        <w:tc>
          <w:tcPr>
            <w:tcW w:type="dxa" w:w="2430"/>
            <w:vAlign w:val="center"/>
            <w:shd w:fill="E8EEF5"/>
            <w:tcMar>
              <w:top w:w="80" w:type="dxa"/>
              <w:bottom w:w="80" w:type="dxa"/>
              <w:start w:w="120" w:type="dxa"/>
              <w:end w:w="120" w:type="dxa"/>
            </w:tcMar>
          </w:tcPr>
          <w:p>
            <w:pPr>
              <w:keepLines/>
              <w:widowControl/>
              <w:spacing w:before="0" w:after="0" w:line="252" w:lineRule="auto"/>
              <w:jc w:val="center"/>
            </w:pPr>
            <w:r>
              <w:rPr>
                <w:rFonts w:ascii="Calibri" w:hAnsi="Calibri"/>
                <w:b/>
                <w:i w:val="0"/>
                <w:color w:val="1F4D78"/>
                <w:sz w:val="18"/>
              </w:rPr>
              <w:t>MASTER</w:t>
            </w:r>
          </w:p>
        </w:tc>
        <w:tc>
          <w:tcPr>
            <w:tcW w:type="dxa" w:w="2430"/>
            <w:vAlign w:val="center"/>
            <w:shd w:fill="E8EEF5"/>
            <w:tcMar>
              <w:top w:w="80" w:type="dxa"/>
              <w:bottom w:w="80" w:type="dxa"/>
              <w:start w:w="120" w:type="dxa"/>
              <w:end w:w="120" w:type="dxa"/>
            </w:tcMar>
          </w:tcPr>
          <w:p>
            <w:pPr>
              <w:keepLines/>
              <w:widowControl/>
              <w:spacing w:before="0" w:after="0" w:line="252" w:lineRule="auto"/>
              <w:jc w:val="center"/>
            </w:pPr>
            <w:r>
              <w:rPr>
                <w:rFonts w:ascii="Calibri" w:hAnsi="Calibri"/>
                <w:b/>
                <w:i w:val="0"/>
                <w:color w:val="1F4D78"/>
                <w:sz w:val="18"/>
              </w:rPr>
              <w:t>STYLE</w:t>
            </w:r>
          </w:p>
        </w:tc>
      </w:tr>
      <w:tr>
        <w:trPr>
          <w:cantSplit/>
        </w:trPr>
        <w:tc>
          <w:tcPr>
            <w:tcW w:type="dxa" w:w="18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13:30</w:t>
            </w:r>
          </w:p>
        </w:tc>
        <w:tc>
          <w:tcPr>
            <w:tcW w:type="dxa" w:w="27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DCOTT / Ecoland</w:t>
            </w:r>
          </w:p>
        </w:tc>
        <w:tc>
          <w:tcPr>
            <w:tcW w:type="dxa" w:w="243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1080p landscape</w:t>
            </w:r>
          </w:p>
        </w:tc>
        <w:tc>
          <w:tcPr>
            <w:tcW w:type="dxa" w:w="243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Terminal-focused</w:t>
            </w:r>
          </w:p>
        </w:tc>
      </w:tr>
    </w:tbl>
    <w:p>
      <w:pPr>
        <w:pStyle w:val="Heading2"/>
        <w:keepNext/>
      </w:pPr>
      <w:r>
        <w:t>Presenter Roles</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trPr>
        <w:tc>
          <w:tcPr>
            <w:tcW w:type="dxa" w:w="270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Presenter</w:t>
            </w:r>
          </w:p>
        </w:tc>
        <w:tc>
          <w:tcPr>
            <w:tcW w:type="dxa" w:w="666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Primary responsibility</w:t>
            </w:r>
          </w:p>
        </w:tc>
      </w:tr>
      <w:tr>
        <w:trPr>
          <w:cantSplit/>
        </w:trPr>
        <w:tc>
          <w:tcPr>
            <w:tcW w:type="dxa" w:w="2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Ana Mae M. Viduya</w:t>
            </w:r>
          </w:p>
        </w:tc>
        <w:tc>
          <w:tcPr>
            <w:tcW w:type="dxa" w:w="6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Primary narrator; personal story; transitions; projections and sustainability</w:t>
            </w:r>
          </w:p>
        </w:tc>
      </w:tr>
      <w:tr>
        <w:trPr>
          <w:cantSplit/>
        </w:trPr>
        <w:tc>
          <w:tcPr>
            <w:tcW w:type="dxa" w:w="2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Aaron Jalapon</w:t>
            </w:r>
          </w:p>
        </w:tc>
        <w:tc>
          <w:tcPr>
            <w:tcW w:type="dxa" w:w="6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TripSync description; urgency; market gap and vision</w:t>
            </w:r>
          </w:p>
        </w:tc>
      </w:tr>
      <w:tr>
        <w:trPr>
          <w:cantSplit/>
        </w:trPr>
        <w:tc>
          <w:tcPr>
            <w:tcW w:type="dxa" w:w="2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Hazel Mae B. Fuerzas</w:t>
            </w:r>
          </w:p>
        </w:tc>
        <w:tc>
          <w:tcPr>
            <w:tcW w:type="dxa" w:w="6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Pain-point evidence; competition; interviews and survey</w:t>
            </w:r>
          </w:p>
        </w:tc>
      </w:tr>
      <w:tr>
        <w:trPr>
          <w:cantSplit/>
        </w:trPr>
        <w:tc>
          <w:tcPr>
            <w:tcW w:type="dxa" w:w="2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John Benedict J. Bongcac</w:t>
            </w:r>
          </w:p>
        </w:tc>
        <w:tc>
          <w:tcPr>
            <w:tcW w:type="dxa" w:w="6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Operational model and complete prototype demonstration</w:t>
            </w:r>
          </w:p>
        </w:tc>
      </w:tr>
    </w:tbl>
    <w:p>
      <w:pPr>
        <w:pStyle w:val="Heading2"/>
        <w:keepNext/>
      </w:pPr>
      <w:r>
        <w:t>Production Direction</w:t>
      </w:r>
    </w:p>
    <w:tbl>
      <w:tblPr>
        <w:tblStyle w:val="TableGrid"/>
        <w:tblW w:type="dxa" w:w="9360"/>
        <w:jc w:val="left"/>
        <w:tblLayout w:type="fixed"/>
        <w:tblLook w:firstColumn="1" w:firstRow="1" w:lastColumn="0" w:lastRow="0" w:noHBand="0" w:noVBand="1" w:val="04A0"/>
        <w:tblInd w:type="dxa" w:w="120"/>
      </w:tblPr>
      <w:tblGrid>
        <w:gridCol w:w="1700"/>
        <w:gridCol w:w="7660"/>
      </w:tblGrid>
      <w:tr>
        <w:trPr>
          <w:tblHeader w:val="true"/>
          <w:cantSplit/>
        </w:trPr>
        <w:tc>
          <w:tcPr>
            <w:tcW w:type="dxa" w:w="170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Element</w:t>
            </w:r>
          </w:p>
        </w:tc>
        <w:tc>
          <w:tcPr>
            <w:tcW w:type="dxa" w:w="766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Direction</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Capture</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Two-window shoot: record clean presenter audio during a quieter period, then capture authentic peak-terminal B-roll separately.</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Look</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Coordinated smart casual; smartphones, clip-on microphones, available stabilization, direct-to-camera statements, and Ana Mae voice-over.</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Finish</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Minimal editing, full English captions, restrained lower-thirds, light royalty-free music, and a final source card.</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Privacy</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Keep commuters incidental. Avoid identifiable close-ups without consent and blur faces when needed.</w:t>
            </w:r>
          </w:p>
        </w:tc>
      </w:tr>
    </w:tbl>
    <w:p>
      <w:r>
        <w:br w:type="page"/>
      </w:r>
    </w:p>
    <w:p>
      <w:pPr>
        <w:pStyle w:val="Heading1"/>
        <w:keepNext/>
      </w:pPr>
      <w:r>
        <w:t>Run of Show</w:t>
      </w:r>
    </w:p>
    <w:p>
      <w:pPr>
        <w:spacing w:after="160"/>
      </w:pPr>
      <w:r>
        <w:rPr>
          <w:rFonts w:ascii="Calibri" w:hAnsi="Calibri"/>
          <w:b w:val="0"/>
          <w:i/>
          <w:color w:val="5C6773"/>
          <w:sz w:val="20"/>
        </w:rPr>
        <w:t>Follow this order exactly. Ana Mae provides the emotional through-line and brief transitions.</w:t>
      </w:r>
    </w:p>
    <w:tbl>
      <w:tblPr>
        <w:tblStyle w:val="TableGrid"/>
        <w:tblW w:type="dxa" w:w="9360"/>
        <w:jc w:val="left"/>
        <w:tblLayout w:type="fixed"/>
        <w:tblLook w:firstColumn="1" w:firstRow="1" w:lastColumn="0" w:lastRow="0" w:noHBand="0" w:noVBand="1" w:val="04A0"/>
        <w:tblInd w:type="dxa" w:w="120"/>
      </w:tblPr>
      <w:tblGrid>
        <w:gridCol w:w="1500"/>
        <w:gridCol w:w="2300"/>
        <w:gridCol w:w="1450"/>
        <w:gridCol w:w="4110"/>
      </w:tblGrid>
      <w:tr>
        <w:trPr>
          <w:tblHeader w:val="true"/>
          <w:cantSplit/>
        </w:trPr>
        <w:tc>
          <w:tcPr>
            <w:tcW w:type="dxa" w:w="1500"/>
            <w:vAlign w:val="center"/>
            <w:tcMar>
              <w:top w:w="80" w:type="dxa"/>
              <w:bottom w:w="80" w:type="dxa"/>
              <w:start w:w="120" w:type="dxa"/>
              <w:end w:w="120" w:type="dxa"/>
            </w:tcMar>
            <w:shd w:fill="E8EEF5"/>
          </w:tcPr>
          <w:p>
            <w:pPr>
              <w:keepLines/>
              <w:widowControl/>
              <w:spacing w:before="0" w:after="0" w:line="252" w:lineRule="auto"/>
              <w:jc w:val="center"/>
            </w:pPr>
            <w:r>
              <w:rPr>
                <w:rFonts w:ascii="Calibri" w:hAnsi="Calibri"/>
                <w:b/>
                <w:i w:val="0"/>
                <w:color w:val="1F4D78"/>
                <w:sz w:val="16"/>
              </w:rPr>
              <w:t>Time</w:t>
            </w:r>
          </w:p>
        </w:tc>
        <w:tc>
          <w:tcPr>
            <w:tcW w:type="dxa" w:w="2300"/>
            <w:vAlign w:val="center"/>
            <w:tcMar>
              <w:top w:w="80" w:type="dxa"/>
              <w:bottom w:w="80" w:type="dxa"/>
              <w:start w:w="120" w:type="dxa"/>
              <w:end w:w="120" w:type="dxa"/>
            </w:tcMar>
            <w:shd w:fill="E8EEF5"/>
          </w:tcPr>
          <w:p>
            <w:pPr>
              <w:keepLines/>
              <w:widowControl/>
              <w:spacing w:before="0" w:after="0" w:line="252" w:lineRule="auto"/>
              <w:jc w:val="center"/>
            </w:pPr>
            <w:r>
              <w:rPr>
                <w:rFonts w:ascii="Calibri" w:hAnsi="Calibri"/>
                <w:b/>
                <w:i w:val="0"/>
                <w:color w:val="1F4D78"/>
                <w:sz w:val="16"/>
              </w:rPr>
              <w:t>Section</w:t>
            </w:r>
          </w:p>
        </w:tc>
        <w:tc>
          <w:tcPr>
            <w:tcW w:type="dxa" w:w="1450"/>
            <w:vAlign w:val="center"/>
            <w:tcMar>
              <w:top w:w="80" w:type="dxa"/>
              <w:bottom w:w="80" w:type="dxa"/>
              <w:start w:w="120" w:type="dxa"/>
              <w:end w:w="120" w:type="dxa"/>
            </w:tcMar>
            <w:shd w:fill="E8EEF5"/>
          </w:tcPr>
          <w:p>
            <w:pPr>
              <w:keepLines/>
              <w:widowControl/>
              <w:spacing w:before="0" w:after="0" w:line="252" w:lineRule="auto"/>
              <w:jc w:val="center"/>
            </w:pPr>
            <w:r>
              <w:rPr>
                <w:rFonts w:ascii="Calibri" w:hAnsi="Calibri"/>
                <w:b/>
                <w:i w:val="0"/>
                <w:color w:val="1F4D78"/>
                <w:sz w:val="16"/>
              </w:rPr>
              <w:t>Lead</w:t>
            </w:r>
          </w:p>
        </w:tc>
        <w:tc>
          <w:tcPr>
            <w:tcW w:type="dxa" w:w="4110"/>
            <w:vAlign w:val="center"/>
            <w:tcMar>
              <w:top w:w="80" w:type="dxa"/>
              <w:bottom w:w="80" w:type="dxa"/>
              <w:start w:w="120" w:type="dxa"/>
              <w:end w:w="120" w:type="dxa"/>
            </w:tcMar>
            <w:shd w:fill="E8EEF5"/>
          </w:tcPr>
          <w:p>
            <w:pPr>
              <w:keepLines/>
              <w:widowControl/>
              <w:spacing w:before="0" w:after="0" w:line="252" w:lineRule="auto"/>
              <w:jc w:val="center"/>
            </w:pPr>
            <w:r>
              <w:rPr>
                <w:rFonts w:ascii="Calibri" w:hAnsi="Calibri"/>
                <w:b/>
                <w:i w:val="0"/>
                <w:color w:val="1F4D78"/>
                <w:sz w:val="16"/>
              </w:rPr>
              <w:t>Key visual / action</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0:00-1:20</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Personal Story</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Ana Mae</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Direct-to-camera with original commute B-roll. Insert final personal story.</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1:20-2:20</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TripSync Description</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Aaron</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Introduce the connected journey and the commuter and operator pains it addresses.</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2:20-3:20</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Pain-Point Data</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Hazel</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Verified government context, terminal observation, and Ana Mae's framed experience.</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3:20-4:15</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Competitive Landscape</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Hazel</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Compare manual tools, booking platforms, operator suites, custom systems, and TripSync.</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4:15-7:05</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Operations + Prototype</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John</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Seven-day Davao–CDO forecast, staff decision, accessible three-member family allocation, combined group pass, connected gate verification, and multilingual assistance.</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7:05-8:20</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Research</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Hazel</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Insert verified findings; otherwise present the interview and survey validation plan.</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8:20-10:35</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Projections + Sustainability</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Ana Mae</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Pilot targets, 5/15/40 operators, revenue outlook, and measurement commitments.</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10:35-12:10</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Urgency, Gap + Feedback</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Aaron</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Show the day-of-departure coordination gap and the need for a live pilot now.</w:t>
            </w:r>
          </w:p>
        </w:tc>
      </w:tr>
      <w:tr>
        <w:trPr>
          <w:cantSplit/>
        </w:trPr>
        <w:tc>
          <w:tcPr>
            <w:tcW w:type="dxa" w:w="15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12:10-13:30</w:t>
            </w:r>
          </w:p>
        </w:tc>
        <w:tc>
          <w:tcPr>
            <w:tcW w:type="dxa" w:w="23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Conclusion + Recommendation</w:t>
            </w:r>
          </w:p>
        </w:tc>
        <w:tc>
          <w:tcPr>
            <w:tcW w:type="dxa" w:w="145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6"/>
              </w:rPr>
              <w:t>Ana Mae + team</w:t>
            </w:r>
          </w:p>
        </w:tc>
        <w:tc>
          <w:tcPr>
            <w:tcW w:type="dxa" w:w="411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6"/>
              </w:rPr>
              <w:t>Champion smarter Mindanao bus travel and close on the TripSync tagline.</w:t>
            </w:r>
          </w:p>
        </w:tc>
      </w:tr>
    </w:tbl>
    <w:p>
      <w:pPr>
        <w:pStyle w:val="Heading2"/>
        <w:keepNext/>
      </w:pPr>
      <w:r>
        <w:t>Prototype Sequence</w:t>
      </w:r>
    </w:p>
    <w:p>
      <w:pPr>
        <w:keepNext/>
      </w:pPr>
      <w:r>
        <w:rPr>
          <w:i/>
        </w:rPr>
        <w:t>Demo rule: accessibility is a hard requirement; family proximity is secondary; affinity matching remains optional and is switched off for this recording.</w:t>
      </w:r>
    </w:p>
    <w:tbl>
      <w:tblPr>
        <w:tblStyle w:val="TableGrid"/>
        <w:tblW w:type="dxa" w:w="9360"/>
        <w:jc w:val="left"/>
        <w:tblLayout w:type="fixed"/>
        <w:tblLook w:firstColumn="1" w:firstRow="1" w:lastColumn="0" w:lastRow="0" w:noHBand="0" w:noVBand="1" w:val="04A0"/>
        <w:tblInd w:type="dxa" w:w="120"/>
      </w:tblPr>
      <w:tblGrid>
        <w:gridCol w:w="1700"/>
        <w:gridCol w:w="7660"/>
      </w:tblGrid>
      <w:tr>
        <w:trPr>
          <w:tblHeader w:val="true"/>
          <w:cantSplit/>
        </w:trPr>
        <w:tc>
          <w:tcPr>
            <w:tcW w:type="dxa" w:w="170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Time</w:t>
            </w:r>
          </w:p>
        </w:tc>
        <w:tc>
          <w:tcPr>
            <w:tcW w:type="dxa" w:w="766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Exact screen action and presenter cue</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4:15–4:45</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Show the seven-day Davao–CDO forecast. John identifies the departure needing attention, states the forecast as decision support, and points to the recommended action without presenting it as an automatic decision.</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4:45–5:05</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Show the staff decision control. Staff accepts the recommendation or changes it, then confirms the final operational action. Say: “TripSync supports the decision; terminal staff remain in control.”</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5:05–6:15</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Book the synthetic three-member Santos family: Maria Santos (+639171234567), Ana Santos (+639171234568), and Luis Santos (+639171234569). Enable accessible seating for Maria. Keep affinity matching off. Show Maria in an eligible front-priority seat, exactly one non-accessibility companion beside her, and Luis in the nearest available standard seat. Read the reasons on screen: “Accessible seat near the exit,” “Companion seated beside accessibility passenger,” and “Kept near family.”</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6:15–6:40</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Confirm all three members together. Show one combined signed group pass with every member and seat, then present its QR token to the connected online gate scanner. Confirm the group result and member statuses; do not demonstrate gate-side offline verification.</w:t>
            </w:r>
          </w:p>
        </w:tc>
      </w:tr>
      <w:tr>
        <w:trPr>
          <w:cantSplit/>
        </w:trPr>
        <w:tc>
          <w:tcPr>
            <w:tcW w:type="dxa" w:w="1700"/>
            <w:vAlign w:val="center"/>
            <w:tcMar>
              <w:top w:w="80" w:type="dxa"/>
              <w:bottom w:w="80" w:type="dxa"/>
              <w:start w:w="120" w:type="dxa"/>
              <w:end w:w="120" w:type="dxa"/>
            </w:tcMar>
          </w:tcPr>
          <w:p>
            <w:pPr>
              <w:keepLines/>
              <w:widowControl/>
              <w:spacing w:before="0" w:after="0" w:line="252" w:lineRule="auto"/>
              <w:jc w:val="center"/>
            </w:pPr>
            <w:r>
              <w:rPr>
                <w:rFonts w:ascii="Calibri" w:hAnsi="Calibri"/>
                <w:b w:val="0"/>
                <w:i w:val="0"/>
                <w:color w:val="0B2545"/>
                <w:sz w:val="18"/>
              </w:rPr>
              <w:t>6:40–7:05</w:t>
            </w:r>
          </w:p>
        </w:tc>
        <w:tc>
          <w:tcPr>
            <w:tcW w:type="dxa" w:w="76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Open multilingual passenger assistance, demonstrate one concise supported-language exchange, then return to the operator view and the recorded human staff decision. Close the loop by repeating that accessibility is required, family proximity is secondary, and affinity is optional.</w:t>
            </w:r>
          </w:p>
        </w:tc>
      </w:tr>
    </w:tbl>
    <w:p>
      <w:pPr>
        <w:pStyle w:val="Heading1"/>
        <w:keepNext/>
      </w:pPr>
      <w:r>
        <w:t>Shoot and Evidence Checklist</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cantSplit/>
        </w:trPr>
        <w:tc>
          <w:tcPr>
            <w:tcW w:type="dxa" w:w="220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Key shot</w:t>
            </w:r>
          </w:p>
        </w:tc>
        <w:tc>
          <w:tcPr>
            <w:tcW w:type="dxa" w:w="716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Required coverage</w:t>
            </w:r>
          </w:p>
        </w:tc>
      </w:tr>
      <w:tr>
        <w:trPr>
          <w:cantSplit/>
        </w:trPr>
        <w:tc>
          <w:tcPr>
            <w:tcW w:type="dxa" w:w="22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Ana Mae story</w:t>
            </w:r>
          </w:p>
        </w:tc>
        <w:tc>
          <w:tcPr>
            <w:tcW w:type="dxa" w:w="71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Quiet direct-to-camera take plus walking, waiting, signage, ticketing, and boarding B-roll.</w:t>
            </w:r>
          </w:p>
        </w:tc>
      </w:tr>
      <w:tr>
        <w:trPr>
          <w:cantSplit/>
        </w:trPr>
        <w:tc>
          <w:tcPr>
            <w:tcW w:type="dxa" w:w="22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Terminal context</w:t>
            </w:r>
          </w:p>
        </w:tc>
        <w:tc>
          <w:tcPr>
            <w:tcW w:type="dxa" w:w="71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Wide and medium shots of passenger movement, gates, buses, waiting areas, and operational coordination.</w:t>
            </w:r>
          </w:p>
        </w:tc>
      </w:tr>
      <w:tr>
        <w:trPr>
          <w:cantSplit/>
        </w:trPr>
        <w:tc>
          <w:tcPr>
            <w:tcW w:type="dxa" w:w="22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Founder segments</w:t>
            </w:r>
          </w:p>
        </w:tc>
        <w:tc>
          <w:tcPr>
            <w:tcW w:type="dxa" w:w="71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Clean individual takes in role order, plus one composed full-team closing shot.</w:t>
            </w:r>
          </w:p>
        </w:tc>
      </w:tr>
      <w:tr>
        <w:trPr>
          <w:cantSplit/>
        </w:trPr>
        <w:tc>
          <w:tcPr>
            <w:tcW w:type="dxa" w:w="22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Prototype</w:t>
            </w:r>
          </w:p>
        </w:tc>
        <w:tc>
          <w:tcPr>
            <w:tcW w:type="dxa" w:w="71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Final TripSync-branded recording of the exact 4:15–7:05 cue sheet: Davao–CDO forecast, human staff action, accessible Santos family cluster, combined group pass, connected scanner result, and multilingual assistance.</w:t>
            </w:r>
          </w:p>
        </w:tc>
      </w:tr>
      <w:tr>
        <w:trPr>
          <w:cantSplit/>
        </w:trPr>
        <w:tc>
          <w:tcPr>
            <w:tcW w:type="dxa" w:w="22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Evidence</w:t>
            </w:r>
          </w:p>
        </w:tc>
        <w:tc>
          <w:tcPr>
            <w:tcW w:type="dxa" w:w="71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Lower-third source labels for statistics and a final references frame.</w:t>
            </w:r>
          </w:p>
        </w:tc>
      </w:tr>
    </w:tbl>
    <w:p>
      <w:pPr>
        <w:pStyle w:val="Heading2"/>
        <w:keepNext/>
      </w:pPr>
      <w:r>
        <w:t>Placeholders to Resolve</w:t>
      </w:r>
    </w:p>
    <w:tbl>
      <w:tblPr>
        <w:tblStyle w:val="TableGrid"/>
        <w:tblW w:type="dxa" w:w="9360"/>
        <w:jc w:val="left"/>
        <w:tblLayout w:type="fixed"/>
        <w:tblLook w:firstColumn="1" w:firstRow="1" w:lastColumn="0" w:lastRow="0" w:noHBand="0" w:noVBand="1" w:val="04A0"/>
        <w:tblInd w:type="dxa" w:w="120"/>
      </w:tblPr>
      <w:tblGrid>
        <w:gridCol w:w="2600"/>
        <w:gridCol w:w="6760"/>
      </w:tblGrid>
      <w:tr>
        <w:trPr>
          <w:tblHeader w:val="true"/>
          <w:cantSplit/>
        </w:trPr>
        <w:tc>
          <w:tcPr>
            <w:tcW w:type="dxa" w:w="260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Placeholder</w:t>
            </w:r>
          </w:p>
        </w:tc>
        <w:tc>
          <w:tcPr>
            <w:tcW w:type="dxa" w:w="676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8"/>
              </w:rPr>
              <w:t>Resolution rule</w:t>
            </w:r>
          </w:p>
        </w:tc>
      </w:tr>
      <w:tr>
        <w:trPr>
          <w:cantSplit/>
        </w:trPr>
        <w:tc>
          <w:tcPr>
            <w:tcW w:type="dxa" w:w="26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Ana Mae personal story</w:t>
            </w:r>
          </w:p>
        </w:tc>
        <w:tc>
          <w:tcPr>
            <w:tcW w:type="dxa" w:w="67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Insert only the approved first-person account; keep it specific and truthful.</w:t>
            </w:r>
          </w:p>
        </w:tc>
      </w:tr>
      <w:tr>
        <w:trPr>
          <w:cantSplit/>
        </w:trPr>
        <w:tc>
          <w:tcPr>
            <w:tcW w:type="dxa" w:w="26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Interview findings</w:t>
            </w:r>
          </w:p>
        </w:tc>
        <w:tc>
          <w:tcPr>
            <w:tcW w:type="dxa" w:w="67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Add only completed, documented themes with respondent roles and limitations.</w:t>
            </w:r>
          </w:p>
        </w:tc>
      </w:tr>
      <w:tr>
        <w:trPr>
          <w:cantSplit/>
        </w:trPr>
        <w:tc>
          <w:tcPr>
            <w:tcW w:type="dxa" w:w="26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Quantitative survey</w:t>
            </w:r>
          </w:p>
        </w:tc>
        <w:tc>
          <w:tcPr>
            <w:tcW w:type="dxa" w:w="67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Add sample size, respondent profile, question wording, counts, and percentages.</w:t>
            </w:r>
          </w:p>
        </w:tc>
      </w:tr>
      <w:tr>
        <w:trPr>
          <w:cantSplit/>
        </w:trPr>
        <w:tc>
          <w:tcPr>
            <w:tcW w:type="dxa" w:w="26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TripSync interface</w:t>
            </w:r>
          </w:p>
        </w:tc>
        <w:tc>
          <w:tcPr>
            <w:tcW w:type="dxa" w:w="67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Use the final TripSync family-booking, numbered seat assignment, combined-pass, and online-scanner screens. Keep all synthetic names and phone numbers consistent with the cue sheet.</w:t>
            </w:r>
          </w:p>
        </w:tc>
      </w:tr>
      <w:tr>
        <w:trPr>
          <w:cantSplit/>
        </w:trPr>
        <w:tc>
          <w:tcPr>
            <w:tcW w:type="dxa" w:w="26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Terminal facts or quotes</w:t>
            </w:r>
          </w:p>
        </w:tc>
        <w:tc>
          <w:tcPr>
            <w:tcW w:type="dxa" w:w="67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8"/>
              </w:rPr>
              <w:t>Use only approved statistics or statements with a traceable source.</w:t>
            </w:r>
          </w:p>
        </w:tc>
      </w:tr>
    </w:tbl>
    <w:p>
      <w:pPr>
        <w:pStyle w:val="Heading2"/>
        <w:keepNext/>
      </w:pPr>
      <w:r>
        <w:t>Claim Guardrails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7"/>
              </w:rPr>
              <w:t>Boundary</w:t>
            </w:r>
          </w:p>
        </w:tc>
        <w:tc>
          <w:tcPr>
            <w:tcW w:type="dxa" w:w="7260"/>
            <w:vAlign w:val="center"/>
            <w:tcMar>
              <w:top w:w="80" w:type="dxa"/>
              <w:bottom w:w="80" w:type="dxa"/>
              <w:start w:w="120" w:type="dxa"/>
              <w:end w:w="120" w:type="dxa"/>
            </w:tcMar>
            <w:shd w:fill="E8EEF5"/>
          </w:tcPr>
          <w:p>
            <w:pPr>
              <w:keepLines/>
              <w:widowControl/>
              <w:spacing w:before="0" w:after="0" w:line="252" w:lineRule="auto"/>
              <w:jc w:val="left"/>
            </w:pPr>
            <w:r>
              <w:rPr>
                <w:rFonts w:ascii="Calibri" w:hAnsi="Calibri"/>
                <w:b/>
                <w:i w:val="0"/>
                <w:color w:val="1F4D78"/>
                <w:sz w:val="17"/>
              </w:rPr>
              <w:t>Required wording</w:t>
            </w:r>
          </w:p>
        </w:tc>
      </w:tr>
      <w:tr>
        <w:trPr>
          <w:cantSplit/>
        </w:trPr>
        <w:tc>
          <w:tcPr>
            <w:tcW w:type="dxa" w:w="2100"/>
            <w:vAlign w:val="center"/>
            <w:shd w:fill="F2F4F7"/>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Current state</w:t>
            </w:r>
          </w:p>
        </w:tc>
        <w:tc>
          <w:tcPr>
            <w:tcW w:type="dxa" w:w="7260"/>
            <w:vAlign w:val="center"/>
            <w:shd w:fill="F2F4F7"/>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Functional pre-pilot prototype; controlled and synthetic evidence is not field impact. Passenger saved-pass access works offline. This demo’s gate check requires backend connectivity; offline gate-side cryptographic verification is production hardening.</w:t>
            </w:r>
          </w:p>
        </w:tc>
      </w:tr>
      <w:tr>
        <w:trPr>
          <w:cantSplit/>
        </w:trPr>
        <w:tc>
          <w:tcPr>
            <w:tcW w:type="dxa" w:w="21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Commercial case</w:t>
            </w:r>
          </w:p>
        </w:tc>
        <w:tc>
          <w:tcPr>
            <w:tcW w:type="dxa" w:w="72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Customer growth, revenue, break-even, and pilot improvements are projections or targets.</w:t>
            </w:r>
          </w:p>
        </w:tc>
      </w:tr>
      <w:tr>
        <w:trPr>
          <w:cantSplit/>
        </w:trPr>
        <w:tc>
          <w:tcPr>
            <w:tcW w:type="dxa" w:w="2100"/>
            <w:vAlign w:val="center"/>
            <w:shd w:fill="F2F4F7"/>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Sustainability</w:t>
            </w:r>
          </w:p>
        </w:tc>
        <w:tc>
          <w:tcPr>
            <w:tcW w:type="dxa" w:w="7260"/>
            <w:vAlign w:val="center"/>
            <w:shd w:fill="F2F4F7"/>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Measure paper use, occupancy, unnecessary dispatches, and idling; do not claim proven savings.</w:t>
            </w:r>
          </w:p>
        </w:tc>
      </w:tr>
      <w:tr>
        <w:trPr>
          <w:cantSplit/>
        </w:trPr>
        <w:tc>
          <w:tcPr>
            <w:tcW w:type="dxa" w:w="21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Brand</w:t>
            </w:r>
          </w:p>
        </w:tc>
        <w:tc>
          <w:tcPr>
            <w:tcW w:type="dxa" w:w="72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Use only: Board smart, travel smarter.</w:t>
            </w:r>
          </w:p>
        </w:tc>
      </w:tr>
      <w:tr>
        <w:trPr>
          <w:cantSplit/>
        </w:trPr>
        <w:tc>
          <w:tcPr>
            <w:tcW w:type="dxa" w:w="210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Allocation priority</w:t>
            </w:r>
          </w:p>
        </w:tc>
        <w:tc>
          <w:tcPr>
            <w:tcW w:type="dxa" w:w="7260"/>
            <w:vAlign w:val="center"/>
            <w:tcMar>
              <w:top w:w="80" w:type="dxa"/>
              <w:bottom w:w="80" w:type="dxa"/>
              <w:start w:w="120" w:type="dxa"/>
              <w:end w:w="120" w:type="dxa"/>
            </w:tcMar>
          </w:tcPr>
          <w:p>
            <w:pPr>
              <w:keepLines/>
              <w:widowControl/>
              <w:spacing w:before="0" w:after="0" w:line="252" w:lineRule="auto"/>
              <w:jc w:val="left"/>
            </w:pPr>
            <w:r>
              <w:rPr>
                <w:rFonts w:ascii="Calibri" w:hAnsi="Calibri"/>
                <w:b w:val="0"/>
                <w:i w:val="0"/>
                <w:color w:val="0B2545"/>
                <w:sz w:val="17"/>
              </w:rPr>
              <w:t>Accessibility is a hard seating requirement. Family proximity is secondary. Affinity matching is optional and remains off in the family demo.</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C6773"/>
        <w:sz w:val="17"/>
      </w:rPr>
      <w:t xml:space="preserve">Shoot Guide  |  </w:t>
    </w:r>
    <w:r>
      <w:rPr>
        <w:rFonts w:ascii="Calibri" w:hAnsi="Calibri"/>
        <w:b w:val="0"/>
        <w:i w:val="0"/>
        <w:color w:val="5C67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5C6773"/>
        <w:sz w:val="17"/>
      </w:rPr>
      <w:t>TRIPSYNC | BIDA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TripSync BIDA 2026 Video Shoot Guide</dc:title>
  <dc:subject>Concise production guide for the TripSync BIDA submission video</dc:subject>
  <dc:creator>TripSync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