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Quick Discovery – Arquitectura de Infraestructura Cloud</w:t>
      </w:r>
    </w:p>
    <w:p>
      <w:r>
        <w:t>Proyecto: Modernización Plataforma E-Commerce Coppel</w:t>
      </w:r>
    </w:p>
    <w:p>
      <w:r>
        <w:t>Fecha: Julio 2026 | Versión: 1.0</w:t>
      </w:r>
    </w:p>
    <w:p/>
    <w:p>
      <w:pPr>
        <w:pStyle w:val="Heading1"/>
      </w:pPr>
      <w:r>
        <w:t>1. Información General del Proyecto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 del Proyecto</w:t>
            </w:r>
          </w:p>
        </w:tc>
        <w:tc>
          <w:tcPr>
            <w:tcW w:type="dxa" w:w="4320"/>
          </w:tcPr>
          <w:p>
            <w:r>
              <w:t>Modernización Plataforma E-Commerce Coppel</w:t>
            </w:r>
          </w:p>
        </w:tc>
      </w:tr>
      <w:tr>
        <w:tc>
          <w:tcPr>
            <w:tcW w:type="dxa" w:w="4320"/>
          </w:tcPr>
          <w:p>
            <w:r>
              <w:t>Líder del Proyecto</w:t>
            </w:r>
          </w:p>
        </w:tc>
        <w:tc>
          <w:tcPr>
            <w:tcW w:type="dxa" w:w="4320"/>
          </w:tcPr>
          <w:p>
            <w:r>
              <w:t>Roberto Sánchez Mendoza</w:t>
            </w:r>
          </w:p>
        </w:tc>
      </w:tr>
      <w:tr>
        <w:tc>
          <w:tcPr>
            <w:tcW w:type="dxa" w:w="4320"/>
          </w:tcPr>
          <w:p>
            <w:r>
              <w:t>Solicitante</w:t>
            </w:r>
          </w:p>
        </w:tc>
        <w:tc>
          <w:tcPr>
            <w:tcW w:type="dxa" w:w="4320"/>
          </w:tcPr>
          <w:p>
            <w:r>
              <w:t>Diana Flores Ramírez</w:t>
            </w:r>
          </w:p>
        </w:tc>
      </w:tr>
      <w:tr>
        <w:tc>
          <w:tcPr>
            <w:tcW w:type="dxa" w:w="4320"/>
          </w:tcPr>
          <w:p>
            <w:r>
              <w:t>Unidad de Negocio</w:t>
            </w:r>
          </w:p>
        </w:tc>
        <w:tc>
          <w:tcPr>
            <w:tcW w:type="dxa" w:w="4320"/>
          </w:tcPr>
          <w:p>
            <w:r>
              <w:t>Retail Digital</w:t>
            </w:r>
          </w:p>
        </w:tc>
      </w:tr>
      <w:tr>
        <w:tc>
          <w:tcPr>
            <w:tcW w:type="dxa" w:w="4320"/>
          </w:tcPr>
          <w:p>
            <w:r>
              <w:t>Área de Negocio</w:t>
            </w:r>
          </w:p>
        </w:tc>
        <w:tc>
          <w:tcPr>
            <w:tcW w:type="dxa" w:w="4320"/>
          </w:tcPr>
          <w:p>
            <w:r>
              <w:t>E-Commerce</w:t>
            </w:r>
          </w:p>
        </w:tc>
      </w:tr>
      <w:tr>
        <w:tc>
          <w:tcPr>
            <w:tcW w:type="dxa" w:w="4320"/>
          </w:tcPr>
          <w:p>
            <w:r>
              <w:t>Ambiente</w:t>
            </w:r>
          </w:p>
        </w:tc>
        <w:tc>
          <w:tcPr>
            <w:tcW w:type="dxa" w:w="4320"/>
          </w:tcPr>
          <w:p>
            <w:r>
              <w:t>Producción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Migrar la plataforma de e-commerce monolítica a microservicios en AWS, mejorando escalabilidad durante Hot Sale/Buen Fin y reduciendo deploy de 2 semanas a 1 día</w:t>
            </w:r>
          </w:p>
        </w:tc>
      </w:tr>
      <w:tr>
        <w:tc>
          <w:tcPr>
            <w:tcW w:type="dxa" w:w="4320"/>
          </w:tcPr>
          <w:p>
            <w:r>
              <w:t>Resumen del Servicio</w:t>
            </w:r>
          </w:p>
        </w:tc>
        <w:tc>
          <w:tcPr>
            <w:tcW w:type="dxa" w:w="4320"/>
          </w:tcPr>
          <w:p>
            <w:r>
              <w:t>Plataforma e-commerce: catálogo, carrito, pagos, inventario, notificaciones. On-premise con picos de 50,000 usuarios concurrentes</w:t>
            </w:r>
          </w:p>
        </w:tc>
      </w:tr>
    </w:tbl>
    <w:p>
      <w:pPr>
        <w:pStyle w:val="Heading1"/>
      </w:pPr>
      <w:r>
        <w:t>2. Requisitos Técnicos</w:t>
      </w:r>
    </w:p>
    <w:p>
      <w:pPr>
        <w:pStyle w:val="Heading2"/>
      </w:pPr>
      <w:r>
        <w:t>2.1 Desempeño</w:t>
      </w:r>
    </w:p>
    <w:p>
      <w:pPr>
        <w:pStyle w:val="ListBullet"/>
      </w:pPr>
      <w:r>
        <w:t>Latencia: 200ms APIs catálogo, 500ms checkout</w:t>
      </w:r>
    </w:p>
    <w:p>
      <w:pPr>
        <w:pStyle w:val="ListBullet"/>
      </w:pPr>
      <w:r>
        <w:t>Throughput: 5,000 TPS en pico (Hot Sale)</w:t>
      </w:r>
    </w:p>
    <w:p>
      <w:pPr>
        <w:pStyle w:val="ListBullet"/>
      </w:pPr>
      <w:r>
        <w:t>Usuarios concurrentes: 50,000 normal, 200,000 eventos</w:t>
      </w:r>
    </w:p>
    <w:p>
      <w:pPr>
        <w:pStyle w:val="ListBullet"/>
      </w:pPr>
      <w:r>
        <w:t>Búsqueda: &lt; 100ms</w:t>
      </w:r>
    </w:p>
    <w:p>
      <w:pPr>
        <w:pStyle w:val="Heading2"/>
      </w:pPr>
      <w:r>
        <w:t>2.2 Disponibilidad</w:t>
      </w:r>
    </w:p>
    <w:p>
      <w:pPr>
        <w:pStyle w:val="ListBullet"/>
      </w:pPr>
      <w:r>
        <w:t>SLA: 99.95%</w:t>
      </w:r>
    </w:p>
    <w:p>
      <w:pPr>
        <w:pStyle w:val="ListBullet"/>
      </w:pPr>
      <w:r>
        <w:t>RTO: 15 minutos</w:t>
      </w:r>
    </w:p>
    <w:p>
      <w:pPr>
        <w:pStyle w:val="ListBullet"/>
      </w:pPr>
      <w:r>
        <w:t>RPO: 5 minutos</w:t>
      </w:r>
    </w:p>
    <w:p>
      <w:pPr>
        <w:pStyle w:val="ListBullet"/>
      </w:pPr>
      <w:r>
        <w:t>Mantenimiento: Martes 2-4 AM</w:t>
      </w:r>
    </w:p>
    <w:p>
      <w:pPr>
        <w:pStyle w:val="Heading2"/>
      </w:pPr>
      <w:r>
        <w:t>2.3 Escalabilidad</w:t>
      </w:r>
    </w:p>
    <w:p>
      <w:pPr>
        <w:pStyle w:val="ListBullet"/>
      </w:pPr>
      <w:r>
        <w:t>Autoescalado horizontal (min 3, max 20 pods)</w:t>
      </w:r>
    </w:p>
    <w:p>
      <w:pPr>
        <w:pStyle w:val="ListBullet"/>
      </w:pPr>
      <w:r>
        <w:t>Escalado predictivo pre-eventos</w:t>
      </w:r>
    </w:p>
    <w:p>
      <w:pPr>
        <w:pStyle w:val="ListBullet"/>
      </w:pPr>
      <w:r>
        <w:t>Read replicas para catálogo</w:t>
      </w:r>
    </w:p>
    <w:p>
      <w:pPr>
        <w:pStyle w:val="ListBullet"/>
      </w:pPr>
      <w:r>
        <w:t>CDN para assets estáticos</w:t>
      </w:r>
    </w:p>
    <w:p>
      <w:pPr>
        <w:pStyle w:val="Heading2"/>
      </w:pPr>
      <w:r>
        <w:t>2.4 Seguridad</w:t>
      </w:r>
    </w:p>
    <w:p>
      <w:pPr>
        <w:pStyle w:val="ListBullet"/>
      </w:pPr>
      <w:r>
        <w:t>PCI-DSS para pagos</w:t>
      </w:r>
    </w:p>
    <w:p>
      <w:pPr>
        <w:pStyle w:val="ListBullet"/>
      </w:pPr>
      <w:r>
        <w:t>TLS 1.3 + AES-256</w:t>
      </w:r>
    </w:p>
    <w:p>
      <w:pPr>
        <w:pStyle w:val="ListBullet"/>
      </w:pPr>
      <w:r>
        <w:t>WAF contra OWASP Top 10</w:t>
      </w:r>
    </w:p>
    <w:p>
      <w:pPr>
        <w:pStyle w:val="ListBullet"/>
      </w:pPr>
      <w:r>
        <w:t>OAuth 2.0 + MFA admins</w:t>
      </w:r>
    </w:p>
    <w:p>
      <w:pPr>
        <w:pStyle w:val="ListBullet"/>
      </w:pPr>
      <w:r>
        <w:t>Segregación de redes por microservicio</w:t>
      </w:r>
    </w:p>
    <w:p>
      <w:pPr>
        <w:pStyle w:val="Heading1"/>
      </w:pPr>
      <w:r>
        <w:t>3. Volumetría y Datos</w:t>
      </w:r>
    </w:p>
    <w:p>
      <w:pPr>
        <w:pStyle w:val="ListBullet"/>
      </w:pPr>
      <w:r>
        <w:t>Catálogo: 2.5M SKUs activos</w:t>
      </w:r>
    </w:p>
    <w:p>
      <w:pPr>
        <w:pStyle w:val="ListBullet"/>
      </w:pPr>
      <w:r>
        <w:t>Órdenes: 80,000/día promedio, 400,000 pico</w:t>
      </w:r>
    </w:p>
    <w:p>
      <w:pPr>
        <w:pStyle w:val="ListBullet"/>
      </w:pPr>
      <w:r>
        <w:t>BD actual: 1.2 TB PostgreSQL</w:t>
      </w:r>
    </w:p>
    <w:p>
      <w:pPr>
        <w:pStyle w:val="ListBullet"/>
      </w:pPr>
      <w:r>
        <w:t>Imágenes: 15 TB</w:t>
      </w:r>
    </w:p>
    <w:p>
      <w:pPr>
        <w:pStyle w:val="ListBullet"/>
      </w:pPr>
      <w:r>
        <w:t>Logs: 500 GB/día</w:t>
      </w:r>
    </w:p>
    <w:p>
      <w:pPr>
        <w:pStyle w:val="ListBullet"/>
      </w:pPr>
      <w:r>
        <w:t>Retención: 7 años (regulatorio)</w:t>
      </w:r>
    </w:p>
    <w:p>
      <w:pPr>
        <w:pStyle w:val="ListBullet"/>
      </w:pPr>
      <w:r>
        <w:t>Crecimiento: 30% anual</w:t>
      </w:r>
    </w:p>
    <w:p>
      <w:pPr>
        <w:pStyle w:val="Heading1"/>
      </w:pPr>
      <w:r>
        <w:t>4. Dependencias e Integraciones</w:t>
      </w:r>
    </w:p>
    <w:p>
      <w:pPr>
        <w:pStyle w:val="ListBullet"/>
      </w:pPr>
      <w:r>
        <w:t>SAP ERP: sync inventario cada 5 min</w:t>
      </w:r>
    </w:p>
    <w:p>
      <w:pPr>
        <w:pStyle w:val="ListBullet"/>
      </w:pPr>
      <w:r>
        <w:t>Pagos: Conekta y PayPal (REST)</w:t>
      </w:r>
    </w:p>
    <w:p>
      <w:pPr>
        <w:pStyle w:val="ListBullet"/>
      </w:pPr>
      <w:r>
        <w:t>Logística: WMS Coppel (SOAP/XML)</w:t>
      </w:r>
    </w:p>
    <w:p>
      <w:pPr>
        <w:pStyle w:val="ListBullet"/>
      </w:pPr>
      <w:r>
        <w:t>CRM: Salesforce API</w:t>
      </w:r>
    </w:p>
    <w:p>
      <w:pPr>
        <w:pStyle w:val="ListBullet"/>
      </w:pPr>
      <w:r>
        <w:t>Notificaciones: Twilio SMS, SES email, Push</w:t>
      </w:r>
    </w:p>
    <w:p>
      <w:pPr>
        <w:pStyle w:val="ListBullet"/>
      </w:pPr>
      <w:r>
        <w:t>CDN: Akamai → CloudFront</w:t>
      </w:r>
    </w:p>
    <w:p>
      <w:pPr>
        <w:pStyle w:val="ListBullet"/>
      </w:pPr>
      <w:r>
        <w:t>Monitoreo: Datadog (mantener)</w:t>
      </w:r>
    </w:p>
    <w:p>
      <w:pPr>
        <w:pStyle w:val="Heading1"/>
      </w:pPr>
      <w:r>
        <w:t>5. Entorno de Red</w:t>
      </w:r>
    </w:p>
    <w:p>
      <w:pPr>
        <w:pStyle w:val="ListBullet"/>
      </w:pPr>
      <w:r>
        <w:t>VPN Site-to-Site datacenter Monterrey (1 Gbps)</w:t>
      </w:r>
    </w:p>
    <w:p>
      <w:pPr>
        <w:pStyle w:val="ListBullet"/>
      </w:pPr>
      <w:r>
        <w:t>Direct Connect 10 Gbps CDMX</w:t>
      </w:r>
    </w:p>
    <w:p>
      <w:pPr>
        <w:pStyle w:val="ListBullet"/>
      </w:pPr>
      <w:r>
        <w:t>VPC: subnets públicas, privadas, aisladas</w:t>
      </w:r>
    </w:p>
    <w:p>
      <w:pPr>
        <w:pStyle w:val="ListBullet"/>
      </w:pPr>
      <w:r>
        <w:t>DNS: Route53 con failover</w:t>
      </w:r>
    </w:p>
    <w:p>
      <w:pPr>
        <w:pStyle w:val="ListBullet"/>
      </w:pPr>
      <w:r>
        <w:t>ALB para HTTP/S, NLB para TCP</w:t>
      </w:r>
    </w:p>
    <w:p>
      <w:pPr>
        <w:pStyle w:val="ListBullet"/>
      </w:pPr>
      <w:r>
        <w:t>8 Elastic IPs</w:t>
      </w:r>
    </w:p>
    <w:p>
      <w:pPr>
        <w:pStyle w:val="ListBullet"/>
      </w:pPr>
      <w:r>
        <w:t>Ancho de banda: 5 Gbps saliente pico</w:t>
      </w:r>
    </w:p>
    <w:p>
      <w:pPr>
        <w:pStyle w:val="Heading1"/>
      </w:pPr>
      <w:r>
        <w:t>6. Estrategia de Migración</w:t>
      </w:r>
    </w:p>
    <w:p>
      <w:pPr>
        <w:pStyle w:val="ListBullet"/>
      </w:pPr>
      <w:r>
        <w:t>Enfoque: Strangler Fig Pattern</w:t>
      </w:r>
    </w:p>
    <w:p>
      <w:pPr>
        <w:pStyle w:val="ListBullet"/>
      </w:pPr>
      <w:r>
        <w:t>Fase 1 (Mes 1-2): Catálogo y búsqueda</w:t>
      </w:r>
    </w:p>
    <w:p>
      <w:pPr>
        <w:pStyle w:val="ListBullet"/>
      </w:pPr>
      <w:r>
        <w:t>Fase 2 (Mes 3-4): Carrito y checkout</w:t>
      </w:r>
    </w:p>
    <w:p>
      <w:pPr>
        <w:pStyle w:val="ListBullet"/>
      </w:pPr>
      <w:r>
        <w:t>Fase 3 (Mes 5-6): Pagos y notificaciones</w:t>
      </w:r>
    </w:p>
    <w:p>
      <w:pPr>
        <w:pStyle w:val="ListBullet"/>
      </w:pPr>
      <w:r>
        <w:t>Fase 4 (Mes 7-8): Inventario y logística</w:t>
      </w:r>
    </w:p>
    <w:p>
      <w:pPr>
        <w:pStyle w:val="ListBullet"/>
      </w:pPr>
      <w:r>
        <w:t>Rollback: Blue/Green con switch DNS &lt; 5 min</w:t>
      </w:r>
    </w:p>
    <w:p>
      <w:pPr>
        <w:pStyle w:val="ListBullet"/>
      </w:pPr>
      <w:r>
        <w:t>Criterio: Latencia ≤ on-premise, 0 pérdida transacciones</w:t>
      </w:r>
    </w:p>
    <w:p>
      <w:pPr>
        <w:pStyle w:val="Heading1"/>
      </w:pPr>
      <w:r>
        <w:t>7. Infraestructura Requerida</w:t>
      </w:r>
    </w:p>
    <w:p>
      <w:pPr>
        <w:pStyle w:val="ListBullet"/>
      </w:pPr>
      <w:r>
        <w:t>EKS: nodos m5.2xlarge (8 vCPU, 32 GB)</w:t>
      </w:r>
    </w:p>
    <w:p>
      <w:pPr>
        <w:pStyle w:val="ListBullet"/>
      </w:pPr>
      <w:r>
        <w:t>Aurora PostgreSQL Multi-AZ (db.r6g.2xlarge)</w:t>
      </w:r>
    </w:p>
    <w:p>
      <w:pPr>
        <w:pStyle w:val="ListBullet"/>
      </w:pPr>
      <w:r>
        <w:t>ElastiCache Redis cluster (6 nodos r6g.large)</w:t>
      </w:r>
    </w:p>
    <w:p>
      <w:pPr>
        <w:pStyle w:val="ListBullet"/>
      </w:pPr>
      <w:r>
        <w:t>S3 para imágenes + EBS gp3</w:t>
      </w:r>
    </w:p>
    <w:p>
      <w:pPr>
        <w:pStyle w:val="ListBullet"/>
      </w:pPr>
      <w:r>
        <w:t>SQS colas de órdenes, SNS notificaciones</w:t>
      </w:r>
    </w:p>
    <w:p>
      <w:pPr>
        <w:pStyle w:val="ListBullet"/>
      </w:pPr>
      <w:r>
        <w:t>Lambda: procesamiento imágenes y webhooks</w:t>
      </w:r>
    </w:p>
    <w:p>
      <w:pPr>
        <w:pStyle w:val="ListBullet"/>
      </w:pPr>
      <w:r>
        <w:t>OpenSearch: 3 nodos m5.xlarge</w:t>
      </w:r>
    </w:p>
    <w:p>
      <w:pPr>
        <w:pStyle w:val="ListBullet"/>
      </w:pPr>
      <w:r>
        <w:t>API Gateway con throttling</w:t>
      </w:r>
    </w:p>
    <w:p>
      <w:pPr>
        <w:pStyle w:val="Heading1"/>
      </w:pPr>
      <w:r>
        <w:t>8. Disaster Recovery</w:t>
      </w:r>
    </w:p>
    <w:p>
      <w:pPr>
        <w:pStyle w:val="ListBullet"/>
      </w:pPr>
      <w:r>
        <w:t>Estrategia: Warm Standby en us-west-2</w:t>
      </w:r>
    </w:p>
    <w:p>
      <w:pPr>
        <w:pStyle w:val="ListBullet"/>
      </w:pPr>
      <w:r>
        <w:t>Aurora cross-region replication (lag &lt; 1s)</w:t>
      </w:r>
    </w:p>
    <w:p>
      <w:pPr>
        <w:pStyle w:val="ListBullet"/>
      </w:pPr>
      <w:r>
        <w:t>S3 cross-region replication</w:t>
      </w:r>
    </w:p>
    <w:p>
      <w:pPr>
        <w:pStyle w:val="ListBullet"/>
      </w:pPr>
      <w:r>
        <w:t>EKS standby 50% capacidad región secundaria</w:t>
      </w:r>
    </w:p>
    <w:p>
      <w:pPr>
        <w:pStyle w:val="ListBullet"/>
      </w:pPr>
      <w:r>
        <w:t>Route53 health checks + failover automático</w:t>
      </w:r>
    </w:p>
    <w:p>
      <w:pPr>
        <w:pStyle w:val="ListBullet"/>
      </w:pPr>
      <w:r>
        <w:t>Pruebas DR trimestrales</w:t>
      </w:r>
    </w:p>
    <w:p>
      <w:pPr>
        <w:pStyle w:val="ListBullet"/>
      </w:pPr>
      <w:r>
        <w:t>Backup: diario 30 días, mensual 1 año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