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jc w:val="both"/>
        <w:rPr/>
      </w:pPr>
      <w:r>
        <w:rPr>
          <w:b/>
        </w:rPr>
        <w:t>Proyecto:</w:t>
      </w:r>
    </w:p>
    <w:p w:rsidR="00000000" w:rsidDel="00000000" w:rsidP="00000000" w:rsidRDefault="00000000" w:rsidRPr="00000000" w14:paraId="00000002">
      <w:pPr>
        <w:spacing w:after="200" w:before="200" w:lineRule="auto"/>
        <w:jc w:val="both"/>
        <w:rPr/>
      </w:pPr>
      <w:r w:rsidDel="00000000" w:rsidR="00000000" w:rsidRPr="00000000">
        <w:rPr>
          <w:rtl w:val="0"/>
        </w:rPr>
      </w:r>
    </w:p>
    <w:p w:rsidR="00000000" w:rsidDel="00000000" w:rsidP="00000000" w:rsidRDefault="00000000" w:rsidRPr="00000000" w14:paraId="00000003">
      <w:pPr>
        <w:spacing w:after="100" w:before="100" w:lineRule="auto"/>
        <w:jc w:val="left"/>
        <w:rPr>
          <w:b w:val="1"/>
          <w:bCs w:val="1"/>
          <w:sz w:val="26"/>
          <w:szCs w:val="26"/>
        </w:rPr>
      </w:pPr>
      <w:r w:rsidDel="00000000" w:rsidR="00000000" w:rsidRPr="00000000">
        <w:rPr>
          <w:rtl w:val="0"/>
        </w:rPr>
      </w:r>
    </w:p>
    <w:p w:rsidR="00000000" w:rsidDel="00000000" w:rsidP="00000000" w:rsidRDefault="00000000" w:rsidRPr="00000000" w14:paraId="00000004">
      <w:pPr>
        <w:spacing w:after="100" w:before="100" w:lineRule="auto"/>
        <w:jc w:val="left"/>
        <w:rPr>
          <w:b w:val="1"/>
          <w:bCs w:val="1"/>
          <w:sz w:val="26"/>
          <w:szCs w:val="26"/>
        </w:rPr>
      </w:pPr>
      <w:r w:rsidDel="00000000" w:rsidR="00000000" w:rsidRPr="00000000">
        <w:rPr>
          <w:rtl w:val="0"/>
        </w:rPr>
      </w:r>
    </w:p>
    <w:p w:rsidR="00000000" w:rsidDel="00000000" w:rsidP="00000000" w:rsidRDefault="00000000" w:rsidRPr="00000000" w14:paraId="00000005">
      <w:pPr>
        <w:spacing w:after="100" w:before="100" w:lineRule="auto"/>
        <w:jc w:val="left"/>
        <w:rPr>
          <w:b w:val="1"/>
          <w:bCs w:val="1"/>
          <w:sz w:val="26"/>
          <w:szCs w:val="26"/>
        </w:rPr>
      </w:pPr>
      <w:r w:rsidDel="00000000" w:rsidR="00000000" w:rsidRPr="00000000">
        <w:rPr>
          <w:rtl w:val="0"/>
        </w:rPr>
      </w:r>
    </w:p>
    <w:p w:rsidR="00000000" w:rsidDel="00000000" w:rsidP="00000000" w:rsidRDefault="00000000" w:rsidRPr="00000000" w14:paraId="00000006">
      <w:pPr>
        <w:spacing w:line="276" w:lineRule="auto"/>
        <w:jc w:val="center"/>
        <w:rPr>
          <w:rFonts w:ascii="Calibri" w:cs="Calibri" w:eastAsia="Calibri" w:hAnsi="Calibri"/>
          <w:b w:val="1"/>
          <w:bCs w:val="1"/>
          <w:sz w:val="48"/>
          <w:szCs w:val="48"/>
        </w:rPr>
      </w:pPr>
    </w:p>
    <w:p w:rsidR="00000000" w:rsidDel="00000000" w:rsidP="00000000" w:rsidRDefault="00000000" w:rsidRPr="00000000" w14:paraId="00000007">
      <w:pPr>
        <w:spacing w:line="276" w:lineRule="auto"/>
        <w:jc w:val="center"/>
        <w:rPr>
          <w:rFonts w:ascii="Calibri" w:cs="Calibri" w:eastAsia="Calibri" w:hAnsi="Calibri"/>
          <w:b w:val="1"/>
          <w:bCs w:val="1"/>
          <w:sz w:val="70"/>
          <w:szCs w:val="70"/>
        </w:rPr>
      </w:pPr>
    </w:p>
    <w:p w:rsidR="00000000" w:rsidDel="00000000" w:rsidP="00000000" w:rsidRDefault="00000000" w:rsidRPr="00000000" w14:paraId="00000008">
      <w:pPr>
        <w:spacing w:line="276" w:lineRule="auto"/>
        <w:jc w:val="center"/>
        <w:rPr>
          <w:rFonts w:ascii="Calibri" w:cs="Calibri" w:eastAsia="Calibri" w:hAnsi="Calibri"/>
          <w:b w:val="1"/>
          <w:bCs w:val="1"/>
          <w:sz w:val="48"/>
          <w:szCs w:val="48"/>
        </w:rPr>
      </w:pPr>
    </w:p>
    <w:p w:rsidR="00000000" w:rsidDel="00000000" w:rsidP="00000000" w:rsidRDefault="00000000" w:rsidRPr="00000000" w14:paraId="00000009">
      <w:pPr>
        <w:spacing w:line="276" w:lineRule="auto"/>
        <w:jc w:val="center"/>
        <w:rPr>
          <w:rFonts w:ascii="Calibri" w:cs="Calibri" w:eastAsia="Calibri" w:hAnsi="Calibri"/>
          <w:b w:val="1"/>
          <w:bCs w:val="1"/>
          <w:sz w:val="70"/>
          <w:szCs w:val="70"/>
        </w:rPr>
      </w:pPr>
    </w:p>
    <w:p w:rsidR="00000000" w:rsidDel="00000000" w:rsidP="00000000" w:rsidRDefault="00000000" w:rsidRPr="00000000" w14:paraId="0000000A">
      <w:pPr>
        <w:spacing w:line="276" w:lineRule="auto"/>
        <w:jc w:val="center"/>
        <w:rPr>
          <w:rFonts w:ascii="Calibri" w:cs="Calibri" w:eastAsia="Calibri" w:hAnsi="Calibri"/>
          <w:b w:val="1"/>
          <w:bCs w:val="1"/>
          <w:sz w:val="64"/>
          <w:szCs w:val="64"/>
        </w:rPr>
      </w:pPr>
    </w:p>
    <w:p w:rsidR="00000000" w:rsidDel="00000000" w:rsidP="00000000" w:rsidRDefault="00000000" w:rsidRPr="00000000" w14:paraId="0000000B">
      <w:pPr>
        <w:spacing w:after="100" w:before="100" w:lineRule="auto"/>
        <w:jc w:val="left"/>
        <w:rPr>
          <w:b w:val="1"/>
          <w:bCs w:val="1"/>
          <w:sz w:val="26"/>
          <w:szCs w:val="26"/>
        </w:rPr>
      </w:pPr>
    </w:p>
    <w:p w:rsidR="00000000" w:rsidDel="00000000" w:rsidP="00000000" w:rsidRDefault="00000000" w:rsidRPr="00000000" w14:paraId="0000000C">
      <w:pPr>
        <w:spacing w:after="100" w:before="100" w:lineRule="auto"/>
        <w:jc w:val="left"/>
        <w:rPr>
          <w:b w:val="1"/>
          <w:bCs w:val="1"/>
          <w:sz w:val="26"/>
          <w:szCs w:val="26"/>
        </w:rPr>
      </w:pPr>
    </w:p>
    <w:p w:rsidR="00000000" w:rsidDel="00000000" w:rsidP="00000000" w:rsidRDefault="00000000" w:rsidRPr="00000000" w14:paraId="0000000D">
      <w:pPr>
        <w:spacing w:after="100" w:before="100" w:lineRule="auto"/>
        <w:jc w:val="left"/>
        <w:rPr>
          <w:b w:val="1"/>
          <w:bCs w:val="1"/>
          <w:sz w:val="26"/>
          <w:szCs w:val="26"/>
        </w:rPr>
      </w:pPr>
    </w:p>
    <w:p w:rsidR="00000000" w:rsidDel="00000000" w:rsidP="00000000" w:rsidRDefault="00000000" w:rsidRPr="00000000" w14:paraId="0000000E">
      <w:pPr>
        <w:spacing w:after="100" w:before="100" w:lineRule="auto"/>
        <w:jc w:val="left"/>
        <w:rPr>
          <w:b w:val="1"/>
          <w:bCs w:val="1"/>
          <w:sz w:val="26"/>
          <w:szCs w:val="26"/>
        </w:rPr>
      </w:pPr>
    </w:p>
    <w:p w:rsidR="00000000" w:rsidDel="00000000" w:rsidP="00000000" w:rsidRDefault="00000000" w:rsidRPr="00000000" w14:paraId="0000000F">
      <w:pPr>
        <w:spacing w:after="100" w:before="100" w:lineRule="auto"/>
        <w:jc w:val="left"/>
        <w:rPr>
          <w:b w:val="1"/>
          <w:bCs w:val="1"/>
          <w:sz w:val="26"/>
          <w:szCs w:val="26"/>
        </w:rPr>
      </w:pPr>
    </w:p>
    <w:p w:rsidR="00000000" w:rsidDel="00000000" w:rsidP="00000000" w:rsidRDefault="00000000" w:rsidRPr="00000000" w14:paraId="00000010">
      <w:pPr>
        <w:spacing w:after="100" w:before="100" w:lineRule="auto"/>
        <w:jc w:val="left"/>
        <w:rPr>
          <w:b w:val="1"/>
          <w:bCs w:val="1"/>
          <w:sz w:val="26"/>
          <w:szCs w:val="26"/>
        </w:rPr>
      </w:pPr>
    </w:p>
    <w:p w:rsidR="00000000" w:rsidDel="00000000" w:rsidP="00000000" w:rsidRDefault="00000000" w:rsidRPr="00000000" w14:paraId="00000011">
      <w:pPr>
        <w:spacing w:after="100" w:before="100" w:lineRule="auto"/>
        <w:jc w:val="left"/>
        <w:rPr>
          <w:b w:val="1"/>
          <w:bCs w:val="1"/>
          <w:sz w:val="26"/>
          <w:szCs w:val="26"/>
        </w:rPr>
      </w:pPr>
    </w:p>
    <w:p w:rsidR="00000000" w:rsidDel="00000000" w:rsidP="00000000" w:rsidRDefault="00000000" w:rsidRPr="00000000" w14:paraId="00000012">
      <w:pPr>
        <w:spacing w:after="100" w:before="100" w:lineRule="auto"/>
        <w:jc w:val="left"/>
        <w:rPr>
          <w:b w:val="1"/>
          <w:bCs w:val="1"/>
          <w:sz w:val="26"/>
          <w:szCs w:val="26"/>
        </w:rPr>
      </w:pPr>
    </w:p>
    <w:p w:rsidR="00000000" w:rsidDel="00000000" w:rsidP="00000000" w:rsidRDefault="00000000" w:rsidRPr="00000000" w14:paraId="00000013">
      <w:pPr>
        <w:spacing w:after="100" w:before="100" w:lineRule="auto"/>
        <w:jc w:val="left"/>
        <w:rPr>
          <w:b w:val="1"/>
          <w:bCs w:val="1"/>
          <w:sz w:val="26"/>
          <w:szCs w:val="26"/>
        </w:rPr>
      </w:pPr>
    </w:p>
    <w:p w:rsidR="00000000" w:rsidDel="00000000" w:rsidP="00000000" w:rsidRDefault="00000000" w:rsidRPr="00000000" w14:paraId="00000014">
      <w:pPr>
        <w:spacing w:after="100" w:before="100" w:lineRule="auto"/>
        <w:jc w:val="left"/>
        <w:rPr>
          <w:b w:val="1"/>
          <w:bCs w:val="1"/>
          <w:sz w:val="26"/>
          <w:szCs w:val="26"/>
        </w:rPr>
      </w:pPr>
    </w:p>
    <w:p w:rsidR="00000000" w:rsidDel="00000000" w:rsidP="00000000" w:rsidRDefault="00000000" w:rsidRPr="00000000" w14:paraId="00000015">
      <w:pPr>
        <w:spacing w:after="100" w:before="100" w:lineRule="auto"/>
        <w:jc w:val="left"/>
        <w:rPr>
          <w:b w:val="1"/>
          <w:bCs w:val="1"/>
          <w:sz w:val="26"/>
          <w:szCs w:val="26"/>
        </w:rPr>
      </w:pPr>
    </w:p>
    <w:p w:rsidR="00000000" w:rsidDel="00000000" w:rsidP="00000000" w:rsidRDefault="00000000" w:rsidRPr="00000000" w14:paraId="00000016">
      <w:pPr>
        <w:spacing w:after="100" w:before="100" w:lineRule="auto"/>
        <w:jc w:val="left"/>
        <w:rPr>
          <w:b w:val="1"/>
          <w:bCs w:val="1"/>
          <w:sz w:val="26"/>
          <w:szCs w:val="26"/>
        </w:rPr>
      </w:pPr>
    </w:p>
    <w:p w:rsidR="00000000" w:rsidDel="00000000" w:rsidP="00000000" w:rsidRDefault="00000000" w:rsidRPr="00000000" w14:paraId="00000017">
      <w:pPr>
        <w:spacing w:after="100" w:before="100" w:lineRule="auto"/>
        <w:jc w:val="left"/>
        <w:rPr>
          <w:b w:val="1"/>
          <w:bCs w:val="1"/>
          <w:sz w:val="26"/>
          <w:szCs w:val="26"/>
        </w:rPr>
      </w:pPr>
    </w:p>
    <w:p w:rsidR="00000000" w:rsidDel="00000000" w:rsidP="00000000" w:rsidRDefault="00000000" w:rsidRPr="00000000" w14:paraId="00000018">
      <w:pPr>
        <w:spacing w:after="100" w:before="100" w:lineRule="auto"/>
        <w:jc w:val="left"/>
        <w:rPr>
          <w:b w:val="1"/>
          <w:bCs w:val="1"/>
          <w:sz w:val="26"/>
          <w:szCs w:val="26"/>
        </w:rPr>
      </w:pPr>
    </w:p>
    <w:p w:rsidR="00000000" w:rsidDel="00000000" w:rsidP="00000000" w:rsidRDefault="00000000" w:rsidRPr="00000000" w14:paraId="00000019">
      <w:pPr>
        <w:spacing w:after="100" w:before="100" w:lineRule="auto"/>
        <w:jc w:val="left"/>
        <w:rPr>
          <w:b w:val="1"/>
          <w:bCs w:val="1"/>
          <w:sz w:val="26"/>
          <w:szCs w:val="26"/>
        </w:rPr>
      </w:pPr>
    </w:p>
    <w:p w:rsidR="00000000" w:rsidDel="00000000" w:rsidP="00000000" w:rsidRDefault="00000000" w:rsidRPr="00000000" w14:paraId="0000001A">
      <w:pPr>
        <w:spacing w:after="100" w:before="100" w:lineRule="auto"/>
        <w:jc w:val="left"/>
        <w:rPr>
          <w:b w:val="1"/>
          <w:bCs w:val="1"/>
          <w:sz w:val="26"/>
          <w:szCs w:val="26"/>
        </w:rPr>
      </w:pPr>
    </w:p>
    <w:p w:rsidR="00000000" w:rsidDel="00000000" w:rsidP="00000000" w:rsidRDefault="00000000" w:rsidRPr="00000000" w14:paraId="0000001B">
      <w:pPr>
        <w:spacing w:after="100" w:before="100" w:lineRule="auto"/>
        <w:jc w:val="left"/>
        <w:rPr>
          <w:b w:val="1"/>
          <w:bCs w:val="1"/>
          <w:sz w:val="26"/>
          <w:szCs w:val="26"/>
        </w:rPr>
      </w:pPr>
    </w:p>
    <w:p w:rsidR="00000000" w:rsidDel="00000000" w:rsidP="00000000" w:rsidRDefault="00000000" w:rsidRPr="00000000" w14:paraId="0000001C">
      <w:pPr>
        <w:pStyle w:val="Heading1"/>
        <w:spacing w:after="200" w:before="360" w:lineRule="auto"/>
        <w:rPr/>
      </w:pPr>
    </w:p>
    <w:p w:rsidR="00000000" w:rsidDel="00000000" w:rsidP="00000000" w:rsidRDefault="00000000" w:rsidRPr="00000000" w14:paraId="0000001D">
      <w:pPr>
        <w:spacing w:after="100" w:before="100" w:lineRule="auto"/>
        <w:jc w:val="both"/>
        <w:rPr/>
      </w:pPr>
    </w:p>
    <w:p w:rsidR="00000000" w:rsidDel="00000000" w:rsidP="00000000" w:rsidRDefault="00000000" w:rsidRPr="00000000" w14:paraId="0000001E">
      <w:pPr>
        <w:spacing w:after="100" w:before="100" w:lineRule="auto"/>
        <w:jc w:val="both"/>
        <w:rPr/>
      </w:pPr>
    </w:p>
    <w:p w:rsidR="00000000" w:rsidDel="00000000" w:rsidP="00000000" w:rsidRDefault="00000000" w:rsidRPr="00000000" w14:paraId="0000001F">
      <w:pPr>
        <w:spacing w:after="100" w:before="100" w:lineRule="auto"/>
        <w:jc w:val="both"/>
        <w:rPr/>
      </w:pPr>
    </w:p>
    <w:p w:rsidR="00000000" w:rsidDel="00000000" w:rsidP="00000000" w:rsidRDefault="00000000" w:rsidRPr="00000000" w14:paraId="00000020">
      <w:pPr>
        <w:spacing w:after="100" w:before="100" w:lineRule="auto"/>
        <w:jc w:val="both"/>
        <w:rPr/>
      </w:pPr>
    </w:p>
    <w:p w:rsidR="00000000" w:rsidDel="00000000" w:rsidP="00000000" w:rsidRDefault="00000000" w:rsidRPr="00000000" w14:paraId="00000021">
      <w:pPr>
        <w:spacing w:after="100" w:before="100" w:lineRule="auto"/>
        <w:jc w:val="both"/>
        <w:rPr/>
      </w:pPr>
    </w:p>
    <w:p w:rsidR="00000000" w:rsidDel="00000000" w:rsidP="00000000" w:rsidRDefault="00000000" w:rsidRPr="00000000" w14:paraId="00000022">
      <w:pPr>
        <w:spacing w:after="100" w:before="100" w:lineRule="auto"/>
        <w:jc w:val="both"/>
        <w:rPr/>
      </w:pPr>
    </w:p>
    <w:p w:rsidR="00000000" w:rsidDel="00000000" w:rsidP="00000000" w:rsidRDefault="00000000" w:rsidRPr="00000000" w14:paraId="00000023">
      <w:pPr>
        <w:spacing w:after="100" w:before="100" w:lineRule="auto"/>
        <w:jc w:val="both"/>
        <w:rPr/>
      </w:pPr>
    </w:p>
    <w:p w:rsidR="00000000" w:rsidDel="00000000" w:rsidP="00000000" w:rsidRDefault="00000000" w:rsidRPr="00000000" w14:paraId="00000024">
      <w:pPr>
        <w:spacing w:after="100" w:before="100" w:lineRule="auto"/>
        <w:jc w:val="both"/>
        <w:rPr/>
      </w:pPr>
    </w:p>
    <w:p w:rsidR="00000000" w:rsidDel="00000000" w:rsidP="00000000" w:rsidRDefault="00000000" w:rsidRPr="00000000" w14:paraId="00000025">
      <w:pPr>
        <w:spacing w:after="100" w:before="100" w:lineRule="auto"/>
        <w:jc w:val="both"/>
        <w:rPr/>
      </w:pPr>
    </w:p>
    <w:p w:rsidR="00000000" w:rsidDel="00000000" w:rsidP="00000000" w:rsidRDefault="00000000" w:rsidRPr="00000000" w14:paraId="00000026">
      <w:pPr>
        <w:pStyle w:val="Heading1"/>
        <w:spacing w:after="200" w:before="360" w:lineRule="auto"/>
        <w:rPr/>
      </w:pPr>
    </w:p>
    <w:p w:rsidR="00000000" w:rsidDel="00000000" w:rsidP="00000000" w:rsidRDefault="00000000" w:rsidRPr="00000000" w14:paraId="00000027">
      <w:pPr>
        <w:pStyle w:val="Heading1"/>
        <w:spacing w:after="200" w:before="360" w:lineRule="auto"/>
        <w:rPr/>
      </w:pPr>
    </w:p>
    <w:p w:rsidR="00000000" w:rsidDel="00000000" w:rsidP="00000000" w:rsidRDefault="00000000" w:rsidRPr="00000000" w14:paraId="00000028">
      <w:pPr>
        <w:pStyle w:val="Heading1"/>
        <w:spacing w:after="200" w:before="360" w:lineRule="auto"/>
        <w:rPr/>
      </w:pPr>
    </w:p>
    <w:p w:rsidR="00000000" w:rsidDel="00000000" w:rsidP="00000000" w:rsidRDefault="00000000" w:rsidRPr="00000000" w14:paraId="00000029">
      <w:pPr>
        <w:pStyle w:val="Heading1"/>
        <w:spacing w:after="200" w:before="360" w:lineRule="auto"/>
        <w:rPr/>
      </w:pPr>
    </w:p>
    <w:p w:rsidR="00000000" w:rsidDel="00000000" w:rsidP="00000000" w:rsidRDefault="00000000" w:rsidRPr="00000000" w14:paraId="0000002A">
      <w:pPr>
        <w:pStyle w:val="Heading1"/>
        <w:spacing w:after="200" w:before="360" w:lineRule="auto"/>
        <w:rPr/>
      </w:pPr>
    </w:p>
    <w:p w:rsidR="00000000" w:rsidDel="00000000" w:rsidP="00000000" w:rsidRDefault="00000000" w:rsidRPr="00000000" w14:paraId="0000002B">
      <w:pPr>
        <w:pStyle w:val="Heading1"/>
        <w:spacing w:after="200" w:before="360" w:lineRule="auto"/>
        <w:rPr/>
      </w:pPr>
    </w:p>
    <w:p w:rsidR="00000000" w:rsidDel="00000000" w:rsidP="00000000" w:rsidRDefault="00000000" w:rsidRPr="00000000" w14:paraId="0000002C">
      <w:pPr>
        <w:pStyle w:val="Heading1"/>
        <w:spacing w:after="200" w:before="360" w:lineRule="auto"/>
        <w:rPr/>
      </w:pPr>
    </w:p>
    <w:p w:rsidR="00000000" w:rsidDel="00000000" w:rsidP="00000000" w:rsidRDefault="00000000" w:rsidRPr="00000000" w14:paraId="0000002D">
      <w:pPr>
        <w:pStyle w:val="Heading1"/>
        <w:spacing w:after="200" w:before="360" w:lineRule="auto"/>
        <w:rPr/>
      </w:pPr>
    </w:p>
    <w:p w:rsidR="00000000" w:rsidDel="00000000" w:rsidP="00000000" w:rsidRDefault="00000000" w:rsidRPr="00000000" w14:paraId="0000002E">
      <w:pPr>
        <w:pStyle w:val="Heading1"/>
        <w:spacing w:after="200" w:before="360" w:lineRule="auto"/>
        <w:rPr/>
      </w:pPr>
    </w:p>
    <w:p w:rsidR="00000000" w:rsidDel="00000000" w:rsidP="00000000" w:rsidRDefault="00000000" w:rsidRPr="00000000" w14:paraId="0000002F">
      <w:pPr>
        <w:pStyle w:val="Heading1"/>
        <w:spacing w:after="200" w:before="360" w:lineRule="auto"/>
        <w:rPr/>
      </w:pPr>
    </w:p>
    <w:p w:rsidR="00000000" w:rsidDel="00000000" w:rsidP="00000000" w:rsidRDefault="00000000" w:rsidRPr="00000000" w14:paraId="00000030">
      <w:pPr>
        <w:pStyle w:val="Heading1"/>
        <w:spacing w:after="200" w:before="360" w:lineRule="auto"/>
        <w:rPr/>
      </w:pPr>
    </w:p>
    <w:p w:rsidR="00000000" w:rsidDel="00000000" w:rsidP="00000000" w:rsidRDefault="00000000" w:rsidRPr="00000000" w14:paraId="00000031">
      <w:pPr>
        <w:pStyle w:val="Heading1"/>
        <w:spacing w:after="200" w:before="360" w:lineRule="auto"/>
        <w:rPr/>
      </w:pPr>
    </w:p>
    <w:p w:rsidR="00000000" w:rsidDel="00000000" w:rsidP="00000000" w:rsidRDefault="00000000" w:rsidRPr="00000000" w14:paraId="00000032">
      <w:pPr>
        <w:spacing w:after="100" w:before="100" w:lineRule="auto"/>
        <w:jc w:val="both"/>
        <w:rPr/>
      </w:pPr>
    </w:p>
    <w:p w:rsidR="00000000" w:rsidDel="00000000" w:rsidP="00000000" w:rsidRDefault="00000000" w:rsidRPr="00000000" w14:paraId="00000033">
      <w:pPr>
        <w:spacing w:after="100" w:before="100" w:lineRule="auto"/>
        <w:jc w:val="both"/>
        <w:rPr/>
      </w:pPr>
    </w:p>
    <w:p w:rsidR="00000000" w:rsidDel="00000000" w:rsidP="00000000" w:rsidRDefault="00000000" w:rsidRPr="00000000" w14:paraId="00000034">
      <w:pPr>
        <w:spacing w:after="100" w:before="100" w:lineRule="auto"/>
        <w:jc w:val="both"/>
        <w:rPr/>
      </w:pPr>
    </w:p>
    <w:p w:rsidR="00000000" w:rsidDel="00000000" w:rsidP="00000000" w:rsidRDefault="00000000" w:rsidRPr="00000000" w14:paraId="00000035">
      <w:pPr>
        <w:spacing w:after="100" w:before="100" w:lineRule="auto"/>
        <w:jc w:val="both"/>
        <w:rPr/>
      </w:pPr>
    </w:p>
    <w:p w:rsidR="00000000" w:rsidDel="00000000" w:rsidP="00000000" w:rsidRDefault="00000000" w:rsidRPr="00000000" w14:paraId="00000036">
      <w:pPr>
        <w:pStyle w:val="Heading1"/>
        <w:spacing w:after="200" w:before="360" w:lineRule="auto"/>
        <w:rPr/>
      </w:pPr>
    </w:p>
    <w:p w:rsidR="00000000" w:rsidDel="00000000" w:rsidP="00000000" w:rsidRDefault="00000000" w:rsidRPr="00000000" w14:paraId="00000037">
      <w:pPr>
        <w:spacing w:after="150" w:before="100" w:lineRule="auto"/>
        <w:jc w:val="both"/>
        <w:rPr/>
      </w:pP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44">
      <w:pPr>
        <w:spacing w:after="100" w:before="150" w:lineRule="auto"/>
        <w:jc w:val="both"/>
        <w:rPr/>
      </w:pP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p>
    <w:p w:rsidR="00000000" w:rsidDel="00000000" w:rsidP="00000000" w:rsidRDefault="00000000" w:rsidRPr="00000000" w14:paraId="0000004B">
      <w:pPr>
        <w:pStyle w:val="Heading1"/>
        <w:spacing w:after="200" w:before="360" w:lineRule="auto"/>
        <w:rPr/>
      </w:pP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56">
      <w:pPr>
        <w:spacing w:after="100" w:before="100" w:lineRule="auto"/>
        <w:jc w:val="center"/>
        <w:rPr/>
      </w:pPr>
    </w:p>
    <w:p w:rsidR="00000000" w:rsidDel="00000000" w:rsidP="00000000" w:rsidRDefault="00000000" w:rsidRPr="00000000" w14:paraId="00000057">
      <w:pPr>
        <w:pStyle w:val="Heading1"/>
        <w:spacing w:after="200" w:before="360" w:lineRule="auto"/>
        <w:rPr>
          <w:color w:val="808080"/>
        </w:rPr>
      </w:pPr>
    </w:p>
    <w:p w:rsidR="00000000" w:rsidDel="00000000" w:rsidP="00000000" w:rsidRDefault="00000000" w:rsidRPr="00000000" w14:paraId="00000058">
      <w:pPr>
        <w:spacing w:after="100" w:before="100" w:lineRule="auto"/>
        <w:jc w:val="center"/>
        <w:rPr>
          <w:color w:val="808080"/>
        </w:rPr>
      </w:pPr>
    </w:p>
    <w:p w:rsidR="00000000" w:rsidDel="00000000" w:rsidP="00000000" w:rsidRDefault="00000000" w:rsidRPr="00000000" w14:paraId="00000059">
      <w:pPr>
        <w:pStyle w:val="Heading1"/>
        <w:spacing w:after="200" w:before="360" w:lineRule="auto"/>
        <w:rPr/>
      </w:pP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62">
      <w:pPr>
        <w:pStyle w:val="Heading1"/>
        <w:spacing w:after="200" w:before="360" w:lineRule="auto"/>
        <w:rPr/>
      </w:pP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6E">
      <w:pPr>
        <w:spacing w:after="100" w:before="200" w:lineRule="auto"/>
        <w:jc w:val="both"/>
        <w:rPr/>
      </w:pP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6F">
            <w:pPr>
              <w:jc w:val="center"/>
              <w:rPr/>
            </w:pPr>
            <w:r w:rsidDel="00000000" w:rsidR="00000000" w:rsidRPr="00000000">
              <w:rPr>
                <w:rFonts w:ascii="Arial" w:cs="Arial" w:eastAsia="Arial" w:hAnsi="Arial"/>
                <w:b w:val="1"/>
                <w:bCs w:val="1"/>
                <w:color w:val="ffffff"/>
                <w:sz w:val="20"/>
                <w:szCs w:val="20"/>
                <w:rtl w:val="0"/>
              </w:rPr>
              <w:t xml:space="preserve">Lista de distribución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70">
            <w:pPr>
              <w:jc w:val="center"/>
              <w:rPr/>
            </w:pPr>
            <w:r w:rsidDel="00000000" w:rsidR="00000000" w:rsidRPr="00000000">
              <w:rPr>
                <w:rFonts w:ascii="Arial" w:cs="Arial" w:eastAsia="Arial" w:hAnsi="Arial"/>
                <w:b w:val="1"/>
                <w:bCs w:val="1"/>
                <w:color w:val="ffffff"/>
                <w:sz w:val="20"/>
                <w:szCs w:val="20"/>
                <w:rtl w:val="0"/>
              </w:rPr>
              <w:t xml:space="preserve">Usuarios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1">
            <w:pPr>
              <w:jc w:val="left"/>
              <w:rPr>
                <w:rFonts w:ascii="Arial" w:cs="Arial" w:eastAsia="Arial" w:hAnsi="Arial"/>
                <w:b w:val="0"/>
                <w:bCs w:val="0"/>
                <w:color w:val="000000"/>
                <w:sz w:val="20"/>
                <w:szCs w:val="20"/>
              </w:rPr>
            </w:pPr>
            <w:hyperlink r:id="rId9">
              <w:r w:rsidDel="00000000" w:rsidR="00000000" w:rsidRPr="00000000">
                <w:rPr>
                  <w:rFonts w:ascii="Arial" w:cs="Arial" w:eastAsia="Arial" w:hAnsi="Arial"/>
                  <w:b w:val="0"/>
                  <w:bCs w:val="0"/>
                  <w:color w:val="1155cc"/>
                  <w:sz w:val="20"/>
                  <w:szCs w:val="20"/>
                  <w:u w:val="single"/>
                  <w:rtl w:val="0"/>
                </w:rPr>
                <w:t xml:space="preserve">afore-aws-</w:t>
              </w:r>
            </w:hyperlink>
            <w:hyperlink r:id="rId10">
              <w:r w:rsidDel="00000000" w:rsidR="00000000" w:rsidRPr="00000000">
                <w:rPr>
                  <w:color w:val="1155cc"/>
                  <w:sz w:val="20"/>
                  <w:szCs w:val="20"/>
                  <w:u w:val="single"/>
                  <w:rtl w:val="0"/>
                </w:rPr>
                <w:t xml:space="preserve">dev-menu-op</w:t>
              </w:r>
            </w:hyperlink>
            <w:hyperlink r:id="rId11">
              <w:r w:rsidDel="00000000" w:rsidR="00000000" w:rsidRPr="00000000">
                <w:rPr>
                  <w:rFonts w:ascii="Arial" w:cs="Arial" w:eastAsia="Arial" w:hAnsi="Arial"/>
                  <w:b w:val="0"/>
                  <w:bCs w:val="0"/>
                  <w:color w:val="1155cc"/>
                  <w:sz w:val="20"/>
                  <w:szCs w:val="20"/>
                  <w:u w:val="single"/>
                  <w:rtl w:val="0"/>
                </w:rPr>
                <w:t xml:space="preserve">@aforecoppel.com</w:t>
              </w:r>
            </w:hyperlink>
            <w:r w:rsidDel="00000000" w:rsidR="00000000" w:rsidRPr="00000000">
              <w:rPr>
                <w:rtl w:val="0"/>
              </w:rPr>
            </w:r>
          </w:p>
          <w:p w:rsidR="00000000" w:rsidDel="00000000" w:rsidP="00000000" w:rsidRDefault="00000000" w:rsidRPr="00000000" w14:paraId="00000072">
            <w:pPr>
              <w:jc w:val="left"/>
              <w:rPr>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3">
            <w:pPr>
              <w:shd w:fill="ffffff" w:val="clear"/>
              <w:rPr>
                <w:color w:val="1155cc"/>
              </w:rPr>
            </w:pPr>
            <w:r w:rsidDel="00000000" w:rsidR="00000000" w:rsidRPr="00000000">
              <w:rPr>
                <w:color w:val="1155cc"/>
                <w:rtl w:val="0"/>
              </w:rPr>
              <w:t xml:space="preserve">idm@coppel.com</w:t>
            </w:r>
          </w:p>
          <w:p w:rsidR="00000000" w:rsidDel="00000000" w:rsidP="00000000" w:rsidRDefault="00000000" w:rsidRPr="00000000" w14:paraId="00000074">
            <w:pPr>
              <w:shd w:fill="ffffff" w:val="clear"/>
              <w:rPr>
                <w:color w:val="1155cc"/>
              </w:rPr>
            </w:pPr>
            <w:r w:rsidDel="00000000" w:rsidR="00000000" w:rsidRPr="00000000">
              <w:rPr>
                <w:color w:val="1155cc"/>
                <w:rtl w:val="0"/>
              </w:rPr>
              <w:t xml:space="preserve">gobiernocloud-spn3@coppel.com</w:t>
            </w:r>
          </w:p>
          <w:p w:rsidR="00000000" w:rsidDel="00000000" w:rsidP="00000000" w:rsidRDefault="00000000" w:rsidRPr="00000000" w14:paraId="00000075">
            <w:pPr>
              <w:shd w:fill="ffffff" w:val="clear"/>
              <w:rPr>
                <w:color w:val="1155cc"/>
              </w:rPr>
            </w:pPr>
            <w:r w:rsidDel="00000000" w:rsidR="00000000" w:rsidRPr="00000000">
              <w:rPr>
                <w:color w:val="1155cc"/>
                <w:rtl w:val="0"/>
              </w:rPr>
              <w:t xml:space="preserve">aws-implementa-cloud@coppel.com</w:t>
            </w:r>
          </w:p>
          <w:p w:rsidR="00000000" w:rsidDel="00000000" w:rsidP="00000000" w:rsidRDefault="00000000" w:rsidRPr="00000000" w14:paraId="00000076">
            <w:pPr>
              <w:jc w:val="left"/>
              <w:rPr>
                <w:sz w:val="20"/>
                <w:szCs w:val="20"/>
              </w:rPr>
            </w:pPr>
            <w:r w:rsidDel="00000000" w:rsidR="00000000" w:rsidRPr="00000000">
              <w:rPr>
                <w:rtl w:val="0"/>
              </w:rPr>
            </w:r>
          </w:p>
        </w:tc>
      </w:tr>
    </w:tbl>
    <w:p w:rsidR="00000000" w:rsidDel="00000000" w:rsidP="00000000" w:rsidRDefault="00000000" w:rsidRPr="00000000" w14:paraId="00000077">
      <w:pPr>
        <w:spacing w:after="100" w:before="200" w:lineRule="auto"/>
        <w:jc w:val="both"/>
        <w:rPr/>
      </w:pPr>
    </w:p>
    <w:p w:rsidR="00000000" w:rsidDel="00000000" w:rsidP="00000000" w:rsidRDefault="00000000" w:rsidRPr="00000000" w14:paraId="00000078">
      <w:pPr>
        <w:spacing w:after="100" w:before="200" w:lineRule="auto"/>
        <w:jc w:val="both"/>
        <w:rPr/>
      </w:pPr>
    </w:p>
    <w:p w:rsidR="00000000" w:rsidDel="00000000" w:rsidP="00000000" w:rsidRDefault="00000000" w:rsidRPr="00000000" w14:paraId="00000079">
      <w:pPr>
        <w:spacing w:after="100" w:before="200" w:lineRule="auto"/>
        <w:jc w:val="both"/>
        <w:rPr/>
      </w:pPr>
    </w:p>
    <w:p w:rsidR="00000000" w:rsidDel="00000000" w:rsidP="00000000" w:rsidRDefault="00000000" w:rsidRPr="00000000" w14:paraId="0000007A">
      <w:pPr>
        <w:spacing w:after="100" w:before="200" w:lineRule="auto"/>
        <w:jc w:val="both"/>
        <w:rPr/>
      </w:pPr>
    </w:p>
    <w:p w:rsidR="00000000" w:rsidDel="00000000" w:rsidP="00000000" w:rsidRDefault="00000000" w:rsidRPr="00000000" w14:paraId="0000007B">
      <w:pPr>
        <w:spacing w:after="100" w:before="200" w:lineRule="auto"/>
        <w:jc w:val="both"/>
        <w:rPr/>
      </w:pPr>
    </w:p>
    <w:p w:rsidR="00000000" w:rsidDel="00000000" w:rsidP="00000000" w:rsidRDefault="00000000" w:rsidRPr="00000000" w14:paraId="0000007C">
      <w:pPr>
        <w:spacing w:after="100" w:before="200" w:lineRule="auto"/>
        <w:jc w:val="both"/>
        <w:rPr/>
      </w:pPr>
    </w:p>
    <w:p w:rsidR="00000000" w:rsidDel="00000000" w:rsidP="00000000" w:rsidRDefault="00000000" w:rsidRPr="00000000" w14:paraId="0000007D">
      <w:pPr>
        <w:spacing w:after="100" w:before="200" w:lineRule="auto"/>
        <w:jc w:val="both"/>
        <w:rPr/>
      </w:pPr>
    </w:p>
    <w:p w:rsidR="00000000" w:rsidDel="00000000" w:rsidP="00000000" w:rsidRDefault="00000000" w:rsidRPr="00000000" w14:paraId="0000007E">
      <w:pPr>
        <w:spacing w:after="100" w:before="200" w:lineRule="auto"/>
        <w:jc w:val="both"/>
        <w:rPr/>
      </w:pPr>
    </w:p>
    <w:p w:rsidR="00000000" w:rsidDel="00000000" w:rsidP="00000000" w:rsidRDefault="00000000" w:rsidRPr="00000000" w14:paraId="0000007F">
      <w:pPr>
        <w:widowControl w:val="0"/>
        <w:spacing w:line="276" w:lineRule="auto"/>
        <w:rPr/>
      </w:pP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20"/>
        <w:gridCol w:w="6040"/>
        <w:tblGridChange w:id="0">
          <w:tblGrid>
            <w:gridCol w:w="3320"/>
            <w:gridCol w:w="60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73763" w:val="clear"/>
            <w:tcMar>
              <w:top w:w="80.0" w:type="dxa"/>
              <w:left w:w="120.0" w:type="dxa"/>
              <w:bottom w:w="80.0" w:type="dxa"/>
              <w:right w:w="120.0" w:type="dxa"/>
            </w:tcMar>
            <w:vAlign w:val="cente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Business tags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73763" w:val="clear"/>
            <w:tcMar>
              <w:top w:w="80.0" w:type="dxa"/>
              <w:left w:w="120.0" w:type="dxa"/>
              <w:bottom w:w="80.0" w:type="dxa"/>
              <w:right w:w="120.0" w:type="dxa"/>
            </w:tcMa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Valor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rPr>
                <w:sz w:val="20"/>
                <w:szCs w:val="20"/>
              </w:rPr>
            </w:pPr>
            <w:r w:rsidDel="00000000" w:rsidR="00000000" w:rsidRPr="00000000">
              <w:rPr>
                <w:b w:val="1"/>
                <w:bCs w:val="1"/>
                <w:sz w:val="20"/>
                <w:szCs w:val="20"/>
                <w:rtl w:val="0"/>
              </w:rPr>
              <w:t xml:space="preserve">Project: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83">
            <w:pPr>
              <w:rPr>
                <w:sz w:val="20"/>
                <w:szCs w:val="20"/>
              </w:rPr>
            </w:pPr>
            <w:r w:rsidDel="00000000" w:rsidR="00000000" w:rsidRPr="00000000">
              <w:rPr>
                <w:sz w:val="20"/>
                <w:szCs w:val="20"/>
                <w:rtl w:val="0"/>
              </w:rPr>
              <w:t xml:space="preserve">Menú Operaciones Afore</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rPr>
                <w:sz w:val="20"/>
                <w:szCs w:val="20"/>
              </w:rPr>
            </w:pPr>
            <w:r w:rsidDel="00000000" w:rsidR="00000000" w:rsidRPr="00000000">
              <w:rPr>
                <w:b w:val="1"/>
                <w:bCs w:val="1"/>
                <w:sz w:val="20"/>
                <w:szCs w:val="20"/>
                <w:rtl w:val="0"/>
              </w:rPr>
              <w:t xml:space="preserve">Owner: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85">
            <w:pPr>
              <w:rPr>
                <w:sz w:val="20"/>
                <w:szCs w:val="20"/>
              </w:rPr>
            </w:pPr>
            <w:r w:rsidDel="00000000" w:rsidR="00000000" w:rsidRPr="00000000">
              <w:rPr>
                <w:sz w:val="20"/>
                <w:szCs w:val="20"/>
                <w:rtl w:val="0"/>
              </w:rPr>
              <w:t xml:space="preserve">[Pendiente de confirmar con Afore]</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rPr>
                <w:sz w:val="20"/>
                <w:szCs w:val="20"/>
              </w:rPr>
            </w:pPr>
            <w:r w:rsidDel="00000000" w:rsidR="00000000" w:rsidRPr="00000000">
              <w:rPr>
                <w:b w:val="1"/>
                <w:bCs w:val="1"/>
                <w:sz w:val="20"/>
                <w:szCs w:val="20"/>
                <w:rtl w:val="0"/>
              </w:rPr>
              <w:t xml:space="preserve">Cost Center: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87">
            <w:pPr>
              <w:rPr>
                <w:sz w:val="20"/>
                <w:szCs w:val="20"/>
              </w:rPr>
            </w:pPr>
            <w:r w:rsidDel="00000000" w:rsidR="00000000" w:rsidRPr="00000000">
              <w:rPr>
                <w:sz w:val="20"/>
                <w:szCs w:val="20"/>
                <w:rtl w:val="0"/>
              </w:rPr>
              <w:t xml:space="preserve">[Pendiente — área de Operaciones AFORE]</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rPr>
                <w:sz w:val="20"/>
                <w:szCs w:val="20"/>
              </w:rPr>
            </w:pPr>
            <w:r w:rsidDel="00000000" w:rsidR="00000000" w:rsidRPr="00000000">
              <w:rPr>
                <w:b w:val="1"/>
                <w:bCs w:val="1"/>
                <w:sz w:val="20"/>
                <w:szCs w:val="20"/>
                <w:rtl w:val="0"/>
              </w:rPr>
              <w:t xml:space="preserve">Business Unit: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89">
            <w:pPr>
              <w:rPr>
                <w:sz w:val="20"/>
                <w:szCs w:val="20"/>
              </w:rPr>
            </w:pPr>
            <w:r w:rsidDel="00000000" w:rsidR="00000000" w:rsidRPr="00000000">
              <w:rPr>
                <w:sz w:val="20"/>
                <w:szCs w:val="20"/>
                <w:rtl w:val="0"/>
              </w:rPr>
              <w:t xml:space="preserve">Dirección de Operaciones y Servicio AFORE</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rPr>
                <w:sz w:val="20"/>
                <w:szCs w:val="20"/>
              </w:rPr>
            </w:pPr>
            <w:r w:rsidDel="00000000" w:rsidR="00000000" w:rsidRPr="00000000">
              <w:rPr>
                <w:b w:val="1"/>
                <w:bCs w:val="1"/>
                <w:sz w:val="20"/>
                <w:szCs w:val="20"/>
                <w:rtl w:val="0"/>
              </w:rPr>
              <w:t xml:space="preserve">Nombre del proyecto: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8B">
            <w:pPr>
              <w:rPr>
                <w:sz w:val="20"/>
                <w:szCs w:val="20"/>
              </w:rPr>
            </w:pPr>
            <w:r w:rsidDel="00000000" w:rsidR="00000000" w:rsidRPr="00000000">
              <w:rPr>
                <w:sz w:val="20"/>
                <w:szCs w:val="20"/>
                <w:rtl w:val="0"/>
              </w:rPr>
              <w:t xml:space="preserve">PASF-63 - Modernización y Migración de Ecosistema PHP</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rPr>
                <w:sz w:val="20"/>
                <w:szCs w:val="20"/>
              </w:rPr>
            </w:pPr>
            <w:r w:rsidDel="00000000" w:rsidR="00000000" w:rsidRPr="00000000">
              <w:rPr>
                <w:b w:val="1"/>
                <w:bCs w:val="1"/>
                <w:sz w:val="20"/>
                <w:szCs w:val="20"/>
                <w:rtl w:val="0"/>
              </w:rPr>
              <w:t xml:space="preserve">Líder del proyecto: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8D">
            <w:pPr>
              <w:rPr>
                <w:sz w:val="20"/>
                <w:szCs w:val="20"/>
              </w:rPr>
            </w:pPr>
            <w:r w:rsidDel="00000000" w:rsidR="00000000" w:rsidRPr="00000000">
              <w:rPr>
                <w:sz w:val="20"/>
                <w:szCs w:val="20"/>
                <w:rtl w:val="0"/>
              </w:rPr>
              <w:t xml:space="preserve">Luis Eduardo Rivera Lopez</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rPr>
                <w:sz w:val="20"/>
                <w:szCs w:val="20"/>
              </w:rPr>
            </w:pPr>
            <w:r w:rsidDel="00000000" w:rsidR="00000000" w:rsidRPr="00000000">
              <w:rPr>
                <w:b w:val="1"/>
                <w:bCs w:val="1"/>
                <w:sz w:val="20"/>
                <w:szCs w:val="20"/>
                <w:rtl w:val="0"/>
              </w:rPr>
              <w:t xml:space="preserve">Objetivo del proyecto: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8F">
            <w:pPr>
              <w:rPr>
                <w:sz w:val="20"/>
                <w:szCs w:val="20"/>
              </w:rPr>
            </w:pPr>
            <w:r w:rsidDel="00000000" w:rsidR="00000000" w:rsidRPr="00000000">
              <w:rPr>
                <w:sz w:val="20"/>
                <w:szCs w:val="20"/>
                <w:rtl w:val="0"/>
              </w:rPr>
              <w:t xml:space="preserve">Este proyecto tiene como fin mitigar la deuda técnica y los riesgos de seguridad derivados del uso de tecnologías obsoletas para los estándares actuales para Grupo Coppel. Es un acompañamiento que se realizará por parte de Sistemas Afore y la migración de componentes se trabajará por parte del equipo de Desarrollo Operativo, liderado por Gilberto Valenzuela Alvarez.</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rPr>
                <w:sz w:val="20"/>
                <w:szCs w:val="20"/>
              </w:rPr>
            </w:pPr>
            <w:r w:rsidDel="00000000" w:rsidR="00000000" w:rsidRPr="00000000">
              <w:rPr>
                <w:b w:val="1"/>
                <w:bCs w:val="1"/>
                <w:sz w:val="20"/>
                <w:szCs w:val="20"/>
                <w:rtl w:val="0"/>
              </w:rPr>
              <w:t xml:space="preserve">Arquitecto SSFF/Retail: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91">
            <w:pPr>
              <w:rPr>
                <w:sz w:val="20"/>
                <w:szCs w:val="20"/>
              </w:rPr>
            </w:pPr>
            <w:r w:rsidDel="00000000" w:rsidR="00000000" w:rsidRPr="00000000">
              <w:rPr>
                <w:sz w:val="20"/>
                <w:szCs w:val="20"/>
                <w:rtl w:val="0"/>
              </w:rPr>
              <w:t xml:space="preserve">Rene Jesus Ponce Piña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rPr>
                <w:sz w:val="20"/>
                <w:szCs w:val="20"/>
              </w:rPr>
            </w:pPr>
            <w:r w:rsidDel="00000000" w:rsidR="00000000" w:rsidRPr="00000000">
              <w:rPr>
                <w:b w:val="1"/>
                <w:bCs w:val="1"/>
                <w:sz w:val="20"/>
                <w:szCs w:val="20"/>
                <w:rtl w:val="0"/>
              </w:rPr>
              <w:t xml:space="preserve">Unidad de Negocio: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93">
            <w:pPr>
              <w:rPr>
                <w:sz w:val="20"/>
                <w:szCs w:val="20"/>
              </w:rPr>
            </w:pPr>
            <w:r w:rsidDel="00000000" w:rsidR="00000000" w:rsidRPr="00000000">
              <w:rPr>
                <w:sz w:val="20"/>
                <w:szCs w:val="20"/>
                <w:rtl w:val="0"/>
              </w:rPr>
              <w:t xml:space="preserve">Afore</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rPr>
                <w:sz w:val="20"/>
                <w:szCs w:val="20"/>
              </w:rPr>
            </w:pPr>
            <w:r w:rsidDel="00000000" w:rsidR="00000000" w:rsidRPr="00000000">
              <w:rPr>
                <w:b w:val="1"/>
                <w:bCs w:val="1"/>
                <w:sz w:val="20"/>
                <w:szCs w:val="20"/>
                <w:rtl w:val="0"/>
              </w:rPr>
              <w:t xml:space="preserve">Área de Negocio: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95">
            <w:pPr>
              <w:rPr>
                <w:sz w:val="20"/>
                <w:szCs w:val="20"/>
              </w:rPr>
            </w:pPr>
            <w:r w:rsidDel="00000000" w:rsidR="00000000" w:rsidRPr="00000000">
              <w:rPr>
                <w:sz w:val="20"/>
                <w:szCs w:val="20"/>
                <w:rtl w:val="0"/>
              </w:rPr>
              <w:t xml:space="preserve">BackOffice</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rPr>
                <w:sz w:val="20"/>
                <w:szCs w:val="20"/>
              </w:rPr>
            </w:pPr>
            <w:r w:rsidDel="00000000" w:rsidR="00000000" w:rsidRPr="00000000">
              <w:rPr>
                <w:b w:val="1"/>
                <w:bCs w:val="1"/>
                <w:sz w:val="20"/>
                <w:szCs w:val="20"/>
                <w:rtl w:val="0"/>
              </w:rPr>
              <w:t xml:space="preserve">Macro Servicio: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97">
            <w:pPr>
              <w:rPr>
                <w:sz w:val="20"/>
                <w:szCs w:val="20"/>
              </w:rPr>
            </w:pPr>
            <w:r w:rsidDel="00000000" w:rsidR="00000000" w:rsidRPr="00000000">
              <w:rPr>
                <w:sz w:val="20"/>
                <w:szCs w:val="20"/>
                <w:rtl w:val="0"/>
              </w:rPr>
              <w:t xml:space="preserve">Menú Operaciones Afore</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rPr>
                <w:sz w:val="20"/>
                <w:szCs w:val="20"/>
              </w:rPr>
            </w:pPr>
            <w:r w:rsidDel="00000000" w:rsidR="00000000" w:rsidRPr="00000000">
              <w:rPr>
                <w:b w:val="1"/>
                <w:bCs w:val="1"/>
                <w:sz w:val="20"/>
                <w:szCs w:val="20"/>
                <w:rtl w:val="0"/>
              </w:rPr>
              <w:t xml:space="preserve">Servicio: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99">
            <w:pPr>
              <w:rPr>
                <w:sz w:val="20"/>
                <w:szCs w:val="20"/>
              </w:rPr>
            </w:pPr>
            <w:r w:rsidDel="00000000" w:rsidR="00000000" w:rsidRPr="00000000">
              <w:rPr>
                <w:sz w:val="20"/>
                <w:szCs w:val="20"/>
                <w:rtl w:val="0"/>
              </w:rPr>
              <w:t xml:space="preserve">Menú Operaciones Afore</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rPr>
                <w:sz w:val="20"/>
                <w:szCs w:val="20"/>
              </w:rPr>
            </w:pPr>
            <w:r w:rsidDel="00000000" w:rsidR="00000000" w:rsidRPr="00000000">
              <w:rPr>
                <w:b w:val="1"/>
                <w:bCs w:val="1"/>
                <w:sz w:val="20"/>
                <w:szCs w:val="20"/>
                <w:rtl w:val="0"/>
              </w:rPr>
              <w:t xml:space="preserve">Sistema / Aplicación: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9B">
            <w:pPr>
              <w:rPr>
                <w:sz w:val="20"/>
                <w:szCs w:val="20"/>
              </w:rPr>
            </w:pPr>
            <w:r w:rsidDel="00000000" w:rsidR="00000000" w:rsidRPr="00000000">
              <w:rPr>
                <w:sz w:val="20"/>
                <w:szCs w:val="20"/>
                <w:rtl w:val="0"/>
              </w:rPr>
              <w:t xml:space="preserve">Menú Operaciones Afore</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rPr>
                <w:sz w:val="20"/>
                <w:szCs w:val="20"/>
              </w:rPr>
            </w:pPr>
            <w:r w:rsidDel="00000000" w:rsidR="00000000" w:rsidRPr="00000000">
              <w:rPr>
                <w:b w:val="1"/>
                <w:bCs w:val="1"/>
                <w:sz w:val="20"/>
                <w:szCs w:val="20"/>
                <w:rtl w:val="0"/>
              </w:rPr>
              <w:t xml:space="preserve">Responsable de Negocio: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9D">
            <w:pPr>
              <w:rPr>
                <w:sz w:val="20"/>
                <w:szCs w:val="20"/>
              </w:rPr>
            </w:pPr>
            <w:r w:rsidDel="00000000" w:rsidR="00000000" w:rsidRPr="00000000">
              <w:rPr>
                <w:sz w:val="20"/>
                <w:szCs w:val="20"/>
                <w:rtl w:val="0"/>
              </w:rPr>
              <w:t xml:space="preserve">Jesus Daniel Perez Medina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rPr>
                <w:sz w:val="20"/>
                <w:szCs w:val="20"/>
              </w:rPr>
            </w:pPr>
            <w:r w:rsidDel="00000000" w:rsidR="00000000" w:rsidRPr="00000000">
              <w:rPr>
                <w:b w:val="1"/>
                <w:bCs w:val="1"/>
                <w:sz w:val="20"/>
                <w:szCs w:val="20"/>
                <w:rtl w:val="0"/>
              </w:rPr>
              <w:t xml:space="preserve">Responsable de TI: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9F">
            <w:pPr>
              <w:rPr>
                <w:sz w:val="20"/>
                <w:szCs w:val="20"/>
              </w:rPr>
            </w:pPr>
            <w:r w:rsidDel="00000000" w:rsidR="00000000" w:rsidRPr="00000000">
              <w:rPr>
                <w:sz w:val="20"/>
                <w:szCs w:val="20"/>
                <w:rtl w:val="0"/>
              </w:rPr>
              <w:t xml:space="preserve">Gilberto Valenzuela Alvarez</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rPr>
                <w:sz w:val="20"/>
                <w:szCs w:val="20"/>
              </w:rPr>
            </w:pPr>
            <w:r w:rsidDel="00000000" w:rsidR="00000000" w:rsidRPr="00000000">
              <w:rPr>
                <w:b w:val="1"/>
                <w:bCs w:val="1"/>
                <w:sz w:val="20"/>
                <w:szCs w:val="20"/>
                <w:rtl w:val="0"/>
              </w:rPr>
              <w:t xml:space="preserve">Solicitante: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A1">
            <w:pPr>
              <w:rPr>
                <w:sz w:val="20"/>
                <w:szCs w:val="20"/>
              </w:rPr>
            </w:pPr>
            <w:r w:rsidDel="00000000" w:rsidR="00000000" w:rsidRPr="00000000">
              <w:rPr>
                <w:sz w:val="20"/>
                <w:szCs w:val="20"/>
                <w:rtl w:val="0"/>
              </w:rPr>
              <w:t xml:space="preserve">Julio Ernesto Aguilar Terrazas</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rPr>
                <w:sz w:val="20"/>
                <w:szCs w:val="20"/>
              </w:rPr>
            </w:pPr>
            <w:r w:rsidDel="00000000" w:rsidR="00000000" w:rsidRPr="00000000">
              <w:rPr>
                <w:b w:val="1"/>
                <w:bCs w:val="1"/>
                <w:sz w:val="20"/>
                <w:szCs w:val="20"/>
                <w:rtl w:val="0"/>
              </w:rPr>
              <w:t xml:space="preserve">ID de Presupuesto: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A3">
            <w:pPr>
              <w:rPr>
                <w:sz w:val="20"/>
                <w:szCs w:val="20"/>
              </w:rPr>
            </w:pPr>
            <w:r w:rsidDel="00000000" w:rsidR="00000000" w:rsidRPr="00000000">
              <w:rPr>
                <w:sz w:val="20"/>
                <w:szCs w:val="20"/>
                <w:rtl w:val="0"/>
              </w:rPr>
              <w:t xml:space="preserve">Presupuesto Afore</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rPr>
                <w:sz w:val="20"/>
                <w:szCs w:val="20"/>
              </w:rPr>
            </w:pPr>
            <w:r w:rsidDel="00000000" w:rsidR="00000000" w:rsidRPr="00000000">
              <w:rPr>
                <w:b w:val="1"/>
                <w:bCs w:val="1"/>
                <w:sz w:val="20"/>
                <w:szCs w:val="20"/>
                <w:rtl w:val="0"/>
              </w:rPr>
              <w:t xml:space="preserve">Número de Centro al que se le cargará gasto: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A5">
            <w:pPr>
              <w:rPr>
                <w:sz w:val="20"/>
                <w:szCs w:val="20"/>
              </w:rPr>
            </w:pPr>
            <w:r w:rsidDel="00000000" w:rsidR="00000000" w:rsidRPr="00000000">
              <w:rPr>
                <w:sz w:val="20"/>
                <w:szCs w:val="20"/>
                <w:rtl w:val="0"/>
              </w:rPr>
              <w:t xml:space="preserve">234190</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rPr>
                <w:sz w:val="20"/>
                <w:szCs w:val="20"/>
              </w:rPr>
            </w:pPr>
            <w:r w:rsidDel="00000000" w:rsidR="00000000" w:rsidRPr="00000000">
              <w:rPr>
                <w:b w:val="1"/>
                <w:bCs w:val="1"/>
                <w:sz w:val="20"/>
                <w:szCs w:val="20"/>
                <w:rtl w:val="0"/>
              </w:rPr>
              <w:t xml:space="preserve">Nombre de Centro al que se le cargará gasto: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A7">
            <w:pPr>
              <w:rPr>
                <w:sz w:val="20"/>
                <w:szCs w:val="20"/>
              </w:rPr>
            </w:pPr>
            <w:r w:rsidDel="00000000" w:rsidR="00000000" w:rsidRPr="00000000">
              <w:rPr>
                <w:sz w:val="20"/>
                <w:szCs w:val="20"/>
                <w:rtl w:val="0"/>
              </w:rPr>
              <w:t xml:space="preserve">06 DESARROLLO DE SOLS TI AFORE AFILIACION I</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rPr>
                <w:sz w:val="20"/>
                <w:szCs w:val="20"/>
              </w:rPr>
            </w:pPr>
            <w:r w:rsidDel="00000000" w:rsidR="00000000" w:rsidRPr="00000000">
              <w:rPr>
                <w:b w:val="1"/>
                <w:bCs w:val="1"/>
                <w:sz w:val="20"/>
                <w:szCs w:val="20"/>
                <w:rtl w:val="0"/>
              </w:rPr>
              <w:t xml:space="preserve"># de iniciativa que pertenece en caso de aplica: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A9">
            <w:pPr>
              <w:rPr>
                <w:sz w:val="20"/>
                <w:szCs w:val="20"/>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rPr>
                <w:sz w:val="20"/>
                <w:szCs w:val="20"/>
              </w:rPr>
            </w:pPr>
            <w:r w:rsidDel="00000000" w:rsidR="00000000" w:rsidRPr="00000000">
              <w:rPr>
                <w:b w:val="1"/>
                <w:bCs w:val="1"/>
                <w:sz w:val="20"/>
                <w:szCs w:val="20"/>
                <w:rtl w:val="0"/>
              </w:rPr>
              <w:t xml:space="preserve">Tiempo de uso del sistema (1 año, 3 años, indefinido):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AB">
            <w:pPr>
              <w:rPr>
                <w:sz w:val="20"/>
                <w:szCs w:val="20"/>
              </w:rPr>
            </w:pPr>
            <w:r w:rsidDel="00000000" w:rsidR="00000000" w:rsidRPr="00000000">
              <w:rPr>
                <w:sz w:val="20"/>
                <w:szCs w:val="20"/>
                <w:rtl w:val="0"/>
              </w:rPr>
              <w:t xml:space="preserve">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rPr>
                <w:sz w:val="20"/>
                <w:szCs w:val="20"/>
              </w:rPr>
            </w:pPr>
            <w:r w:rsidDel="00000000" w:rsidR="00000000" w:rsidRPr="00000000">
              <w:rPr>
                <w:b w:val="1"/>
                <w:bCs w:val="1"/>
                <w:sz w:val="20"/>
                <w:szCs w:val="20"/>
                <w:rtl w:val="0"/>
              </w:rPr>
              <w:t xml:space="preserve">Resumen del servicio: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AD">
            <w:pPr>
              <w:rPr>
                <w:sz w:val="20"/>
                <w:szCs w:val="20"/>
              </w:rPr>
            </w:pPr>
            <w:r w:rsidDel="00000000" w:rsidR="00000000" w:rsidRPr="00000000">
              <w:rPr>
                <w:sz w:val="20"/>
                <w:szCs w:val="20"/>
                <w:rtl w:val="0"/>
              </w:rPr>
              <w:t xml:space="preserve">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rPr>
                <w:sz w:val="20"/>
                <w:szCs w:val="20"/>
              </w:rPr>
            </w:pPr>
            <w:r w:rsidDel="00000000" w:rsidR="00000000" w:rsidRPr="00000000">
              <w:rPr>
                <w:b w:val="1"/>
                <w:bCs w:val="1"/>
                <w:sz w:val="20"/>
                <w:szCs w:val="20"/>
                <w:rtl w:val="0"/>
              </w:rPr>
              <w:t xml:space="preserve">División a la que pertenece: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AF">
            <w:pPr>
              <w:rPr>
                <w:sz w:val="20"/>
                <w:szCs w:val="20"/>
              </w:rPr>
            </w:pPr>
            <w:r w:rsidDel="00000000" w:rsidR="00000000" w:rsidRPr="00000000">
              <w:rPr>
                <w:sz w:val="20"/>
                <w:szCs w:val="20"/>
                <w:rtl w:val="0"/>
              </w:rPr>
              <w:t xml:space="preserve">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rPr>
                <w:sz w:val="20"/>
                <w:szCs w:val="20"/>
              </w:rPr>
            </w:pPr>
            <w:r w:rsidDel="00000000" w:rsidR="00000000" w:rsidRPr="00000000">
              <w:rPr>
                <w:b w:val="1"/>
                <w:bCs w:val="1"/>
                <w:sz w:val="20"/>
                <w:szCs w:val="20"/>
                <w:rtl w:val="0"/>
              </w:rPr>
              <w:t xml:space="preserve">Ambiente (Prod, Dev, QA, DR, etc):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B1">
            <w:pPr>
              <w:rPr>
                <w:sz w:val="20"/>
                <w:szCs w:val="20"/>
              </w:rPr>
            </w:pPr>
            <w:r w:rsidDel="00000000" w:rsidR="00000000" w:rsidRPr="00000000">
              <w:rPr>
                <w:sz w:val="20"/>
                <w:szCs w:val="20"/>
                <w:rtl w:val="0"/>
              </w:rPr>
              <w:t xml:space="preserve">NA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rPr>
                <w:sz w:val="20"/>
                <w:szCs w:val="20"/>
              </w:rPr>
            </w:pPr>
            <w:r w:rsidDel="00000000" w:rsidR="00000000" w:rsidRPr="00000000">
              <w:rPr>
                <w:b w:val="1"/>
                <w:bCs w:val="1"/>
                <w:sz w:val="20"/>
                <w:szCs w:val="20"/>
                <w:rtl w:val="0"/>
              </w:rPr>
              <w:t xml:space="preserve">Proyecto Nuevo (Si/No):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B3">
            <w:pPr>
              <w:rPr>
                <w:sz w:val="20"/>
                <w:szCs w:val="20"/>
              </w:rPr>
            </w:pPr>
            <w:r w:rsidDel="00000000" w:rsidR="00000000" w:rsidRPr="00000000">
              <w:rPr>
                <w:sz w:val="20"/>
                <w:szCs w:val="20"/>
                <w:rtl w:val="0"/>
              </w:rPr>
              <w:t xml:space="preserve">NA</w:t>
            </w:r>
          </w:p>
        </w:tc>
      </w:tr>
    </w:tbl>
    <w:p w:rsidR="00000000" w:rsidDel="00000000" w:rsidP="00000000" w:rsidRDefault="00000000" w:rsidRPr="00000000" w14:paraId="000000B4">
      <w:pPr>
        <w:widowControl w:val="0"/>
        <w:spacing w:line="276" w:lineRule="auto"/>
        <w:rPr/>
      </w:pPr>
    </w:p>
    <w:p w:rsidR="00000000" w:rsidDel="00000000" w:rsidP="00000000" w:rsidRDefault="00000000" w:rsidRPr="00000000" w14:paraId="000000B5">
      <w:pPr>
        <w:spacing w:after="100" w:before="200" w:lineRule="auto"/>
        <w:jc w:val="both"/>
        <w:rPr/>
      </w:pP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B6">
            <w:pPr>
              <w:jc w:val="center"/>
              <w:rPr/>
            </w:pPr>
            <w:r w:rsidDel="00000000" w:rsidR="00000000" w:rsidRPr="00000000">
              <w:rPr>
                <w:rFonts w:ascii="Arial" w:cs="Arial" w:eastAsia="Arial" w:hAnsi="Arial"/>
                <w:b w:val="1"/>
                <w:bCs w:val="1"/>
                <w:color w:val="ffffff"/>
                <w:sz w:val="20"/>
                <w:szCs w:val="20"/>
                <w:rtl w:val="0"/>
              </w:rPr>
              <w:t xml:space="preserve">Technical tags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B7">
            <w:pPr>
              <w:jc w:val="center"/>
              <w:rPr/>
            </w:pPr>
            <w:r w:rsidDel="00000000" w:rsidR="00000000" w:rsidRPr="00000000">
              <w:rPr>
                <w:rFonts w:ascii="Arial" w:cs="Arial" w:eastAsia="Arial" w:hAnsi="Arial"/>
                <w:b w:val="1"/>
                <w:bCs w:val="1"/>
                <w:color w:val="ffffff"/>
                <w:sz w:val="20"/>
                <w:szCs w:val="20"/>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1"/>
                <w:bCs w:val="1"/>
                <w:color w:val="000000"/>
                <w:sz w:val="20"/>
                <w:szCs w:val="20"/>
                <w:rtl w:val="0"/>
              </w:rPr>
              <w:t xml:space="preserve">Service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000000"/>
                <w:sz w:val="20"/>
                <w:szCs w:val="20"/>
                <w:rtl w:val="0"/>
              </w:rPr>
              <w:t xml:space="preserve">ec2 / eks / s3 / nlb / kms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1"/>
                <w:bCs w:val="1"/>
                <w:color w:val="000000"/>
                <w:sz w:val="20"/>
                <w:szCs w:val="20"/>
                <w:rtl w:val="0"/>
              </w:rPr>
              <w:t xml:space="preserve">Application 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000000"/>
                <w:sz w:val="20"/>
                <w:szCs w:val="20"/>
                <w:rtl w:val="0"/>
              </w:rPr>
              <w:t xml:space="preserve">menu-frontend / menu-api / config-service / profile-service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1"/>
                <w:bCs w:val="1"/>
                <w:color w:val="000000"/>
                <w:sz w:val="20"/>
                <w:szCs w:val="20"/>
                <w:rtl w:val="0"/>
              </w:rPr>
              <w:t xml:space="preserve">Environment: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D">
            <w:pPr>
              <w:jc w:val="left"/>
              <w:rPr/>
            </w:pPr>
            <w:r w:rsidDel="00000000" w:rsidR="00000000" w:rsidRPr="00000000">
              <w:rPr>
                <w:sz w:val="20"/>
                <w:szCs w:val="20"/>
                <w:rtl w:val="0"/>
              </w:rPr>
              <w:t xml:space="preserve">DEV</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1"/>
                <w:bCs w:val="1"/>
                <w:color w:val="000000"/>
                <w:sz w:val="20"/>
                <w:szCs w:val="20"/>
                <w:rtl w:val="0"/>
              </w:rPr>
              <w:t xml:space="preserve">Versión: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000000"/>
                <w:sz w:val="20"/>
                <w:szCs w:val="20"/>
                <w:rtl w:val="0"/>
              </w:rPr>
              <w:t xml:space="preserve">versión de aplicación o del recurso.</w:t>
            </w:r>
            <w:r w:rsidDel="00000000" w:rsidR="00000000" w:rsidRPr="00000000">
              <w:rPr>
                <w:rtl w:val="0"/>
              </w:rPr>
            </w:r>
          </w:p>
        </w:tc>
      </w:tr>
    </w:tbl>
    <w:p w:rsidR="00000000" w:rsidDel="00000000" w:rsidP="00000000" w:rsidRDefault="00000000" w:rsidRPr="00000000" w14:paraId="000000C0">
      <w:pPr>
        <w:pStyle w:val="Heading1"/>
        <w:spacing w:after="200" w:before="360" w:lineRule="auto"/>
        <w:rPr/>
      </w:pP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248"/>
        <w:gridCol w:w="4680"/>
        <w:gridCol w:w="1560"/>
        <w:tblGridChange w:id="0">
          <w:tblGrid>
            <w:gridCol w:w="1872"/>
            <w:gridCol w:w="1248"/>
            <w:gridCol w:w="4680"/>
            <w:gridCol w:w="1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ffffff"/>
                <w:sz w:val="20"/>
                <w:szCs w:val="20"/>
                <w:rtl w:val="0"/>
              </w:rPr>
              <w:t xml:space="preserve">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C2">
            <w:pPr>
              <w:jc w:val="center"/>
              <w:rPr/>
            </w:pPr>
            <w:r w:rsidDel="00000000" w:rsidR="00000000" w:rsidRPr="00000000">
              <w:rPr>
                <w:rFonts w:ascii="Arial" w:cs="Arial" w:eastAsia="Arial" w:hAnsi="Arial"/>
                <w:b w:val="1"/>
                <w:bCs w:val="1"/>
                <w:color w:val="ffffff"/>
                <w:sz w:val="20"/>
                <w:szCs w:val="20"/>
                <w:rtl w:val="0"/>
              </w:rPr>
              <w:t xml:space="preserve">Ambiente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ffffff"/>
                <w:sz w:val="20"/>
                <w:szCs w:val="20"/>
                <w:rtl w:val="0"/>
              </w:rPr>
              <w:t xml:space="preserve">Componente(s)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ffffff"/>
                <w:sz w:val="20"/>
                <w:szCs w:val="20"/>
                <w:rtl w:val="0"/>
              </w:rPr>
              <w:t xml:space="preserve">Precio Recurrente Mensual MRC USD</w:t>
            </w:r>
            <w:r w:rsidDel="00000000" w:rsidR="00000000" w:rsidRPr="00000000">
              <w:rPr>
                <w:rtl w:val="0"/>
              </w:rPr>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sz w:val="22"/>
                <w:szCs w:val="22"/>
                <w:rtl w:val="0"/>
              </w:rPr>
              <w:t xml:space="preserve">Ondemand (N. Virginia)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top"/>
          </w:tcPr>
          <w:p w:rsidR="00000000" w:rsidDel="00000000" w:rsidP="00000000" w:rsidRDefault="00000000" w:rsidRPr="00000000" w14:paraId="000000C9">
            <w:pPr>
              <w:jc w:val="left"/>
              <w:rPr/>
            </w:pPr>
            <w:r w:rsidDel="00000000" w:rsidR="00000000" w:rsidRPr="00000000">
              <w:rPr>
                <w:rFonts w:ascii="Arial" w:cs="Arial" w:eastAsia="Arial" w:hAnsi="Arial"/>
                <w:b w:val="1"/>
                <w:bCs w:val="1"/>
                <w:color w:val="000000"/>
                <w:sz w:val="20"/>
                <w:szCs w:val="20"/>
                <w:rtl w:val="0"/>
              </w:rPr>
              <w:t xml:space="preserve">Afore Menú Operaciones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top"/>
          </w:tcPr>
          <w:p w:rsidR="00000000" w:rsidDel="00000000" w:rsidP="00000000" w:rsidRDefault="00000000" w:rsidRPr="00000000" w14:paraId="000000CA">
            <w:pPr>
              <w:jc w:val="center"/>
              <w:rPr/>
            </w:pPr>
            <w:r w:rsidDel="00000000" w:rsidR="00000000" w:rsidRPr="00000000">
              <w:rPr>
                <w:b w:val="1"/>
                <w:bCs w:val="1"/>
                <w:sz w:val="20"/>
                <w:szCs w:val="20"/>
                <w:rtl w:val="0"/>
              </w:rPr>
              <w:t xml:space="preserve">DEV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top"/>
          </w:tcPr>
          <w:p w:rsidR="00000000" w:rsidDel="00000000" w:rsidP="00000000" w:rsidRDefault="00000000" w:rsidRPr="00000000" w14:paraId="000000CB">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Amazon EC2 for EKS Menú Operaciones - m7i.4xlarge - 100 GB gp3 x (6) — Detailed Monitoring habilitado, Snapshots Daily</w:t>
            </w:r>
            <w:r w:rsidDel="00000000" w:rsidR="00000000" w:rsidRPr="00000000">
              <w:rPr>
                <w:rtl w:val="0"/>
              </w:rPr>
            </w:r>
          </w:p>
          <w:p w:rsidR="00000000" w:rsidDel="00000000" w:rsidP="00000000" w:rsidRDefault="00000000" w:rsidRPr="00000000" w14:paraId="000000CC">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Amazon EKS Cluster (1) — versión 1.33</w:t>
            </w:r>
            <w:r w:rsidDel="00000000" w:rsidR="00000000" w:rsidRPr="00000000">
              <w:rPr>
                <w:rtl w:val="0"/>
              </w:rPr>
            </w:r>
          </w:p>
          <w:p w:rsidR="00000000" w:rsidDel="00000000" w:rsidP="00000000" w:rsidRDefault="00000000" w:rsidRPr="00000000" w14:paraId="000000CD">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Amazon Elastic Container Registry: 200 GB</w:t>
            </w:r>
            <w:r w:rsidDel="00000000" w:rsidR="00000000" w:rsidRPr="00000000">
              <w:rPr>
                <w:rtl w:val="0"/>
              </w:rPr>
            </w:r>
          </w:p>
          <w:p w:rsidR="00000000" w:rsidDel="00000000" w:rsidP="00000000" w:rsidRDefault="00000000" w:rsidRPr="00000000" w14:paraId="000000CE">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Amazon S3: 308 GB (Frontend SPA Menú Operaciones)</w:t>
            </w:r>
            <w:r w:rsidDel="00000000" w:rsidR="00000000" w:rsidRPr="00000000">
              <w:rPr>
                <w:rtl w:val="0"/>
              </w:rPr>
            </w:r>
          </w:p>
          <w:p w:rsidR="00000000" w:rsidDel="00000000" w:rsidP="00000000" w:rsidRDefault="00000000" w:rsidRPr="00000000" w14:paraId="000000CF">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Elastic Load Balancing - Network Load Balancer (1)</w:t>
            </w:r>
            <w:r w:rsidDel="00000000" w:rsidR="00000000" w:rsidRPr="00000000">
              <w:rPr>
                <w:rtl w:val="0"/>
              </w:rPr>
            </w:r>
          </w:p>
          <w:p w:rsidR="00000000" w:rsidDel="00000000" w:rsidP="00000000" w:rsidRDefault="00000000" w:rsidRPr="00000000" w14:paraId="000000D0">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NAT Gateway (3) — 1 por Availability Zone</w:t>
            </w:r>
            <w:r w:rsidDel="00000000" w:rsidR="00000000" w:rsidRPr="00000000">
              <w:rPr>
                <w:rtl w:val="0"/>
              </w:rPr>
            </w:r>
          </w:p>
          <w:p w:rsidR="00000000" w:rsidDel="00000000" w:rsidP="00000000" w:rsidRDefault="00000000" w:rsidRPr="00000000" w14:paraId="000000D1">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Regional NAT Gateway (5) — 3 AZs activas</w:t>
            </w:r>
            <w:r w:rsidDel="00000000" w:rsidR="00000000" w:rsidRPr="00000000">
              <w:rPr>
                <w:rtl w:val="0"/>
              </w:rPr>
            </w:r>
          </w:p>
          <w:p w:rsidR="00000000" w:rsidDel="00000000" w:rsidP="00000000" w:rsidRDefault="00000000" w:rsidRPr="00000000" w14:paraId="000000D2">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TGW attachment: (1)</w:t>
            </w:r>
            <w:r w:rsidDel="00000000" w:rsidR="00000000" w:rsidRPr="00000000">
              <w:rPr>
                <w:rtl w:val="0"/>
              </w:rPr>
            </w:r>
          </w:p>
          <w:p w:rsidR="00000000" w:rsidDel="00000000" w:rsidP="00000000" w:rsidRDefault="00000000" w:rsidRPr="00000000" w14:paraId="000000D3">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Site-to-Site VPN Connection (1)</w:t>
            </w:r>
            <w:r w:rsidDel="00000000" w:rsidR="00000000" w:rsidRPr="00000000">
              <w:rPr>
                <w:rtl w:val="0"/>
              </w:rPr>
            </w:r>
          </w:p>
          <w:p w:rsidR="00000000" w:rsidDel="00000000" w:rsidP="00000000" w:rsidRDefault="00000000" w:rsidRPr="00000000" w14:paraId="000000D4">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IPAM</w:t>
            </w:r>
            <w:r w:rsidDel="00000000" w:rsidR="00000000" w:rsidRPr="00000000">
              <w:rPr>
                <w:rtl w:val="0"/>
              </w:rPr>
            </w:r>
          </w:p>
          <w:p w:rsidR="00000000" w:rsidDel="00000000" w:rsidP="00000000" w:rsidRDefault="00000000" w:rsidRPr="00000000" w14:paraId="000000D5">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Data Transfer out (Internet): 512 GB</w:t>
            </w:r>
            <w:r w:rsidDel="00000000" w:rsidR="00000000" w:rsidRPr="00000000">
              <w:rPr>
                <w:rtl w:val="0"/>
              </w:rPr>
            </w:r>
          </w:p>
          <w:p w:rsidR="00000000" w:rsidDel="00000000" w:rsidP="00000000" w:rsidRDefault="00000000" w:rsidRPr="00000000" w14:paraId="000000D6">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AWS KMS — 5 Customer Master Keys + 2M symmetric requests</w:t>
            </w:r>
            <w:r w:rsidDel="00000000" w:rsidR="00000000" w:rsidRPr="00000000">
              <w:rPr>
                <w:rtl w:val="0"/>
              </w:rPr>
            </w:r>
          </w:p>
          <w:p w:rsidR="00000000" w:rsidDel="00000000" w:rsidP="00000000" w:rsidRDefault="00000000" w:rsidRPr="00000000" w14:paraId="000000D7">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AWS Secrets Manager — 10 secrets</w:t>
            </w:r>
            <w:r w:rsidDel="00000000" w:rsidR="00000000" w:rsidRPr="00000000">
              <w:rPr>
                <w:rtl w:val="0"/>
              </w:rPr>
            </w:r>
          </w:p>
          <w:p w:rsidR="00000000" w:rsidDel="00000000" w:rsidP="00000000" w:rsidRDefault="00000000" w:rsidRPr="00000000" w14:paraId="000000D8">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Amazon CloudWatch — Monitoreo (30 métricas, 15 alarmas, 2 dashboards)</w:t>
            </w:r>
            <w:r w:rsidDel="00000000" w:rsidR="00000000" w:rsidRPr="00000000">
              <w:rPr>
                <w:rtl w:val="0"/>
              </w:rPr>
            </w:r>
          </w:p>
          <w:p w:rsidR="00000000" w:rsidDel="00000000" w:rsidP="00000000" w:rsidRDefault="00000000" w:rsidRPr="00000000" w14:paraId="000000D9">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AWS WAF — 2 Web ACLs, 5 rules c/u, 2 Managed Rule Groups</w:t>
            </w:r>
            <w:r w:rsidDel="00000000" w:rsidR="00000000" w:rsidRPr="00000000">
              <w:rPr>
                <w:rtl w:val="0"/>
              </w:rPr>
            </w:r>
          </w:p>
          <w:p w:rsidR="00000000" w:rsidDel="00000000" w:rsidP="00000000" w:rsidRDefault="00000000" w:rsidRPr="00000000" w14:paraId="000000DA">
            <w:pPr>
              <w:spacing w:after="20" w:before="20" w:lineRule="auto"/>
              <w:jc w:val="left"/>
              <w:rPr/>
            </w:pPr>
            <w:r w:rsidDel="00000000" w:rsidR="00000000" w:rsidRPr="00000000">
              <w:rPr>
                <w:rFonts w:ascii="Arial" w:cs="Arial" w:eastAsia="Arial" w:hAnsi="Arial"/>
                <w:b w:val="0"/>
                <w:bCs w:val="0"/>
                <w:color w:val="000000"/>
                <w:sz w:val="16"/>
                <w:szCs w:val="16"/>
                <w:rtl w:val="0"/>
              </w:rPr>
              <w:t xml:space="preserve">Shared Services (VPN, IPAM)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top"/>
          </w:tcPr>
          <w:p w:rsidR="00000000" w:rsidDel="00000000" w:rsidP="00000000" w:rsidRDefault="00000000" w:rsidRPr="00000000" w14:paraId="000000DB">
            <w:pPr>
              <w:jc w:val="right"/>
              <w:rPr/>
            </w:pPr>
            <w:r w:rsidDel="00000000" w:rsidR="00000000" w:rsidRPr="00000000">
              <w:rPr>
                <w:rFonts w:ascii="Arial" w:cs="Arial" w:eastAsia="Arial" w:hAnsi="Arial"/>
                <w:b w:val="1"/>
                <w:bCs w:val="1"/>
                <w:color w:val="000000"/>
                <w:sz w:val="20"/>
                <w:szCs w:val="20"/>
                <w:rtl w:val="0"/>
              </w:rPr>
              <w:t xml:space="preserve">$5,864.81</w:t>
            </w:r>
            <w:r w:rsidDel="00000000" w:rsidR="00000000" w:rsidRPr="00000000">
              <w:rPr>
                <w:rtl w:val="0"/>
              </w:rPr>
            </w:r>
          </w:p>
        </w:tc>
      </w:tr>
      <w:tr>
        <w:trPr>
          <w:cantSplit w:val="0"/>
          <w:tblHeader w:val="0"/>
        </w:trPr>
        <w:tc>
          <w:tcPr>
            <w:gridSpan w:val="4"/>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sz w:val="22"/>
                <w:szCs w:val="22"/>
                <w:rtl w:val="0"/>
              </w:rPr>
              <w:t xml:space="preserve">Servicios Adicionales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1"/>
                <w:bCs w:val="1"/>
                <w:color w:val="000000"/>
                <w:sz w:val="20"/>
                <w:szCs w:val="20"/>
                <w:rtl w:val="0"/>
              </w:rPr>
              <w:t xml:space="preserve">Servicios Administrados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E1">
            <w:pPr>
              <w:jc w:val="center"/>
              <w:rPr/>
            </w:pPr>
            <w:r w:rsidDel="00000000" w:rsidR="00000000" w:rsidRPr="00000000">
              <w:rPr>
                <w:rFonts w:ascii="Arial" w:cs="Arial" w:eastAsia="Arial" w:hAnsi="Arial"/>
                <w:b w:val="0"/>
                <w:bCs w:val="0"/>
                <w:color w:val="000000"/>
                <w:sz w:val="20"/>
                <w:szCs w:val="20"/>
                <w:rtl w:val="0"/>
              </w:rPr>
              <w:t xml:space="preserve">Administración Plataforma AWS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000000"/>
                <w:sz w:val="20"/>
                <w:szCs w:val="20"/>
                <w:rtl w:val="0"/>
              </w:rPr>
              <w:t xml:space="preserve">Servicios Administrados Plataforma Nube Pública, (Costo en función del consumo de nube)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E3">
            <w:pPr>
              <w:jc w:val="right"/>
              <w:rPr/>
            </w:pPr>
            <w:r w:rsidDel="00000000" w:rsidR="00000000" w:rsidRPr="00000000">
              <w:rPr>
                <w:rFonts w:ascii="Arial" w:cs="Arial" w:eastAsia="Arial" w:hAnsi="Arial"/>
                <w:b w:val="1"/>
                <w:bCs w:val="1"/>
                <w:color w:val="000000"/>
                <w:sz w:val="20"/>
                <w:szCs w:val="20"/>
                <w:rtl w:val="0"/>
              </w:rPr>
              <w:t xml:space="preserve">$809.34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1f2" w:val="clear"/>
            <w:tcMar>
              <w:top w:w="100.0" w:type="dxa"/>
              <w:left w:w="120.0" w:type="dxa"/>
              <w:bottom w:w="100.0" w:type="dxa"/>
              <w:right w:w="120.0" w:type="dxa"/>
            </w:tcMar>
            <w:vAlign w:val="center"/>
          </w:tcPr>
          <w:p w:rsidR="00000000" w:rsidDel="00000000" w:rsidP="00000000" w:rsidRDefault="00000000" w:rsidRPr="00000000" w14:paraId="000000E4">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1f2" w:val="clear"/>
            <w:tcMar>
              <w:top w:w="100.0" w:type="dxa"/>
              <w:left w:w="120.0" w:type="dxa"/>
              <w:bottom w:w="100.0" w:type="dxa"/>
              <w:right w:w="120.0" w:type="dxa"/>
            </w:tcMar>
            <w:vAlign w:val="center"/>
          </w:tcPr>
          <w:p w:rsidR="00000000" w:rsidDel="00000000" w:rsidP="00000000" w:rsidRDefault="00000000" w:rsidRPr="00000000" w14:paraId="000000E5">
            <w:pPr>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1f2" w:val="clear"/>
            <w:tcMar>
              <w:top w:w="100.0" w:type="dxa"/>
              <w:left w:w="120.0" w:type="dxa"/>
              <w:bottom w:w="100.0" w:type="dxa"/>
              <w:right w:w="120.0" w:type="dxa"/>
            </w:tcMar>
            <w:vAlign w:val="center"/>
          </w:tcPr>
          <w:p w:rsidR="00000000" w:rsidDel="00000000" w:rsidP="00000000" w:rsidRDefault="00000000" w:rsidRPr="00000000" w14:paraId="000000E6">
            <w:pPr>
              <w:jc w:val="right"/>
              <w:rPr/>
            </w:pPr>
            <w:r w:rsidDel="00000000" w:rsidR="00000000" w:rsidRPr="00000000">
              <w:rPr>
                <w:rFonts w:ascii="Arial" w:cs="Arial" w:eastAsia="Arial" w:hAnsi="Arial"/>
                <w:b w:val="1"/>
                <w:bCs w:val="1"/>
                <w:color w:val="000000"/>
                <w:sz w:val="20"/>
                <w:szCs w:val="20"/>
                <w:rtl w:val="0"/>
              </w:rPr>
              <w:t xml:space="preserve">Subtotal USD MRC: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1f2" w:val="clear"/>
            <w:tcMar>
              <w:top w:w="100.0" w:type="dxa"/>
              <w:left w:w="120.0" w:type="dxa"/>
              <w:bottom w:w="100.0" w:type="dxa"/>
              <w:right w:w="120.0" w:type="dxa"/>
            </w:tcMar>
            <w:vAlign w:val="center"/>
          </w:tcPr>
          <w:p w:rsidR="00000000" w:rsidDel="00000000" w:rsidP="00000000" w:rsidRDefault="00000000" w:rsidRPr="00000000" w14:paraId="000000E7">
            <w:pPr>
              <w:jc w:val="right"/>
              <w:rPr/>
            </w:pPr>
            <w:r w:rsidDel="00000000" w:rsidR="00000000" w:rsidRPr="00000000">
              <w:rPr>
                <w:rFonts w:ascii="Arial" w:cs="Arial" w:eastAsia="Arial" w:hAnsi="Arial"/>
                <w:b w:val="1"/>
                <w:bCs w:val="1"/>
                <w:color w:val="000000"/>
                <w:sz w:val="20"/>
                <w:szCs w:val="20"/>
                <w:rtl w:val="0"/>
              </w:rPr>
              <w:t xml:space="preserve">$6,674.15</w:t>
            </w:r>
            <w:r w:rsidDel="00000000" w:rsidR="00000000" w:rsidRPr="00000000">
              <w:rPr>
                <w:rtl w:val="0"/>
              </w:rPr>
            </w:r>
          </w:p>
        </w:tc>
      </w:tr>
    </w:tbl>
    <w:p w:rsidR="00000000" w:rsidDel="00000000" w:rsidP="00000000" w:rsidRDefault="00000000" w:rsidRPr="00000000" w14:paraId="000000E8">
      <w:pPr>
        <w:spacing w:after="100" w:before="200" w:lineRule="auto"/>
        <w:jc w:val="both"/>
        <w:rPr/>
      </w:pPr>
    </w:p>
    <w:p w:rsidR="00000000" w:rsidDel="00000000" w:rsidP="00000000" w:rsidRDefault="00000000" w:rsidRPr="00000000" w14:paraId="000000E9">
      <w:pPr>
        <w:spacing w:after="100" w:before="100" w:lineRule="auto"/>
        <w:jc w:val="left"/>
        <w:rPr/>
      </w:pPr>
    </w:p>
    <w:p w:rsidR="00000000" w:rsidDel="00000000" w:rsidP="00000000" w:rsidRDefault="00000000" w:rsidRPr="00000000" w14:paraId="000000EA">
      <w:pPr>
        <w:pStyle w:val="Heading1"/>
        <w:spacing w:after="200" w:before="360" w:lineRule="auto"/>
        <w:rPr/>
      </w:pPr>
    </w:p>
    <w:p w:rsidR="00000000" w:rsidDel="00000000" w:rsidP="00000000" w:rsidRDefault="00000000" w:rsidRPr="00000000" w14:paraId="000000EB">
      <w:pPr>
        <w:pStyle w:val="Heading1"/>
        <w:spacing w:after="200" w:before="360" w:lineRule="auto"/>
        <w:rPr/>
      </w:pP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p>
    <w:p w:rsidR="00000000" w:rsidDel="00000000" w:rsidP="00000000" w:rsidRDefault="00000000" w:rsidRPr="00000000" w14:paraId="000000F1">
      <w:pPr>
        <w:spacing w:after="100" w:before="300" w:lineRule="auto"/>
        <w:jc w:val="both"/>
        <w:rPr/>
      </w:pPr>
    </w:p>
    <w:p w:rsidR="00000000" w:rsidDel="00000000" w:rsidP="00000000" w:rsidRDefault="00000000" w:rsidRPr="00000000" w14:paraId="000000F2">
      <w:pPr>
        <w:spacing w:after="100" w:before="100" w:lineRule="auto"/>
        <w:jc w:val="both"/>
        <w:rPr/>
      </w:pPr>
    </w:p>
    <w:p w:rsidR="00000000" w:rsidDel="00000000" w:rsidP="00000000" w:rsidRDefault="00000000" w:rsidRPr="00000000" w14:paraId="000000F3">
      <w:pPr>
        <w:spacing w:after="200" w:before="150" w:lineRule="auto"/>
        <w:jc w:val="both"/>
        <w:rPr/>
      </w:pP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600.0" w:type="dxa"/>
              <w:left w:w="120.0" w:type="dxa"/>
              <w:bottom w:w="200.0" w:type="dxa"/>
              <w:right w:w="120.0" w:type="dxa"/>
            </w:tcMar>
          </w:tcPr>
          <w:p w:rsidR="00000000" w:rsidDel="00000000" w:rsidP="00000000" w:rsidRDefault="00000000" w:rsidRPr="00000000" w14:paraId="000000F4">
            <w:pPr>
              <w:jc w:val="center"/>
              <w:rPr/>
            </w:pPr>
            <w:r w:rsidDel="00000000" w:rsidR="00000000" w:rsidRPr="00000000">
              <w:rPr>
                <w:rFonts w:ascii="Arial" w:cs="Arial" w:eastAsia="Arial" w:hAnsi="Arial"/>
                <w:sz w:val="22"/>
                <w:szCs w:val="22"/>
                <w:rtl w:val="0"/>
              </w:rPr>
              <w:t xml:space="preserve">_______________________</w:t>
            </w:r>
            <w:r w:rsidDel="00000000" w:rsidR="00000000" w:rsidRPr="00000000">
              <w:rPr>
                <w:rtl w:val="0"/>
              </w:rPr>
            </w:r>
          </w:p>
          <w:p w:rsidR="00000000" w:rsidDel="00000000" w:rsidP="00000000" w:rsidRDefault="00000000" w:rsidRPr="00000000" w14:paraId="000000F5">
            <w:pPr>
              <w:jc w:val="center"/>
              <w:rPr/>
            </w:pPr>
            <w:r w:rsidDel="00000000" w:rsidR="00000000" w:rsidRPr="00000000">
              <w:rPr>
                <w:rtl w:val="0"/>
              </w:rPr>
            </w:r>
          </w:p>
          <w:p w:rsidR="00000000" w:rsidDel="00000000" w:rsidP="00000000" w:rsidRDefault="00000000" w:rsidRPr="00000000" w14:paraId="000000F6">
            <w:pPr>
              <w:jc w:val="center"/>
              <w:rPr/>
            </w:pPr>
            <w:r w:rsidDel="00000000" w:rsidR="00000000" w:rsidRPr="00000000">
              <w:rPr>
                <w:b w:val="1"/>
                <w:bCs w:val="1"/>
                <w:rtl w:val="0"/>
              </w:rPr>
              <w:t xml:space="preserve">Aaron Jazhiel Delgado.</w:t>
            </w:r>
            <w:r w:rsidDel="00000000" w:rsidR="00000000" w:rsidRPr="00000000">
              <w:rPr>
                <w:rtl w:val="0"/>
              </w:rPr>
            </w:r>
          </w:p>
          <w:p w:rsidR="00000000" w:rsidDel="00000000" w:rsidP="00000000" w:rsidRDefault="00000000" w:rsidRPr="00000000" w14:paraId="000000F7">
            <w:pPr>
              <w:jc w:val="left"/>
              <w:rPr/>
            </w:pPr>
            <w:r w:rsidDel="00000000" w:rsidR="00000000" w:rsidRPr="00000000">
              <w:rPr>
                <w:rtl w:val="0"/>
              </w:rPr>
            </w:r>
          </w:p>
          <w:p w:rsidR="00000000" w:rsidDel="00000000" w:rsidP="00000000" w:rsidRDefault="00000000" w:rsidRPr="00000000" w14:paraId="000000F8">
            <w:pPr>
              <w:jc w:val="center"/>
              <w:rPr/>
            </w:pPr>
            <w:r w:rsidDel="00000000" w:rsidR="00000000" w:rsidRPr="00000000">
              <w:rPr>
                <w:rFonts w:ascii="Arial" w:cs="Arial" w:eastAsia="Arial" w:hAnsi="Arial"/>
                <w:sz w:val="20"/>
                <w:szCs w:val="20"/>
                <w:rtl w:val="0"/>
              </w:rPr>
              <w:t xml:space="preserve">Arquitecto de Infraestructura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0" w:type="dxa"/>
              <w:left w:w="120.0" w:type="dxa"/>
              <w:bottom w:w="200.0" w:type="dxa"/>
              <w:right w:w="120.0" w:type="dxa"/>
            </w:tcMar>
          </w:tcPr>
          <w:p w:rsidR="00000000" w:rsidDel="00000000" w:rsidP="00000000" w:rsidRDefault="00000000" w:rsidRPr="00000000" w14:paraId="000000F9">
            <w:pPr>
              <w:jc w:val="center"/>
              <w:rPr/>
            </w:pPr>
            <w:r w:rsidDel="00000000" w:rsidR="00000000" w:rsidRPr="00000000">
              <w:rPr>
                <w:rtl w:val="0"/>
              </w:rPr>
              <w:t xml:space="preserve">_____________________</w:t>
            </w:r>
          </w:p>
          <w:p w:rsidR="00000000" w:rsidDel="00000000" w:rsidP="00000000" w:rsidRDefault="00000000" w:rsidRPr="00000000" w14:paraId="000000FA">
            <w:pPr>
              <w:jc w:val="center"/>
              <w:rPr/>
            </w:pPr>
            <w:r w:rsidDel="00000000" w:rsidR="00000000" w:rsidRPr="00000000">
              <w:rPr>
                <w:rtl w:val="0"/>
              </w:rPr>
            </w:r>
          </w:p>
          <w:p w:rsidR="00000000" w:rsidDel="00000000" w:rsidP="00000000" w:rsidRDefault="00000000" w:rsidRPr="00000000" w14:paraId="000000FB">
            <w:pPr>
              <w:jc w:val="center"/>
              <w:rPr>
                <w:b w:val="1"/>
                <w:bCs w:val="1"/>
                <w:sz w:val="20"/>
                <w:szCs w:val="20"/>
              </w:rPr>
            </w:pPr>
            <w:r w:rsidDel="00000000" w:rsidR="00000000" w:rsidRPr="00000000">
              <w:rPr>
                <w:b w:val="1"/>
                <w:bCs w:val="1"/>
                <w:sz w:val="20"/>
                <w:szCs w:val="20"/>
                <w:rtl w:val="0"/>
              </w:rPr>
              <w:t xml:space="preserve">Gema Cristina Guzma.</w:t>
            </w:r>
          </w:p>
          <w:p w:rsidR="00000000" w:rsidDel="00000000" w:rsidP="00000000" w:rsidRDefault="00000000" w:rsidRPr="00000000" w14:paraId="000000FC">
            <w:pPr>
              <w:jc w:val="center"/>
              <w:rPr/>
            </w:pPr>
            <w:r w:rsidDel="00000000" w:rsidR="00000000" w:rsidRPr="00000000">
              <w:rPr>
                <w:sz w:val="20"/>
                <w:szCs w:val="20"/>
                <w:rtl w:val="0"/>
              </w:rPr>
              <w:t xml:space="preserve">Arquitecto de Infraestructura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0" w:type="dxa"/>
              <w:left w:w="120.0" w:type="dxa"/>
              <w:bottom w:w="200.0" w:type="dxa"/>
              <w:right w:w="120.0" w:type="dxa"/>
            </w:tcMar>
          </w:tcPr>
          <w:p w:rsidR="00000000" w:rsidDel="00000000" w:rsidP="00000000" w:rsidRDefault="00000000" w:rsidRPr="00000000" w14:paraId="000000FD">
            <w:pPr>
              <w:jc w:val="center"/>
              <w:rPr/>
            </w:pPr>
            <w:r w:rsidDel="00000000" w:rsidR="00000000" w:rsidRPr="00000000">
              <w:rPr>
                <w:rFonts w:ascii="Arial" w:cs="Arial" w:eastAsia="Arial" w:hAnsi="Arial"/>
                <w:sz w:val="22"/>
                <w:szCs w:val="22"/>
                <w:rtl w:val="0"/>
              </w:rPr>
              <w:t xml:space="preserve">_______________________</w:t>
            </w:r>
            <w:r w:rsidDel="00000000" w:rsidR="00000000" w:rsidRPr="00000000">
              <w:rPr>
                <w:rtl w:val="0"/>
              </w:rPr>
            </w:r>
          </w:p>
          <w:p w:rsidR="00000000" w:rsidDel="00000000" w:rsidP="00000000" w:rsidRDefault="00000000" w:rsidRPr="00000000" w14:paraId="000000FE">
            <w:pPr>
              <w:jc w:val="center"/>
              <w:rPr/>
            </w:pPr>
            <w:r w:rsidDel="00000000" w:rsidR="00000000" w:rsidRPr="00000000">
              <w:rPr>
                <w:rtl w:val="0"/>
              </w:rPr>
            </w:r>
          </w:p>
          <w:p w:rsidR="00000000" w:rsidDel="00000000" w:rsidP="00000000" w:rsidRDefault="00000000" w:rsidRPr="00000000" w14:paraId="000000FF">
            <w:pPr>
              <w:jc w:val="center"/>
              <w:rPr/>
            </w:pPr>
            <w:r w:rsidDel="00000000" w:rsidR="00000000" w:rsidRPr="00000000">
              <w:rPr>
                <w:b w:val="1"/>
                <w:bCs w:val="1"/>
                <w:rtl w:val="0"/>
              </w:rPr>
              <w:t xml:space="preserve">Francisco Cab.</w:t>
            </w:r>
            <w:r w:rsidDel="00000000" w:rsidR="00000000" w:rsidRPr="00000000">
              <w:rPr>
                <w:rtl w:val="0"/>
              </w:rPr>
            </w:r>
          </w:p>
          <w:p w:rsidR="00000000" w:rsidDel="00000000" w:rsidP="00000000" w:rsidRDefault="00000000" w:rsidRPr="00000000" w14:paraId="00000100">
            <w:pPr>
              <w:jc w:val="center"/>
              <w:rPr/>
            </w:pPr>
            <w:r w:rsidDel="00000000" w:rsidR="00000000" w:rsidRPr="00000000">
              <w:rPr>
                <w:rtl w:val="0"/>
              </w:rPr>
            </w:r>
          </w:p>
          <w:p w:rsidR="00000000" w:rsidDel="00000000" w:rsidP="00000000" w:rsidRDefault="00000000" w:rsidRPr="00000000" w14:paraId="00000101">
            <w:pPr>
              <w:jc w:val="center"/>
              <w:rPr/>
            </w:pPr>
            <w:r w:rsidDel="00000000" w:rsidR="00000000" w:rsidRPr="00000000">
              <w:rPr>
                <w:rFonts w:ascii="Arial" w:cs="Arial" w:eastAsia="Arial" w:hAnsi="Arial"/>
                <w:sz w:val="20"/>
                <w:szCs w:val="20"/>
                <w:rtl w:val="0"/>
              </w:rPr>
              <w:t xml:space="preserve">Gerente Arquitectura de Infraestructura</w:t>
            </w:r>
            <w:r w:rsidDel="00000000" w:rsidR="00000000" w:rsidRPr="00000000">
              <w:rPr>
                <w:rtl w:val="0"/>
              </w:rPr>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r>
        <w:t>1006624 - Automatizar el proceso de disponibilización de constancias de retención en Aforecoppel.com</w:t>
      </w:r>
    </w:p>
    <w:p>
      <w:r>
        <w:t>Prod</w:t>
      </w:r>
    </w:p>
    <w:p>
      <w:r>
        <w:t>Servicios Financieros - Afore Coppel / Contabilidad y Tesorería</w:t>
      </w:r>
    </w:p>
    <w:p>
      <w:pPr>
        <w:pStyle w:val="Heading1"/>
      </w:pPr>
      <w:r>
        <w:t>Contenido</w:t>
      </w:r>
    </w:p>
    <w:p>
      <w:r>
        <w:t>1. Introducción</w:t>
      </w:r>
    </w:p>
    <w:p>
      <w:r>
        <w:t>2. Requerimiento Técnico</w:t>
      </w:r>
    </w:p>
    <w:p>
      <w:r>
        <w:t>3. Premisas</w:t>
      </w:r>
    </w:p>
    <w:p>
      <w:r>
        <w:t>4. Arquitectura de infraestructura AWS</w:t>
      </w:r>
    </w:p>
    <w:p>
      <w:r>
        <w:t>5. Fuera de alcance</w:t>
      </w:r>
    </w:p>
    <w:p>
      <w:r>
        <w:t>6. Consideraciones generales</w:t>
      </w:r>
    </w:p>
    <w:p>
      <w:r>
        <w:t>7. Propuesta económica AWS</w:t>
      </w:r>
    </w:p>
    <w:p>
      <w:r>
        <w:t>8. Consideraciones comerciales</w:t>
      </w:r>
    </w:p>
    <w:p>
      <w:pPr>
        <w:pStyle w:val="Heading1"/>
      </w:pPr>
      <w:r>
        <w:t>1. Introducción</w:t>
      </w:r>
    </w:p>
    <w:p>
      <w:r>
        <w:t>El presente documento tiene como objetivo formalizar la propuesta de arquitectura en AWS para el proyecto de automatización del proceso de disponibilización de constancias de retención en Aforecoppel.com. El objetivo funcional del proyecto es generar las constancias de retención, timbrarlas ante el SAT por medio del proveedor Diverza, y disponibilizarlas para su descarga por parte de los trabajadores afiliados a AforeCoppel, sustituyendo un flujo manual/existente por un microservicio automatizado.</w:t>
        <w:br/>
        <w:br/>
        <w:t>Actualmente, el proceso relacionado se aloja en la DMZ on-premises de Coppel, con dependencias hacia sistemas externos como Azure, el proveedor Diverza y Banxico, comunicándose vía REST con formatos JSON, XML y CSV. La estrategia de migración definida es gradual, bajo el patrón Strangler Fig, migrando únicamente el microservicio de timbrado (aplicación afcpltimbrado) hacia tecnologías nuevas (MuleSoft y SpringBoot) sin modernizar la totalidad del sistema; la página de consumo será desarrollada como una aplicación completamente nueva.</w:t>
        <w:br/>
        <w:br/>
        <w:t>Esta fase de la propuesta contempla el diseño e implementación de la infraestructura AWS necesaria para alojar el microservicio de timbrado (expuesto públicamente con WAF) y la página de consumo interno (accedida vía Zscaler/bastion), incluyendo cómputo en Kubernetes (Amazon EKS), procesamiento serverless (AWS Lambda), almacenamiento relacional y de objetos, así como los componentes de red, seguridad y monitoreo requeridos para cumplir con el SLA de disponibilidad de 99.9% solicitado por el negocio.</w:t>
      </w:r>
    </w:p>
    <w:p>
      <w:pPr>
        <w:pStyle w:val="Heading1"/>
      </w:pPr>
      <w:r>
        <w:t>2. Requerimiento Técnico</w:t>
      </w:r>
    </w:p>
    <w:p>
      <w:r>
        <w:t>**Cómputo**</w:t>
        <w:br/>
        <w:t>- Amazon EKS: Clúster de Kubernetes con autoescalado (mínimo 2 - máximo 4 nodos), 10-15 pods por nodo, consumo estimado de 250m (0.25 vCPU) por pod, para alojar el microservicio de timbrado migrado a SpringBoot/MuleSoft bajo estrategia Strangler Fig. SO y especificaciones de vCPU/RAM por nodo: A definir con el cliente.</w:t>
        <w:br/>
        <w:t>- AWS Lambda: Funciones para procesamiento de solicitudes de soporte al flujo de generación/descarga de constancias, dimensionado estimado para hasta 1M de invocaciones mensuales (256MB), soportando un volumen de hasta ~25,000 solicitudes/día.</w:t>
        <w:br/>
        <w:br/>
        <w:t>**Base de datos**</w:t>
        <w:br/>
        <w:t>- Amazon RDS (motor a definir): Instancia tipo db.r5.large en configuración Multi-AZ para almacenamiento de datos estructurados del afiliado. Motor, versión y capacidades específicas de almacenamiento/IOPS: A definir con el cliente.</w:t>
        <w:br/>
        <w:br/>
        <w:t>**Almacenamiento**</w:t>
        <w:br/>
        <w:t>- Amazon S3: Bucket de almacenamiento de objetos (estimado 100GB, Standard) para las constancias generadas (PDF/XML) timbradas ante el SAT.</w:t>
        <w:br/>
        <w:t>- Amazon EBS: Almacenamiento persistente asociado a los nodos de EKS. Capacidad específica: A definir con el cliente.</w:t>
        <w:br/>
        <w:br/>
        <w:t>**Red y Conectividad**</w:t>
        <w:br/>
        <w:t>- Amazon VPC: Red base para segmentación de tráfico entre zona pública (microservicio) y zona interna (página de consumo).</w:t>
        <w:br/>
        <w:t>- Application Load Balancer (Internet-facing): Balanceador para exposición pública del microservicio de timbrado, protegido con AWS WAF.</w:t>
        <w:br/>
        <w:t>- Application Load Balancer (Internal): Balanceador para la página de consumo interno, accedida vía Zscaler/bastion.</w:t>
        <w:br/>
        <w:t>- AWS Site-to-Site VPN / Direct Connect: Conectividad segura entre AWS y el entorno on-premises (DMZ, base de datos productiva, sistemas Azure/Banxico) mediante túneles Zscaler. Existencia previa de VPN/Direct Connect: A definir con el cliente.</w:t>
        <w:br/>
        <w:t>- Amazon API Gateway (recomendado): Capa de gestión de APIs REST para el consumo del microservicio por Aforecoppel.com y proveedor Diverza.</w:t>
        <w:br/>
        <w:t>- Amazon Route 53 (recomendado): Resolución DNS para los servicios expuestos interno y externo (1 hosted zone).</w:t>
        <w:br/>
        <w:br/>
        <w:t>**Seguridad**</w:t>
        <w:br/>
        <w:t>- AWS WAF: 1 Web ACL con 5 reglas para protección del microservicio expuesto a Internet.</w:t>
        <w:br/>
        <w:t>- AWS IAM: Gestión de identidades, autorización y segregación de tráfico.</w:t>
        <w:br/>
        <w:t>- AWS KMS: 1 CMK para cifrado de datos en reposo (10K requests estimados).</w:t>
        <w:br/>
        <w:t>- AWS Secrets Manager (recomendado): Gestión segura de credenciales para integraciones con Diverza, Banxico y Azure (10GB estimado).</w:t>
        <w:br/>
        <w:t>- Amazon GuardDuty (recomendado): Detección de amenazas para el componente expuesto a Internet.</w:t>
        <w:br/>
        <w:t>- AWS Shield Standard (opcional): Protección DDoS complementaria al WAF.</w:t>
        <w:br/>
        <w:br/>
        <w:t>**Integración y Mensajería**</w:t>
        <w:br/>
        <w:t>- Amazon SQS (recomendado): Cola para desacoplar el proceso de timbrado ante el SAT vía Diverza del flujo síncrono del usuario (estimado 1M mensajes/mes).</w:t>
        <w:br/>
        <w:t>- Amazon SNS (opcional): Notificaciones de estado de generación de constancias a sistemas involucrados (estimado 1M notificaciones/mes).</w:t>
        <w:br/>
        <w:br/>
        <w:t>**Monitoreo y Observabilidad**</w:t>
        <w:br/>
        <w:t>- Amazon CloudWatch: Dashboards y logs básicos para monitoreo de EKS, Lambda y balanceadores, soporte al SLA de 99.9%.</w:t>
        <w:br/>
        <w:t>- AWS CloudTrail: Auditoría de eventos y cumplimiento para datos fiscales/financieros.</w:t>
        <w:br/>
        <w:t>- AWS X-Ray (recomendado): Trazabilidad de llamadas REST entre microservicio, Diverza y sistemas externos para cumplir el requisito de latencia de 500ms.</w:t>
        <w:br/>
        <w:br/>
        <w:t>**DR y Backup**</w:t>
        <w:br/>
        <w:t>- AWS Backup (recomendado): Respaldo de RDS, EBS y S3 (estimado 50GB en warm storage).</w:t>
        <w:br/>
        <w:t>- Multi-AZ (RDS/EKS): Configuración de alta disponibilidad para cumplir el SLA de disponibilidad de 99.9%. Estrategia de DR completa (RPO/RTO, Activo-Activo/Pasivo): A definir con el cliente.</w:t>
      </w:r>
    </w:p>
    <w:p>
      <w:pPr>
        <w:pStyle w:val="Heading1"/>
      </w:pPr>
      <w:r>
        <w:t>3. Premisas</w:t>
      </w:r>
    </w:p>
    <w:p>
      <w:r>
        <w:t>• La presente fase considera únicamente el ambiente Productivo del microservicio de timbrado (aplicación afcpltimbrado) y la página de consumo interno, conforme a lo definido en el Quick Discovery.</w:t>
      </w:r>
    </w:p>
    <w:p>
      <w:r>
        <w:t>• La migración se realizará bajo estrategia gradual (Strangler Fig), migrando exclusivamente el microservicio mencionado hacia MuleSoft/SpringBoot, sin modernizar la totalidad del sistema existente.</w:t>
      </w:r>
    </w:p>
    <w:p>
      <w:r>
        <w:t>• La definición de la arquitectura se llevará a cabo por etapas, considerando primero la infraestructura base y posteriormente la optimización y ajuste fino de recursos.</w:t>
      </w:r>
    </w:p>
    <w:p>
      <w:r>
        <w:t>• El motor, versión y capacidades específicas de la base de datos relacional (Amazon RDS) quedan pendientes de definición con el cliente; se cotiza una instancia db.r5.large Multi-AZ como referencia inicial.</w:t>
      </w:r>
    </w:p>
    <w:p>
      <w:r>
        <w:t>• No se incluye una estrategia formal de Disaster Recovery (RPO/RTO, Activo-Activo o Activo-Pasivo) en esta fase, dado que esta información no fue proporcionada en el Quick Discovery. Deberá definirse en una fase posterior.</w:t>
      </w:r>
    </w:p>
    <w:p>
      <w:r>
        <w:t>• Se asume que existe o deberá aprovisionarse conectividad (VPN Site-to-Site o Direct Connect) entre AWS y el entorno on-premises (DMZ) para el acceso a la base de datos productiva y sistemas externos; su existencia previa debe confirmarse con el cliente.</w:t>
      </w:r>
    </w:p>
    <w:p>
      <w:r>
        <w:t>• El plan de contingencia definido por el cliente consiste en direccionar el tráfico a los aplicativos existentes en su ambiente actual en caso de falla.</w:t>
      </w:r>
    </w:p>
    <w:p>
      <w:r>
        <w:t>• Es responsabilidad del cliente proveer accesos, credenciales y detalles de integración con el proveedor Diverza, Azure y Banxico.</w:t>
      </w:r>
    </w:p>
    <w:p>
      <w:r>
        <w:t>• Es responsabilidad del cliente la gestión de Zscaler y los túneles de acceso interno hacia la página de consumo.</w:t>
      </w:r>
    </w:p>
    <w:p>
      <w:r>
        <w:t>• No se incluyen ambientes de QA o Dev en el costeo de esta propuesta; de requerirse, deberán cotizarse por separado.</w:t>
      </w:r>
    </w:p>
    <w:p>
      <w:r>
        <w:t>• El throughput sostenido en horas pico (TPS) más allá del volumen diario de 30 a 25,000 solicitudes no fue especificado y deberá confirmarse con el cliente para validar el dimensionamiento final.</w:t>
      </w:r>
    </w:p>
    <w:p>
      <w:r>
        <w:t>• El cifrado en tránsito (TLS/mTLS) con el proveedor Diverza y el uso de AWS Certificate Manager quedan pendientes de confirmación.</w:t>
      </w:r>
    </w:p>
    <w:p>
      <w:pPr>
        <w:pStyle w:val="Heading1"/>
      </w:pPr>
      <w:r>
        <w:t>4. Arquitectura de infraestructura AWS</w:t>
      </w:r>
    </w:p>
    <w:p>
      <w:r>
        <w:t>La arquitectura propuesta se basa en un clúster de Amazon EKS que aloja dos frentes de servicio: un microservicio público de timbrado y una página de consumo interno, en línea con la estrategia de migración gradual Strangler Fig. El tráfico hacia el microservicio de timbrado ingresa a través de un Application Load Balancer Internet-facing, protegido por AWS WAF, que enruta las solicitudes hacia los pods correspondientes dentro del clúster EKS, cuyo autoescalado está configurado entre 2 y 4 nodos según demanda. Por su parte, la página de consumo interno es accedida mediante un Application Load Balancer interno, alcanzable únicamente a través de la red corporativa vía Zscaler y/o bastion host, garantizando la segregación entre el tráfico público y el tráfico interno.</w:t>
        <w:br/>
        <w:br/>
        <w:t>El procesamiento de solicitudes complementarias se apoya en funciones AWS Lambda, mientras que los datos estructurados del afiliado se almacenan en una instancia de Amazon RDS configurada en Multi-AZ para alta disponibilidad, y las constancias generadas (documentos timbrados) se almacenan como objetos en Amazon S3. El almacenamiento persistente de los nodos de Kubernetes se gestiona mediante volúmenes Amazon EBS. La integración con el proveedor externo Diverza (timbrado ante el SAT), así como con Azure y Banxico, se realiza mediante llamadas REST con payloads en JSON, XML y CSV; se recomienda el uso de Amazon SQS para desacoplar el flujo de timbrado del flujo síncrono de solicitud del usuario, minimizando el impacto de latencias o fallos del proveedor externo.</w:t>
        <w:br/>
        <w:br/>
        <w:t>La conectividad hacia el entorno on-premises (DMZ, base de datos productiva y sistemas externos) se establece a través de un enlace VPN Site-to-Site o Direct Connect. La estrategia de alta disponibilidad se sustenta en el despliegue Multi-AZ tanto de la capa de cómputo (EKS) como de la base de datos (RDS), apoyando el cumplimiento del SLA de 99.9% de disponibilidad solicitado. En materia de seguridad, se implementan AWS IAM para control de accesos, AWS KMS para cifrado de datos en reposo, AWS Secrets Manager para la gestión de credenciales de integraciones externas, y AWS WAF como capa de protección perimetral del componente público. El monitoreo y la trazabilidad se cubren mediante Amazon CloudWatch, AWS CloudTrail y, de forma recomendada, AWS X-Ray, con el fin de dar visibilidad operativa a los distintos componentes y soportar el cumplimiento del requisito de latencia de 500ms.</w:t>
      </w:r>
    </w:p>
    <w:p>
      <w:pPr>
        <w:pStyle w:val="Heading1"/>
      </w:pPr>
      <w:r>
        <w:t>5. Fuera de alcance</w:t>
      </w:r>
    </w:p>
    <w:p>
      <w:r>
        <w:t>• Administración de aplicaciones que no sean propias de AWS (por ejemplo, componentes de Zscaler, Diverza, Azure o Banxico).</w:t>
      </w:r>
    </w:p>
    <w:p>
      <w:r>
        <w:t>• Desarrollo de código de la aplicación, microservicios o scripts de automatización (Terraform, CloudFormation, etc.).</w:t>
      </w:r>
    </w:p>
    <w:p>
      <w:r>
        <w:t>• Licenciamiento de software de terceros, incluyendo el proveedor de timbrado Diverza.</w:t>
      </w:r>
    </w:p>
    <w:p>
      <w:r>
        <w:t>• Ambientes de QA y Dev, los cuales no fueron incluidos en el costeo de esta propuesta y deberán cotizarse por separado.</w:t>
      </w:r>
    </w:p>
    <w:p>
      <w:r>
        <w:t>• Definición e implementación de una estrategia formal de Disaster Recovery (RPO/RTO, Activo-Activo/Pasivo), dado que no fue definida en el Quick Discovery.</w:t>
      </w:r>
    </w:p>
    <w:p>
      <w:r>
        <w:t>• Modernización completa del sistema existente; únicamente se contempla la migración del microservicio de timbrado bajo estrategia Strangler Fig.</w:t>
      </w:r>
    </w:p>
    <w:p>
      <w:r>
        <w:t>• Pruebas de carga, pruebas de penetración (pentest) y auditorías de seguridad formales.</w:t>
      </w:r>
    </w:p>
    <w:p>
      <w:r>
        <w:t>• Configuración y administración de Zscaler, VPN corporativa o bastion host del lado del cliente.</w:t>
      </w:r>
    </w:p>
    <w:p>
      <w:pPr>
        <w:pStyle w:val="Heading1"/>
      </w:pPr>
      <w:r>
        <w:t>6. Consideraciones generales</w:t>
      </w:r>
    </w:p>
    <w:p>
      <w:r>
        <w:t>• En caso de requerir modificar las características de cada uno de los servicios cotizados, será necesario actualizar la presente propuesta.</w:t>
      </w:r>
    </w:p>
    <w:p>
      <w:r>
        <w:t>• Se incluye monitoreo básico por medio de Amazon CloudWatch (dashboards y logs), complementado con AWS CloudTrail para auditoría; el monitoreo avanzado o personalizado deberá evaluarse en una fase posterior.</w:t>
      </w:r>
    </w:p>
    <w:p>
      <w:r>
        <w:t>• Se requiere definir con el cliente el motor, versión y capacidades específicas de la base de datos relacional (Amazon RDS) antes de la implementación final.</w:t>
      </w:r>
    </w:p>
    <w:p>
      <w:r>
        <w:t>• Se requiere definir con el cliente la estrategia de Disaster Recovery (RPO/RTO) dado que el ambiente es Productivo con dependencia de una base de datos on-premises.</w:t>
      </w:r>
    </w:p>
    <w:p>
      <w:r>
        <w:t>• Se requiere confirmar la existencia o necesidad de aprovisionamiento de conectividad VPN Site-to-Site o Direct Connect entre AWS y el entorno on-premises.</w:t>
      </w:r>
    </w:p>
    <w:p>
      <w:r>
        <w:t>• Todos los recursos desplegados deberán contar con el etiquetado (tagging) estándar de Coppel, incluyendo, sin limitarse a: nombre del proyecto, ambiente, unidad de negocio, centro de costos y responsable.</w:t>
      </w:r>
    </w:p>
    <w:p>
      <w:r>
        <w:t>• Se recomienda definir el throughput sostenido esperado en horas pico (TPS) para validar el dimensionamiento de EKS y Lambda.</w:t>
      </w:r>
    </w:p>
    <w:p>
      <w:r>
        <w:t>• Se recomienda confirmar el requerimiento de cifrado en tránsito (TLS/mTLS) con el proveedor Diverza para determinar el uso de AWS Certificate Manager.</w:t>
      </w:r>
    </w:p>
    <w:p>
      <w:r>
        <w:t>• La política de respaldos (Amazon RDS, EBS, S3) se sugiere gestionar mediante AWS Backup; la frecuencia y retención de respaldos deben ser definidas con el cliente.</w:t>
      </w:r>
    </w:p>
    <w:p>
      <w:pPr>
        <w:pStyle w:val="Heading1"/>
      </w:pPr>
      <w:r>
        <w:t>7. Propuesta económica AWS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Servicio</w:t>
            </w:r>
          </w:p>
        </w:tc>
        <w:tc>
          <w:tcPr>
            <w:tcW w:type="dxa" w:w="1872"/>
          </w:tcPr>
          <w:p>
            <w:r>
              <w:rPr>
                <w:b/>
              </w:rPr>
              <w:t>Especificación</w:t>
            </w:r>
          </w:p>
        </w:tc>
        <w:tc>
          <w:tcPr>
            <w:tcW w:type="dxa" w:w="1872"/>
          </w:tcPr>
          <w:p>
            <w:r>
              <w:rPr>
                <w:b/>
              </w:rPr>
              <w:t>Categoría</w:t>
            </w:r>
          </w:p>
        </w:tc>
        <w:tc>
          <w:tcPr>
            <w:tcW w:type="dxa" w:w="1872"/>
          </w:tcPr>
          <w:p>
            <w:r>
              <w:rPr>
                <w:b/>
              </w:rPr>
              <w:t>Prioridad</w:t>
            </w:r>
          </w:p>
        </w:tc>
        <w:tc>
          <w:tcPr>
            <w:tcW w:type="dxa" w:w="1872"/>
          </w:tcPr>
          <w:p>
            <w:r>
              <w:rPr>
                <w:b/>
              </w:rPr>
              <w:t>Costo mensual (USD)</w:t>
            </w:r>
          </w:p>
        </w:tc>
      </w:tr>
      <w:tr>
        <w:tc>
          <w:tcPr>
            <w:tcW w:type="dxa" w:w="1872"/>
          </w:tcPr>
          <w:p>
            <w:r>
              <w:t>Amazon EKS</w:t>
            </w:r>
          </w:p>
        </w:tc>
        <w:tc>
          <w:tcPr>
            <w:tcW w:type="dxa" w:w="1872"/>
          </w:tcPr>
          <w:p>
            <w:r>
              <w:t>cluster</w:t>
            </w:r>
          </w:p>
        </w:tc>
        <w:tc>
          <w:tcPr>
            <w:tcW w:type="dxa" w:w="1872"/>
          </w:tcPr>
          <w:p>
            <w:r>
              <w:t>COMPUTO</w:t>
            </w:r>
          </w:p>
        </w:tc>
        <w:tc>
          <w:tcPr>
            <w:tcW w:type="dxa" w:w="1872"/>
          </w:tcPr>
          <w:p>
            <w:r>
              <w:t>REQUERIDO</w:t>
            </w:r>
          </w:p>
        </w:tc>
        <w:tc>
          <w:tcPr>
            <w:tcW w:type="dxa" w:w="1872"/>
          </w:tcPr>
          <w:p>
            <w:r>
              <w:t>$73.00</w:t>
            </w:r>
          </w:p>
        </w:tc>
      </w:tr>
      <w:tr>
        <w:tc>
          <w:tcPr>
            <w:tcW w:type="dxa" w:w="1872"/>
          </w:tcPr>
          <w:p>
            <w:r>
              <w:t>AWS Lambda</w:t>
            </w:r>
          </w:p>
        </w:tc>
        <w:tc>
          <w:tcPr>
            <w:tcW w:type="dxa" w:w="1872"/>
          </w:tcPr>
          <w:p>
            <w:r>
              <w:t>1M</w:t>
            </w:r>
          </w:p>
        </w:tc>
        <w:tc>
          <w:tcPr>
            <w:tcW w:type="dxa" w:w="1872"/>
          </w:tcPr>
          <w:p>
            <w:r>
              <w:t>COMPUTO</w:t>
            </w:r>
          </w:p>
        </w:tc>
        <w:tc>
          <w:tcPr>
            <w:tcW w:type="dxa" w:w="1872"/>
          </w:tcPr>
          <w:p>
            <w:r>
              <w:t>REQUERIDO</w:t>
            </w:r>
          </w:p>
        </w:tc>
        <w:tc>
          <w:tcPr>
            <w:tcW w:type="dxa" w:w="1872"/>
          </w:tcPr>
          <w:p>
            <w:r>
              <w:t>$5.00</w:t>
            </w:r>
          </w:p>
        </w:tc>
      </w:tr>
      <w:tr>
        <w:tc>
          <w:tcPr>
            <w:tcW w:type="dxa" w:w="1872"/>
          </w:tcPr>
          <w:p>
            <w:r>
              <w:t>Amazon RDS (motor a definir)</w:t>
            </w:r>
          </w:p>
        </w:tc>
        <w:tc>
          <w:tcPr>
            <w:tcW w:type="dxa" w:w="1872"/>
          </w:tcPr>
          <w:p>
            <w:r>
              <w:t>db.r5.large</w:t>
            </w:r>
          </w:p>
        </w:tc>
        <w:tc>
          <w:tcPr>
            <w:tcW w:type="dxa" w:w="1872"/>
          </w:tcPr>
          <w:p>
            <w:r>
              <w:t>BASE_DE_DATOS</w:t>
            </w:r>
          </w:p>
        </w:tc>
        <w:tc>
          <w:tcPr>
            <w:tcW w:type="dxa" w:w="1872"/>
          </w:tcPr>
          <w:p>
            <w:r>
              <w:t>REQUERIDO</w:t>
            </w:r>
          </w:p>
        </w:tc>
        <w:tc>
          <w:tcPr>
            <w:tcW w:type="dxa" w:w="1872"/>
          </w:tcPr>
          <w:p>
            <w:r>
              <w:t>$180.00</w:t>
            </w:r>
          </w:p>
        </w:tc>
      </w:tr>
      <w:tr>
        <w:tc>
          <w:tcPr>
            <w:tcW w:type="dxa" w:w="1872"/>
          </w:tcPr>
          <w:p>
            <w:r>
              <w:t>Amazon S3</w:t>
            </w:r>
          </w:p>
        </w:tc>
        <w:tc>
          <w:tcPr>
            <w:tcW w:type="dxa" w:w="1872"/>
          </w:tcPr>
          <w:p>
            <w:r>
              <w:t>100GB</w:t>
            </w:r>
          </w:p>
        </w:tc>
        <w:tc>
          <w:tcPr>
            <w:tcW w:type="dxa" w:w="1872"/>
          </w:tcPr>
          <w:p>
            <w:r>
              <w:t>ALMACENAMIENTO</w:t>
            </w:r>
          </w:p>
        </w:tc>
        <w:tc>
          <w:tcPr>
            <w:tcW w:type="dxa" w:w="1872"/>
          </w:tcPr>
          <w:p>
            <w:r>
              <w:t>REQUERIDO</w:t>
            </w:r>
          </w:p>
        </w:tc>
        <w:tc>
          <w:tcPr>
            <w:tcW w:type="dxa" w:w="1872"/>
          </w:tcPr>
          <w:p>
            <w:r>
              <w:t>$2.30</w:t>
            </w:r>
          </w:p>
        </w:tc>
      </w:tr>
      <w:tr>
        <w:tc>
          <w:tcPr>
            <w:tcW w:type="dxa" w:w="1872"/>
          </w:tcPr>
          <w:p>
            <w:r>
              <w:t>Amazon EBS</w:t>
            </w:r>
          </w:p>
        </w:tc>
        <w:tc>
          <w:tcPr>
            <w:tcW w:type="dxa" w:w="1872"/>
          </w:tcPr>
          <w:p>
            <w:r/>
          </w:p>
        </w:tc>
        <w:tc>
          <w:tcPr>
            <w:tcW w:type="dxa" w:w="1872"/>
          </w:tcPr>
          <w:p>
            <w:r>
              <w:t>ALMACENAMIENTO</w:t>
            </w:r>
          </w:p>
        </w:tc>
        <w:tc>
          <w:tcPr>
            <w:tcW w:type="dxa" w:w="1872"/>
          </w:tcPr>
          <w:p>
            <w:r>
              <w:t>REQUERIDO</w:t>
            </w:r>
          </w:p>
        </w:tc>
        <w:tc>
          <w:tcPr>
            <w:tcW w:type="dxa" w:w="1872"/>
          </w:tcPr>
          <w:p>
            <w:r>
              <w:t>A consultar</w:t>
            </w:r>
          </w:p>
        </w:tc>
      </w:tr>
      <w:tr>
        <w:tc>
          <w:tcPr>
            <w:tcW w:type="dxa" w:w="1872"/>
          </w:tcPr>
          <w:p>
            <w:r>
              <w:t>Amazon VPC</w:t>
            </w:r>
          </w:p>
        </w:tc>
        <w:tc>
          <w:tcPr>
            <w:tcW w:type="dxa" w:w="1872"/>
          </w:tcPr>
          <w:p>
            <w:r>
              <w:t>Sin</w:t>
            </w:r>
          </w:p>
        </w:tc>
        <w:tc>
          <w:tcPr>
            <w:tcW w:type="dxa" w:w="1872"/>
          </w:tcPr>
          <w:p>
            <w:r>
              <w:t>RED_Y_CONECTIVIDAD</w:t>
            </w:r>
          </w:p>
        </w:tc>
        <w:tc>
          <w:tcPr>
            <w:tcW w:type="dxa" w:w="1872"/>
          </w:tcPr>
          <w:p>
            <w:r>
              <w:t>REQUERIDO</w:t>
            </w:r>
          </w:p>
        </w:tc>
        <w:tc>
          <w:tcPr>
            <w:tcW w:type="dxa" w:w="1872"/>
          </w:tcPr>
          <w:p>
            <w:r>
              <w:t>A consultar</w:t>
            </w:r>
          </w:p>
        </w:tc>
      </w:tr>
      <w:tr>
        <w:tc>
          <w:tcPr>
            <w:tcW w:type="dxa" w:w="1872"/>
          </w:tcPr>
          <w:p>
            <w:r>
              <w:t>Application Load Balancer (Internet-facing)</w:t>
            </w:r>
          </w:p>
        </w:tc>
        <w:tc>
          <w:tcPr>
            <w:tcW w:type="dxa" w:w="1872"/>
          </w:tcPr>
          <w:p>
            <w:r/>
          </w:p>
        </w:tc>
        <w:tc>
          <w:tcPr>
            <w:tcW w:type="dxa" w:w="1872"/>
          </w:tcPr>
          <w:p>
            <w:r>
              <w:t>RED_Y_CONECTIVIDAD</w:t>
            </w:r>
          </w:p>
        </w:tc>
        <w:tc>
          <w:tcPr>
            <w:tcW w:type="dxa" w:w="1872"/>
          </w:tcPr>
          <w:p>
            <w:r>
              <w:t>REQUERIDO</w:t>
            </w:r>
          </w:p>
        </w:tc>
        <w:tc>
          <w:tcPr>
            <w:tcW w:type="dxa" w:w="1872"/>
          </w:tcPr>
          <w:p>
            <w:r>
              <w:t>A consultar</w:t>
            </w:r>
          </w:p>
        </w:tc>
      </w:tr>
      <w:tr>
        <w:tc>
          <w:tcPr>
            <w:tcW w:type="dxa" w:w="1872"/>
          </w:tcPr>
          <w:p>
            <w:r>
              <w:t>Application Load Balancer (Internal)</w:t>
            </w:r>
          </w:p>
        </w:tc>
        <w:tc>
          <w:tcPr>
            <w:tcW w:type="dxa" w:w="1872"/>
          </w:tcPr>
          <w:p>
            <w:r/>
          </w:p>
        </w:tc>
        <w:tc>
          <w:tcPr>
            <w:tcW w:type="dxa" w:w="1872"/>
          </w:tcPr>
          <w:p>
            <w:r>
              <w:t>RED_Y_CONECTIVIDAD</w:t>
            </w:r>
          </w:p>
        </w:tc>
        <w:tc>
          <w:tcPr>
            <w:tcW w:type="dxa" w:w="1872"/>
          </w:tcPr>
          <w:p>
            <w:r>
              <w:t>REQUERIDO</w:t>
            </w:r>
          </w:p>
        </w:tc>
        <w:tc>
          <w:tcPr>
            <w:tcW w:type="dxa" w:w="1872"/>
          </w:tcPr>
          <w:p>
            <w:r>
              <w:t>A consultar</w:t>
            </w:r>
          </w:p>
        </w:tc>
      </w:tr>
      <w:tr>
        <w:tc>
          <w:tcPr>
            <w:tcW w:type="dxa" w:w="1872"/>
          </w:tcPr>
          <w:p>
            <w:r>
              <w:t>AWS Site-to-Site VPN / Direct Connect</w:t>
            </w:r>
          </w:p>
        </w:tc>
        <w:tc>
          <w:tcPr>
            <w:tcW w:type="dxa" w:w="1872"/>
          </w:tcPr>
          <w:p>
            <w:r/>
          </w:p>
        </w:tc>
        <w:tc>
          <w:tcPr>
            <w:tcW w:type="dxa" w:w="1872"/>
          </w:tcPr>
          <w:p>
            <w:r>
              <w:t>RED_Y_CONECTIVIDAD</w:t>
            </w:r>
          </w:p>
        </w:tc>
        <w:tc>
          <w:tcPr>
            <w:tcW w:type="dxa" w:w="1872"/>
          </w:tcPr>
          <w:p>
            <w:r>
              <w:t>REQUERIDO</w:t>
            </w:r>
          </w:p>
        </w:tc>
        <w:tc>
          <w:tcPr>
            <w:tcW w:type="dxa" w:w="1872"/>
          </w:tcPr>
          <w:p>
            <w:r>
              <w:t>A consultar</w:t>
            </w:r>
          </w:p>
        </w:tc>
      </w:tr>
      <w:tr>
        <w:tc>
          <w:tcPr>
            <w:tcW w:type="dxa" w:w="1872"/>
          </w:tcPr>
          <w:p>
            <w:r>
              <w:t>Amazon API Gateway</w:t>
            </w:r>
          </w:p>
        </w:tc>
        <w:tc>
          <w:tcPr>
            <w:tcW w:type="dxa" w:w="1872"/>
          </w:tcPr>
          <w:p>
            <w:r/>
          </w:p>
        </w:tc>
        <w:tc>
          <w:tcPr>
            <w:tcW w:type="dxa" w:w="1872"/>
          </w:tcPr>
          <w:p>
            <w:r>
              <w:t>RED_Y_CONECTIVIDAD</w:t>
            </w:r>
          </w:p>
        </w:tc>
        <w:tc>
          <w:tcPr>
            <w:tcW w:type="dxa" w:w="1872"/>
          </w:tcPr>
          <w:p>
            <w:r>
              <w:t>RECOMENDADO</w:t>
            </w:r>
          </w:p>
        </w:tc>
        <w:tc>
          <w:tcPr>
            <w:tcW w:type="dxa" w:w="1872"/>
          </w:tcPr>
          <w:p>
            <w:r>
              <w:t>A consultar</w:t>
            </w:r>
          </w:p>
        </w:tc>
      </w:tr>
      <w:tr>
        <w:tc>
          <w:tcPr>
            <w:tcW w:type="dxa" w:w="1872"/>
          </w:tcPr>
          <w:p>
            <w:r>
              <w:t>Amazon Route 53</w:t>
            </w:r>
          </w:p>
        </w:tc>
        <w:tc>
          <w:tcPr>
            <w:tcW w:type="dxa" w:w="1872"/>
          </w:tcPr>
          <w:p>
            <w:r>
              <w:t>1</w:t>
            </w:r>
          </w:p>
        </w:tc>
        <w:tc>
          <w:tcPr>
            <w:tcW w:type="dxa" w:w="1872"/>
          </w:tcPr>
          <w:p>
            <w:r>
              <w:t>RED_Y_CONECTIVIDAD</w:t>
            </w:r>
          </w:p>
        </w:tc>
        <w:tc>
          <w:tcPr>
            <w:tcW w:type="dxa" w:w="1872"/>
          </w:tcPr>
          <w:p>
            <w:r>
              <w:t>RECOMENDADO</w:t>
            </w:r>
          </w:p>
        </w:tc>
        <w:tc>
          <w:tcPr>
            <w:tcW w:type="dxa" w:w="1872"/>
          </w:tcPr>
          <w:p>
            <w:r>
              <w:t>$0.50</w:t>
            </w:r>
          </w:p>
        </w:tc>
      </w:tr>
      <w:tr>
        <w:tc>
          <w:tcPr>
            <w:tcW w:type="dxa" w:w="1872"/>
          </w:tcPr>
          <w:p>
            <w:r>
              <w:t>AWS WAF</w:t>
            </w:r>
          </w:p>
        </w:tc>
        <w:tc>
          <w:tcPr>
            <w:tcW w:type="dxa" w:w="1872"/>
          </w:tcPr>
          <w:p>
            <w:r>
              <w:t>1</w:t>
            </w:r>
          </w:p>
        </w:tc>
        <w:tc>
          <w:tcPr>
            <w:tcW w:type="dxa" w:w="1872"/>
          </w:tcPr>
          <w:p>
            <w:r>
              <w:t>SEGURIDAD</w:t>
            </w:r>
          </w:p>
        </w:tc>
        <w:tc>
          <w:tcPr>
            <w:tcW w:type="dxa" w:w="1872"/>
          </w:tcPr>
          <w:p>
            <w:r>
              <w:t>REQUERIDO</w:t>
            </w:r>
          </w:p>
        </w:tc>
        <w:tc>
          <w:tcPr>
            <w:tcW w:type="dxa" w:w="1872"/>
          </w:tcPr>
          <w:p>
            <w:r>
              <w:t>$6.00</w:t>
            </w:r>
          </w:p>
        </w:tc>
      </w:tr>
      <w:tr>
        <w:tc>
          <w:tcPr>
            <w:tcW w:type="dxa" w:w="1872"/>
          </w:tcPr>
          <w:p>
            <w:r>
              <w:t>AWS IAM</w:t>
            </w:r>
          </w:p>
        </w:tc>
        <w:tc>
          <w:tcPr>
            <w:tcW w:type="dxa" w:w="1872"/>
          </w:tcPr>
          <w:p>
            <w:r/>
          </w:p>
        </w:tc>
        <w:tc>
          <w:tcPr>
            <w:tcW w:type="dxa" w:w="1872"/>
          </w:tcPr>
          <w:p>
            <w:r>
              <w:t>SEGURIDAD</w:t>
            </w:r>
          </w:p>
        </w:tc>
        <w:tc>
          <w:tcPr>
            <w:tcW w:type="dxa" w:w="1872"/>
          </w:tcPr>
          <w:p>
            <w:r>
              <w:t>REQUERIDO</w:t>
            </w:r>
          </w:p>
        </w:tc>
        <w:tc>
          <w:tcPr>
            <w:tcW w:type="dxa" w:w="1872"/>
          </w:tcPr>
          <w:p>
            <w:r>
              <w:t>A consultar</w:t>
            </w:r>
          </w:p>
        </w:tc>
      </w:tr>
      <w:tr>
        <w:tc>
          <w:tcPr>
            <w:tcW w:type="dxa" w:w="1872"/>
          </w:tcPr>
          <w:p>
            <w:r>
              <w:t>AWS KMS</w:t>
            </w:r>
          </w:p>
        </w:tc>
        <w:tc>
          <w:tcPr>
            <w:tcW w:type="dxa" w:w="1872"/>
          </w:tcPr>
          <w:p>
            <w:r>
              <w:t>1</w:t>
            </w:r>
          </w:p>
        </w:tc>
        <w:tc>
          <w:tcPr>
            <w:tcW w:type="dxa" w:w="1872"/>
          </w:tcPr>
          <w:p>
            <w:r>
              <w:t>SEGURIDAD</w:t>
            </w:r>
          </w:p>
        </w:tc>
        <w:tc>
          <w:tcPr>
            <w:tcW w:type="dxa" w:w="1872"/>
          </w:tcPr>
          <w:p>
            <w:r>
              <w:t>REQUERIDO</w:t>
            </w:r>
          </w:p>
        </w:tc>
        <w:tc>
          <w:tcPr>
            <w:tcW w:type="dxa" w:w="1872"/>
          </w:tcPr>
          <w:p>
            <w:r>
              <w:t>$1.00</w:t>
            </w:r>
          </w:p>
        </w:tc>
      </w:tr>
      <w:tr>
        <w:tc>
          <w:tcPr>
            <w:tcW w:type="dxa" w:w="1872"/>
          </w:tcPr>
          <w:p>
            <w:r>
              <w:t>AWS Secrets Manager</w:t>
            </w:r>
          </w:p>
        </w:tc>
        <w:tc>
          <w:tcPr>
            <w:tcW w:type="dxa" w:w="1872"/>
          </w:tcPr>
          <w:p>
            <w:r>
              <w:t>10GB</w:t>
            </w:r>
          </w:p>
        </w:tc>
        <w:tc>
          <w:tcPr>
            <w:tcW w:type="dxa" w:w="1872"/>
          </w:tcPr>
          <w:p>
            <w:r>
              <w:t>SEGURIDAD</w:t>
            </w:r>
          </w:p>
        </w:tc>
        <w:tc>
          <w:tcPr>
            <w:tcW w:type="dxa" w:w="1872"/>
          </w:tcPr>
          <w:p>
            <w:r>
              <w:t>RECOMENDADO</w:t>
            </w:r>
          </w:p>
        </w:tc>
        <w:tc>
          <w:tcPr>
            <w:tcW w:type="dxa" w:w="1872"/>
          </w:tcPr>
          <w:p>
            <w:r>
              <w:t>$1.00</w:t>
            </w:r>
          </w:p>
        </w:tc>
      </w:tr>
      <w:tr>
        <w:tc>
          <w:tcPr>
            <w:tcW w:type="dxa" w:w="1872"/>
          </w:tcPr>
          <w:p>
            <w:r>
              <w:t>Amazon GuardDuty</w:t>
            </w:r>
          </w:p>
        </w:tc>
        <w:tc>
          <w:tcPr>
            <w:tcW w:type="dxa" w:w="1872"/>
          </w:tcPr>
          <w:p>
            <w:r>
              <w:t>Análisis</w:t>
            </w:r>
          </w:p>
        </w:tc>
        <w:tc>
          <w:tcPr>
            <w:tcW w:type="dxa" w:w="1872"/>
          </w:tcPr>
          <w:p>
            <w:r>
              <w:t>SEGURIDAD</w:t>
            </w:r>
          </w:p>
        </w:tc>
        <w:tc>
          <w:tcPr>
            <w:tcW w:type="dxa" w:w="1872"/>
          </w:tcPr>
          <w:p>
            <w:r>
              <w:t>RECOMENDADO</w:t>
            </w:r>
          </w:p>
        </w:tc>
        <w:tc>
          <w:tcPr>
            <w:tcW w:type="dxa" w:w="1872"/>
          </w:tcPr>
          <w:p>
            <w:r>
              <w:t>$4.00</w:t>
            </w:r>
          </w:p>
        </w:tc>
      </w:tr>
      <w:tr>
        <w:tc>
          <w:tcPr>
            <w:tcW w:type="dxa" w:w="1872"/>
          </w:tcPr>
          <w:p>
            <w:r>
              <w:t>AWS Shield Standard</w:t>
            </w:r>
          </w:p>
        </w:tc>
        <w:tc>
          <w:tcPr>
            <w:tcW w:type="dxa" w:w="1872"/>
          </w:tcPr>
          <w:p>
            <w:r/>
          </w:p>
        </w:tc>
        <w:tc>
          <w:tcPr>
            <w:tcW w:type="dxa" w:w="1872"/>
          </w:tcPr>
          <w:p>
            <w:r>
              <w:t>SEGURIDAD</w:t>
            </w:r>
          </w:p>
        </w:tc>
        <w:tc>
          <w:tcPr>
            <w:tcW w:type="dxa" w:w="1872"/>
          </w:tcPr>
          <w:p>
            <w:r>
              <w:t>OPCIONAL</w:t>
            </w:r>
          </w:p>
        </w:tc>
        <w:tc>
          <w:tcPr>
            <w:tcW w:type="dxa" w:w="1872"/>
          </w:tcPr>
          <w:p>
            <w:r>
              <w:t>A consultar</w:t>
            </w:r>
          </w:p>
        </w:tc>
      </w:tr>
      <w:tr>
        <w:tc>
          <w:tcPr>
            <w:tcW w:type="dxa" w:w="1872"/>
          </w:tcPr>
          <w:p>
            <w:r>
              <w:t>Amazon SQS</w:t>
            </w:r>
          </w:p>
        </w:tc>
        <w:tc>
          <w:tcPr>
            <w:tcW w:type="dxa" w:w="1872"/>
          </w:tcPr>
          <w:p>
            <w:r>
              <w:t>1M</w:t>
            </w:r>
          </w:p>
        </w:tc>
        <w:tc>
          <w:tcPr>
            <w:tcW w:type="dxa" w:w="1872"/>
          </w:tcPr>
          <w:p>
            <w:r>
              <w:t>INTEGRACION_Y_MENSAJERIA</w:t>
            </w:r>
          </w:p>
        </w:tc>
        <w:tc>
          <w:tcPr>
            <w:tcW w:type="dxa" w:w="1872"/>
          </w:tcPr>
          <w:p>
            <w:r>
              <w:t>RECOMENDADO</w:t>
            </w:r>
          </w:p>
        </w:tc>
        <w:tc>
          <w:tcPr>
            <w:tcW w:type="dxa" w:w="1872"/>
          </w:tcPr>
          <w:p>
            <w:r>
              <w:t>$0.40</w:t>
            </w:r>
          </w:p>
        </w:tc>
      </w:tr>
      <w:tr>
        <w:tc>
          <w:tcPr>
            <w:tcW w:type="dxa" w:w="1872"/>
          </w:tcPr>
          <w:p>
            <w:r>
              <w:t>Amazon SNS</w:t>
            </w:r>
          </w:p>
        </w:tc>
        <w:tc>
          <w:tcPr>
            <w:tcW w:type="dxa" w:w="1872"/>
          </w:tcPr>
          <w:p>
            <w:r>
              <w:t>1M</w:t>
            </w:r>
          </w:p>
        </w:tc>
        <w:tc>
          <w:tcPr>
            <w:tcW w:type="dxa" w:w="1872"/>
          </w:tcPr>
          <w:p>
            <w:r>
              <w:t>INTEGRACION_Y_MENSAJERIA</w:t>
            </w:r>
          </w:p>
        </w:tc>
        <w:tc>
          <w:tcPr>
            <w:tcW w:type="dxa" w:w="1872"/>
          </w:tcPr>
          <w:p>
            <w:r>
              <w:t>OPCIONAL</w:t>
            </w:r>
          </w:p>
        </w:tc>
        <w:tc>
          <w:tcPr>
            <w:tcW w:type="dxa" w:w="1872"/>
          </w:tcPr>
          <w:p>
            <w:r>
              <w:t>$0.50</w:t>
            </w:r>
          </w:p>
        </w:tc>
      </w:tr>
      <w:tr>
        <w:tc>
          <w:tcPr>
            <w:tcW w:type="dxa" w:w="1872"/>
          </w:tcPr>
          <w:p>
            <w:r>
              <w:t>Amazon CloudWatch</w:t>
            </w:r>
          </w:p>
        </w:tc>
        <w:tc>
          <w:tcPr>
            <w:tcW w:type="dxa" w:w="1872"/>
          </w:tcPr>
          <w:p>
            <w:r>
              <w:t>Dashboards</w:t>
            </w:r>
          </w:p>
        </w:tc>
        <w:tc>
          <w:tcPr>
            <w:tcW w:type="dxa" w:w="1872"/>
          </w:tcPr>
          <w:p>
            <w:r>
              <w:t>MONITOREO_Y_OBSERVABILIDAD</w:t>
            </w:r>
          </w:p>
        </w:tc>
        <w:tc>
          <w:tcPr>
            <w:tcW w:type="dxa" w:w="1872"/>
          </w:tcPr>
          <w:p>
            <w:r>
              <w:t>REQUERIDO</w:t>
            </w:r>
          </w:p>
        </w:tc>
        <w:tc>
          <w:tcPr>
            <w:tcW w:type="dxa" w:w="1872"/>
          </w:tcPr>
          <w:p>
            <w:r>
              <w:t>$10.00</w:t>
            </w:r>
          </w:p>
        </w:tc>
      </w:tr>
      <w:tr>
        <w:tc>
          <w:tcPr>
            <w:tcW w:type="dxa" w:w="1872"/>
          </w:tcPr>
          <w:p>
            <w:r>
              <w:t>AWS CloudTrail</w:t>
            </w:r>
          </w:p>
        </w:tc>
        <w:tc>
          <w:tcPr>
            <w:tcW w:type="dxa" w:w="1872"/>
          </w:tcPr>
          <w:p>
            <w:r/>
          </w:p>
        </w:tc>
        <w:tc>
          <w:tcPr>
            <w:tcW w:type="dxa" w:w="1872"/>
          </w:tcPr>
          <w:p>
            <w:r>
              <w:t>MONITOREO_Y_OBSERVABILIDAD</w:t>
            </w:r>
          </w:p>
        </w:tc>
        <w:tc>
          <w:tcPr>
            <w:tcW w:type="dxa" w:w="1872"/>
          </w:tcPr>
          <w:p>
            <w:r>
              <w:t>REQUERIDO</w:t>
            </w:r>
          </w:p>
        </w:tc>
        <w:tc>
          <w:tcPr>
            <w:tcW w:type="dxa" w:w="1872"/>
          </w:tcPr>
          <w:p>
            <w:r>
              <w:t>A consultar</w:t>
            </w:r>
          </w:p>
        </w:tc>
      </w:tr>
      <w:tr>
        <w:tc>
          <w:tcPr>
            <w:tcW w:type="dxa" w:w="1872"/>
          </w:tcPr>
          <w:p>
            <w:r>
              <w:t>AWS X-Ray</w:t>
            </w:r>
          </w:p>
        </w:tc>
        <w:tc>
          <w:tcPr>
            <w:tcW w:type="dxa" w:w="1872"/>
          </w:tcPr>
          <w:p>
            <w:r/>
          </w:p>
        </w:tc>
        <w:tc>
          <w:tcPr>
            <w:tcW w:type="dxa" w:w="1872"/>
          </w:tcPr>
          <w:p>
            <w:r>
              <w:t>MONITOREO_Y_OBSERVABILIDAD</w:t>
            </w:r>
          </w:p>
        </w:tc>
        <w:tc>
          <w:tcPr>
            <w:tcW w:type="dxa" w:w="1872"/>
          </w:tcPr>
          <w:p>
            <w:r>
              <w:t>RECOMENDADO</w:t>
            </w:r>
          </w:p>
        </w:tc>
        <w:tc>
          <w:tcPr>
            <w:tcW w:type="dxa" w:w="1872"/>
          </w:tcPr>
          <w:p>
            <w:r>
              <w:t>A consultar</w:t>
            </w:r>
          </w:p>
        </w:tc>
      </w:tr>
      <w:tr>
        <w:tc>
          <w:tcPr>
            <w:tcW w:type="dxa" w:w="1872"/>
          </w:tcPr>
          <w:p>
            <w:r>
              <w:t>AWS Backup</w:t>
            </w:r>
          </w:p>
        </w:tc>
        <w:tc>
          <w:tcPr>
            <w:tcW w:type="dxa" w:w="1872"/>
          </w:tcPr>
          <w:p>
            <w:r>
              <w:t>50GB</w:t>
            </w:r>
          </w:p>
        </w:tc>
        <w:tc>
          <w:tcPr>
            <w:tcW w:type="dxa" w:w="1872"/>
          </w:tcPr>
          <w:p>
            <w:r>
              <w:t>DR_Y_BACKUP</w:t>
            </w:r>
          </w:p>
        </w:tc>
        <w:tc>
          <w:tcPr>
            <w:tcW w:type="dxa" w:w="1872"/>
          </w:tcPr>
          <w:p>
            <w:r>
              <w:t>RECOMENDADO</w:t>
            </w:r>
          </w:p>
        </w:tc>
        <w:tc>
          <w:tcPr>
            <w:tcW w:type="dxa" w:w="1872"/>
          </w:tcPr>
          <w:p>
            <w:r>
              <w:t>$5.00</w:t>
            </w:r>
          </w:p>
        </w:tc>
      </w:tr>
      <w:tr>
        <w:tc>
          <w:tcPr>
            <w:tcW w:type="dxa" w:w="1872"/>
          </w:tcPr>
          <w:p>
            <w:r>
              <w:t>Multi-AZ (RDS/EKS)</w:t>
            </w:r>
          </w:p>
        </w:tc>
        <w:tc>
          <w:tcPr>
            <w:tcW w:type="dxa" w:w="1872"/>
          </w:tcPr>
          <w:p>
            <w:r>
              <w:t>cluster</w:t>
            </w:r>
          </w:p>
        </w:tc>
        <w:tc>
          <w:tcPr>
            <w:tcW w:type="dxa" w:w="1872"/>
          </w:tcPr>
          <w:p>
            <w:r>
              <w:t>DR_Y_BACKUP</w:t>
            </w:r>
          </w:p>
        </w:tc>
        <w:tc>
          <w:tcPr>
            <w:tcW w:type="dxa" w:w="1872"/>
          </w:tcPr>
          <w:p>
            <w:r>
              <w:t>REQUERIDO</w:t>
            </w:r>
          </w:p>
        </w:tc>
        <w:tc>
          <w:tcPr>
            <w:tcW w:type="dxa" w:w="1872"/>
          </w:tcPr>
          <w:p>
            <w:r>
              <w:t>$73.00</w:t>
            </w:r>
          </w:p>
        </w:tc>
      </w:tr>
      <w:tr>
        <w:tc>
          <w:tcPr>
            <w:tcW w:type="dxa" w:w="1872"/>
          </w:tcPr>
          <w:p>
            <w:r>
              <w:rPr>
                <w:b/>
              </w:rPr>
              <w:t>TOTAL MENSUAL</w:t>
            </w:r>
          </w:p>
        </w:tc>
        <w:tc>
          <w:tcPr>
            <w:tcW w:type="dxa" w:w="1872"/>
          </w:tcPr>
          <w:p/>
        </w:tc>
        <w:tc>
          <w:tcPr>
            <w:tcW w:type="dxa" w:w="1872"/>
          </w:tcPr>
          <w:p/>
        </w:tc>
        <w:tc>
          <w:tcPr>
            <w:tcW w:type="dxa" w:w="1872"/>
          </w:tcPr>
          <w:p/>
        </w:tc>
        <w:tc>
          <w:tcPr>
            <w:tcW w:type="dxa" w:w="1872"/>
          </w:tcPr>
          <w:p>
            <w:r>
              <w:rPr>
                <w:b/>
              </w:rPr>
              <w:t>$361.70 USD</w:t>
            </w:r>
          </w:p>
        </w:tc>
      </w:tr>
    </w:tbl>
    <w:p>
      <w:r>
        <w:br/>
        <w:t>Equivalente anual (12 meses): $4,340.40 USD</w:t>
      </w:r>
    </w:p>
    <w:p/>
    <w:p>
      <w:r>
        <w:rPr>
          <w:b/>
        </w:rPr>
        <w:t>Supuestos de la estimación:</w:t>
      </w:r>
    </w:p>
    <w:p>
      <w:r>
        <w:t>• Precios de referencia us-east-1</w:t>
      </w:r>
    </w:p>
    <w:p>
      <w:r>
        <w:t>• Sizing estándar producción</w:t>
      </w:r>
    </w:p>
    <w:p/>
    <w:p>
      <w:r>
        <w:rPr>
          <w:b/>
        </w:rPr>
        <w:t>Recomendaciones de optimización de costos:</w:t>
      </w:r>
    </w:p>
    <w:p>
      <w:r>
        <w:t>• Evaluar Savings Plans para cómputo (ahorro 30-40%)</w:t>
      </w:r>
    </w:p>
    <w:p>
      <w:r>
        <w:t>• Reserved Instances para RDS (ahorro 40-60%)</w:t>
      </w:r>
    </w:p>
    <w:p>
      <w:pPr>
        <w:pStyle w:val="Heading1"/>
      </w:pPr>
      <w:r>
        <w:t>8. Consideraciones comerciales</w:t>
      </w:r>
    </w:p>
    <w:p>
      <w:r>
        <w:t>• Los precios están expresados en dólares americanos (USD).</w:t>
      </w:r>
    </w:p>
    <w:p>
      <w:r>
        <w:t>• Amazon Web Services (AWS) es una plataforma Pay as you go, por lo que los costos reales pueden variar según el uso real de los servicios.</w:t>
      </w:r>
    </w:p>
    <w:p>
      <w:r>
        <w:t>• Una vez estabilizado el ambiente, se evaluará el uso de Savings Plans o Reserved Instances para optimizar los costos generados, con un ahorro potencial de 30% a 60% sobre el cómputo (EKS, Lambda) y hasta 40%-60% sobre bases de datos (RDS).</w:t>
      </w:r>
    </w:p>
    <w:p>
      <w:r>
        <w:t>• El costo mensual estimado es de $361.70 USD ($4,340.40 USD anual), considerando únicamente los servicios con prioridad REQUERIDO y RECOMENDADO cotizados; varios componentes (EBS, Load Balancers, VPN/Direct Connect, API Gateway, IAM, CloudTrail, X-Ray, Shield) requieren dimensionamiento adicional en la Calculadora de AWS.</w:t>
      </w:r>
    </w:p>
    <w:p>
      <w:r>
        <w:t>• Los ambientes adicionales (QA, Dev) no están incluidos en esta estimación y deberán cotizarse por separado.</w:t>
      </w:r>
    </w:p>
    <w:p>
      <w:r>
        <w:t>• Los costos de licenciamiento de terceros (proveedor Diverza, etc.) no están incluidos en esta propuesta.</w:t>
      </w:r>
    </w:p>
    <w:p>
      <w:pPr>
        <w:pStyle w:val="Heading1"/>
      </w:pPr>
      <w:r>
        <w:t>Aprobación</w:t>
      </w:r>
    </w:p>
    <w:p>
      <w:r>
        <w:t>El presente documento es aprobado por las siguientes personas:</w:t>
      </w:r>
    </w:p>
    <w:sectPr>
      <w:headerReference r:id="rId12"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jc w:val="center"/>
      <w:rPr>
        <w:rFonts w:ascii="Calibri" w:cs="Calibri" w:eastAsia="Calibri" w:hAnsi="Calibri"/>
        <w:b w:val="1"/>
        <w:bCs w:val="1"/>
        <w:color w:val="0070c0"/>
        <w:sz w:val="28"/>
        <w:szCs w:val="28"/>
      </w:rPr>
    </w:pPr>
    <w:r w:rsidDel="00000000" w:rsidR="00000000" w:rsidRPr="00000000">
      <w:rPr>
        <w:rFonts w:ascii="Calibri" w:cs="Calibri" w:eastAsia="Calibri" w:hAnsi="Calibri"/>
        <w:b w:val="1"/>
        <w:bCs w:val="1"/>
        <w:color w:val="0070c0"/>
        <w:sz w:val="28"/>
        <w:szCs w:val="28"/>
        <w:rtl w:val="0"/>
      </w:rPr>
      <w:t xml:space="preserve">                                                ARQUITECTURA DE INFRAESTRUCTURA </w:t>
    </w:r>
    <w:r w:rsidDel="00000000" w:rsidR="00000000" w:rsidRPr="00000000">
      <w:drawing>
        <wp:anchor allowOverlap="1" behindDoc="1" distB="114300" distT="114300" distL="114300" distR="114300" hidden="0" layoutInCell="1" locked="0" relativeHeight="0" simplePos="0">
          <wp:simplePos x="0" y="0"/>
          <wp:positionH relativeFrom="column">
            <wp:posOffset>-523874</wp:posOffset>
          </wp:positionH>
          <wp:positionV relativeFrom="paragraph">
            <wp:posOffset>-142874</wp:posOffset>
          </wp:positionV>
          <wp:extent cx="2286953" cy="52387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86953" cy="523875"/>
                  </a:xfrm>
                  <a:prstGeom prst="rect"/>
                  <a:ln/>
                </pic:spPr>
              </pic:pic>
            </a:graphicData>
          </a:graphic>
        </wp:anchor>
      </w:drawing>
    </w:r>
  </w:p>
  <w:p w:rsidR="00000000" w:rsidDel="00000000" w:rsidP="00000000" w:rsidRDefault="00000000" w:rsidRPr="00000000" w14:paraId="00000104">
    <w:pPr>
      <w:jc w:val="center"/>
      <w:rPr/>
    </w:pPr>
    <w:r w:rsidDel="00000000" w:rsidR="00000000" w:rsidRPr="00000000">
      <w:rPr>
        <w:rFonts w:ascii="Calibri" w:cs="Calibri" w:eastAsia="Calibri" w:hAnsi="Calibri"/>
        <w:b w:val="1"/>
        <w:bCs w:val="1"/>
        <w:color w:val="0070c0"/>
        <w:sz w:val="28"/>
        <w:szCs w:val="28"/>
        <w:rtl w:val="0"/>
      </w:rPr>
      <w:t xml:space="preserve">                                                      &amp; SERVICIOS CLOUD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24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afore-aws-dev-menu-op@aforecoppel.com" TargetMode="External"/><Relationship Id="rId10" Type="http://schemas.openxmlformats.org/officeDocument/2006/relationships/hyperlink" Target="mailto:afore-aws-dev-menu-op@aforecoppel.com" TargetMode="External"/><Relationship Id="rId12" Type="http://schemas.openxmlformats.org/officeDocument/2006/relationships/header" Target="header1.xml"/><Relationship Id="rId9" Type="http://schemas.openxmlformats.org/officeDocument/2006/relationships/hyperlink" Target="mailto:afore-aws-dev-menu-op@aforecoppe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GHfHo/tK+79d77ZISNluOvuk3Q==">CgMxLjA4AHIhMWp2a1NXdnU3WGtiSGJYUEVlc0YtRDc1eXZoSkt2T0tS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