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99225236"/>
        <w:docPartObj>
          <w:docPartGallery w:val="Cover Pages"/>
          <w:docPartUnique/>
        </w:docPartObj>
      </w:sdtPr>
      <w:sdtEndPr/>
      <w:sdtContent>
        <w:p w14:paraId="2BBB02A7" w14:textId="0AE819B4" w:rsidR="00AF1326" w:rsidRDefault="00AF1326">
          <w:r>
            <w:rPr>
              <w:noProof/>
            </w:rPr>
            <w:drawing>
              <wp:anchor distT="0" distB="0" distL="114300" distR="114300" simplePos="0" relativeHeight="251665408" behindDoc="0" locked="0" layoutInCell="1" allowOverlap="1" wp14:anchorId="66C09EE4" wp14:editId="78A41A80">
                <wp:simplePos x="0" y="0"/>
                <wp:positionH relativeFrom="column">
                  <wp:posOffset>-909955</wp:posOffset>
                </wp:positionH>
                <wp:positionV relativeFrom="paragraph">
                  <wp:posOffset>-939165</wp:posOffset>
                </wp:positionV>
                <wp:extent cx="7771909" cy="100577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ker:Desktop:Covers:tool-cover_05.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771909" cy="100577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85CAC4" w14:textId="69089FD2" w:rsidR="00AF1326" w:rsidRDefault="00AF1326">
          <w:r>
            <w:br w:type="page"/>
          </w:r>
        </w:p>
      </w:sdtContent>
    </w:sdt>
    <w:p w14:paraId="328C4C20" w14:textId="77777777" w:rsidR="00D54673" w:rsidRPr="00BB1224" w:rsidRDefault="00D54673" w:rsidP="00D54673">
      <w:pPr>
        <w:rPr>
          <w:rFonts w:ascii="Arial" w:hAnsi="Arial"/>
          <w:i/>
          <w:color w:val="808080" w:themeColor="background1" w:themeShade="80"/>
        </w:rPr>
      </w:pPr>
      <w:r w:rsidRPr="00BB1224">
        <w:rPr>
          <w:rFonts w:ascii="Arial" w:hAnsi="Arial"/>
          <w:i/>
          <w:color w:val="808080" w:themeColor="background1" w:themeShade="80"/>
        </w:rPr>
        <w:lastRenderedPageBreak/>
        <w:t>Last updated: May 2016</w:t>
      </w:r>
    </w:p>
    <w:p w14:paraId="14EACC1A" w14:textId="7C8D8DDF" w:rsidR="00F45C21" w:rsidRDefault="00F45C21" w:rsidP="00AC3699">
      <w:pPr>
        <w:tabs>
          <w:tab w:val="left" w:pos="6173"/>
        </w:tabs>
      </w:pPr>
    </w:p>
    <w:p w14:paraId="0EA4BC6B" w14:textId="5D88A8A2" w:rsidR="00EF54C1" w:rsidRDefault="00334D6D" w:rsidP="00F45C21">
      <w:pPr>
        <w:rPr>
          <w:rFonts w:ascii="Arial" w:hAnsi="Arial"/>
          <w:sz w:val="20"/>
          <w:szCs w:val="20"/>
        </w:rPr>
      </w:pPr>
      <w:r>
        <w:rPr>
          <w:noProof/>
        </w:rPr>
        <mc:AlternateContent>
          <mc:Choice Requires="wps">
            <w:drawing>
              <wp:inline distT="0" distB="0" distL="0" distR="0" wp14:anchorId="4D72A158" wp14:editId="7251081D">
                <wp:extent cx="790575" cy="4110355"/>
                <wp:effectExtent l="0" t="0" r="0" b="4445"/>
                <wp:docPr id="4" name="Up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4110355"/>
                        </a:xfrm>
                        <a:prstGeom prst="upArrow">
                          <a:avLst/>
                        </a:prstGeom>
                        <a:solidFill>
                          <a:srgbClr val="8AAF2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411E4" w14:textId="77777777" w:rsidR="004E5B2C" w:rsidRPr="00F45C21" w:rsidRDefault="004E5B2C" w:rsidP="00F45C21">
                            <w:pPr>
                              <w:spacing w:after="0" w:line="240" w:lineRule="auto"/>
                              <w:jc w:val="center"/>
                              <w:rPr>
                                <w:sz w:val="24"/>
                              </w:rPr>
                            </w:pPr>
                            <w:r>
                              <w:rPr>
                                <w:sz w:val="24"/>
                              </w:rPr>
                              <w:t xml:space="preserve">  </w:t>
                            </w:r>
                            <w:r w:rsidRPr="00C27917">
                              <w:rPr>
                                <w:sz w:val="24"/>
                              </w:rPr>
                              <w:t>I</w:t>
                            </w:r>
                            <w:r>
                              <w:rPr>
                                <w:sz w:val="24"/>
                              </w:rPr>
                              <w:t xml:space="preserve">ncreasing effectiveness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 o:spid="_x0000_s1026" type="#_x0000_t68" style="width:62.25pt;height:323.6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tTrKoCAACuBQAADgAAAGRycy9lMm9Eb2MueG1srFRLb9swDL4P2H8QdF/9WLK0Rp3CaJdhQNAW&#10;a4ueFVmOjcmiJilxsl8/Sn4064odhvkgiOLHjw+TvLw6tJLshbENqJwmZzElQnEoG7XN6dPj6sM5&#10;JdYxVTIJSuT0KCy9Wr5/d9npTKRQgyyFIUiibNbpnNbO6SyKLK9Fy+wZaKFQWYFpmUPRbKPSsA7Z&#10;Wxmlcfwp6sCU2gAX1uLrTa+ky8BfVYK7u6qywhGZU4zNhdOEc+PPaHnJsq1hum74EAb7hyha1ih0&#10;OlHdMMfIzjR/ULUNN2Chcmcc2giqquEi5IDZJPGrbB5qpkXIBYtj9VQm+/9o+e3+3pCmzOmMEsVa&#10;/EVPmhTGQEdSX51O2wxBD/re+PysXgP/blER/abxgh0wh8q0HovZkUMo9XEqtTg4wvFxcRHPF3NK&#10;OKpmSRJ/nM+9t4hlo7U21n0R0BJ/yelOh6BCkdl+bV2PHlEhNpBNuWqkDILZbq6lIXuGf/68KFbp&#10;58GBPYVJ5cEKvFnP6F9Cbn06ITF3lMLjpPomKqwWJpCGSEKfiskP41wol/SqmpWidz+P8Ru9+872&#10;FiHZQOiZK/Q/cQ8EI7InGbn7KAe8NxWhzSfj+G+B9caTRfAMyk3GbaPAvEUgMavBc48fi9SXxlfJ&#10;HTYHhPjrBsojtpWBft6s5qsG/+KaWXfPDA4YjiIuDXeHRyWhyykMN0pqMD/fevf4nPozXaB5hzOb&#10;U/tjx4ygRH5VOBQXyWzmhzwIs/kiRcGcajanGrVrrwGbI8ENpXm4eryT47Uy0D7jeim8Y1QxxTG4&#10;nHJnRuHa9bsEFxQXRRFgONiaubV60NyT+xr7Ln08PDOjh252OAe3MM43y151dI/1lgqKnYOqCe3+&#10;Utqh+rgUQhsNC8xvnVM5oF7W7PIXAAAA//8DAFBLAwQUAAYACAAAACEAj6UDidsAAAAFAQAADwAA&#10;AGRycy9kb3ducmV2LnhtbEyPwW7CMBBE70j8g7WVegOnIVCUxkEIqbdKFGh7tuMljhqvo9iE9O9r&#10;uLSXlUYzmnlbbEbbsgF73zgS8DRPgCFVTjdUC/g4vc7WwHyQpGXrCAX8oIdNOZ0UMtfuSgccjqFm&#10;sYR8LgWYELqcc18ZtNLPXYcUvbPrrQxR9jXXvbzGctvyNElW3MqG4oKRHe4MVt/HixXwPuy/lm+n&#10;9HO7MC7Tyqnzeq+EeHwYty/AAo7hLww3/IgOZWRS7kLas1ZAfCTc781LsyUwJWCVPS+AlwX/T1/+&#10;AgAA//8DAFBLAQItABQABgAIAAAAIQDkmcPA+wAAAOEBAAATAAAAAAAAAAAAAAAAAAAAAABbQ29u&#10;dGVudF9UeXBlc10ueG1sUEsBAi0AFAAGAAgAAAAhACOyauHXAAAAlAEAAAsAAAAAAAAAAAAAAAAA&#10;LAEAAF9yZWxzLy5yZWxzUEsBAi0AFAAGAAgAAAAhAF9LU6yqAgAArgUAAA4AAAAAAAAAAAAAAAAA&#10;LAIAAGRycy9lMm9Eb2MueG1sUEsBAi0AFAAGAAgAAAAhAI+lA4nbAAAABQEAAA8AAAAAAAAAAAAA&#10;AAAAAgUAAGRycy9kb3ducmV2LnhtbFBLBQYAAAAABAAEAPMAAAAKBgAAAAA=&#10;" adj="2077" fillcolor="#8aaf2e" stroked="f" strokeweight="2pt">
                <v:path arrowok="t"/>
                <v:textbox style="layout-flow:vertical;mso-layout-flow-alt:bottom-to-top">
                  <w:txbxContent>
                    <w:p w14:paraId="737411E4" w14:textId="77777777" w:rsidR="004E5B2C" w:rsidRPr="00F45C21" w:rsidRDefault="004E5B2C" w:rsidP="00F45C21">
                      <w:pPr>
                        <w:spacing w:after="0" w:line="240" w:lineRule="auto"/>
                        <w:jc w:val="center"/>
                        <w:rPr>
                          <w:sz w:val="24"/>
                        </w:rPr>
                      </w:pPr>
                      <w:r>
                        <w:rPr>
                          <w:sz w:val="24"/>
                        </w:rPr>
                        <w:t xml:space="preserve">  </w:t>
                      </w:r>
                      <w:r w:rsidRPr="00C27917">
                        <w:rPr>
                          <w:sz w:val="24"/>
                        </w:rPr>
                        <w:t>I</w:t>
                      </w:r>
                      <w:r>
                        <w:rPr>
                          <w:sz w:val="24"/>
                        </w:rPr>
                        <w:t xml:space="preserve">ncreasing effectiveness </w:t>
                      </w:r>
                    </w:p>
                  </w:txbxContent>
                </v:textbox>
                <w10:anchorlock/>
              </v:shape>
            </w:pict>
          </mc:Fallback>
        </mc:AlternateContent>
      </w:r>
      <w:r w:rsidR="00D54673" w:rsidRPr="00334D6D">
        <w:rPr>
          <w:noProof/>
        </w:rPr>
        <w:drawing>
          <wp:inline distT="0" distB="0" distL="0" distR="0" wp14:anchorId="63A5921D" wp14:editId="03247768">
            <wp:extent cx="4896464" cy="4197985"/>
            <wp:effectExtent l="0" t="0" r="31750" b="184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641E92C" w14:textId="2935025B" w:rsidR="00334D6D" w:rsidRDefault="00334D6D" w:rsidP="00F45C21">
      <w:pPr>
        <w:rPr>
          <w:rFonts w:ascii="Arial" w:hAnsi="Arial"/>
          <w:b/>
          <w:sz w:val="20"/>
          <w:szCs w:val="20"/>
        </w:rPr>
      </w:pPr>
      <w:r>
        <w:rPr>
          <w:noProof/>
        </w:rPr>
        <mc:AlternateContent>
          <mc:Choice Requires="wps">
            <w:drawing>
              <wp:anchor distT="0" distB="0" distL="114300" distR="114300" simplePos="0" relativeHeight="251660288" behindDoc="0" locked="0" layoutInCell="1" allowOverlap="1" wp14:anchorId="4C11327C" wp14:editId="6D792CF5">
                <wp:simplePos x="0" y="0"/>
                <wp:positionH relativeFrom="column">
                  <wp:posOffset>-490855</wp:posOffset>
                </wp:positionH>
                <wp:positionV relativeFrom="paragraph">
                  <wp:posOffset>147955</wp:posOffset>
                </wp:positionV>
                <wp:extent cx="1965325" cy="2963545"/>
                <wp:effectExtent l="0" t="0" r="15875" b="3365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2963545"/>
                        </a:xfrm>
                        <a:prstGeom prst="roundRect">
                          <a:avLst/>
                        </a:prstGeom>
                        <a:solidFill>
                          <a:schemeClr val="bg1">
                            <a:alpha val="29000"/>
                          </a:schemeClr>
                        </a:solidFill>
                        <a:ln>
                          <a:solidFill>
                            <a:srgbClr val="167FA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58537" w14:textId="3B42A997" w:rsidR="00545BC7" w:rsidRPr="00334D6D" w:rsidRDefault="00545BC7" w:rsidP="00545BC7">
                            <w:pPr>
                              <w:rPr>
                                <w:rFonts w:ascii="Arial" w:hAnsi="Arial"/>
                                <w:color w:val="167FAD"/>
                                <w:sz w:val="18"/>
                                <w:szCs w:val="18"/>
                              </w:rPr>
                            </w:pPr>
                            <w:r w:rsidRPr="00334D6D">
                              <w:rPr>
                                <w:rFonts w:ascii="Arial" w:hAnsi="Arial"/>
                                <w:color w:val="167FAD"/>
                                <w:sz w:val="18"/>
                                <w:szCs w:val="18"/>
                              </w:rPr>
                              <w:t>In most instances, other than in cases where confidentiality may be requested or fear of reprisal exists, the primary way community members present complaints will be to a company staff person in the community, such as the Grievance Officer. Therefore, fostering staff awareness of and competence in the grievance resolution process is the most valuable investment a company can make</w:t>
                            </w:r>
                            <w:r w:rsidR="00F754EA" w:rsidRPr="00334D6D">
                              <w:rPr>
                                <w:rFonts w:ascii="Arial" w:hAnsi="Arial"/>
                                <w:color w:val="167FAD"/>
                                <w:sz w:val="18"/>
                                <w:szCs w:val="18"/>
                              </w:rPr>
                              <w:t>.</w:t>
                            </w:r>
                            <w:r w:rsidRPr="00334D6D">
                              <w:rPr>
                                <w:rFonts w:ascii="Arial" w:hAnsi="Arial"/>
                                <w:color w:val="167FAD"/>
                                <w:sz w:val="18"/>
                                <w:szCs w:val="18"/>
                              </w:rPr>
                              <w:t xml:space="preserve"> to ensure that a grievance mechanism is working.</w:t>
                            </w:r>
                          </w:p>
                          <w:p w14:paraId="1D5DD968" w14:textId="77777777" w:rsidR="004E5B2C" w:rsidRPr="00334D6D" w:rsidRDefault="004E5B2C" w:rsidP="00AC3699">
                            <w:pPr>
                              <w:rPr>
                                <w:color w:val="167FA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margin-left:-38.6pt;margin-top:11.65pt;width:154.75pt;height:23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gJcYCAAAHBgAADgAAAGRycy9lMm9Eb2MueG1srFTbbtswDH0fsH8Q9L760iRdjDpF0CLDgKAt&#10;2g59VmQ5NiaLmqQkzr5+lHxpesEehr0YkkgeHh6TvLxqG0n2wtgaVE6Ts5gSoTgUtdrm9MfT6stX&#10;SqxjqmASlMjpUVh6tfj86fKgM5FCBbIQhiCIstlB57RyTmdRZHklGmbPQAuFxhJMwxxezTYqDDsg&#10;eiOjNI5n0QFMoQ1wYS2+3nRGugj4ZSm4uytLKxyROUVuLnxN+G78N1pcsmxrmK5q3tNg/8CiYbXC&#10;pCPUDXOM7Ez9DqqpuQELpTvj0ERQljUXoQasJonfVPNYMS1CLSiO1aNM9v/B8tv9vSF1kdMpJYo1&#10;+IseYKcKUZAHFI+prRRk6mU6aJuh96O+N75Qq9fAf1o0RK8s/mJ7n7Y0jffFMkkbND+OmovWEY6P&#10;yXw2PU8xOUdbOp+dTychXcSyIVwb674JaIg/5NR4fp5cEJzt19Z5Fiwb/AI9kHWxqqUMF99N4loa&#10;smfYB5tt0oVKXbHuKZ3HcWgGhAm9570DqD0Fkuo9ttluRuRkdrFa3ni1PM5LJN58aFCqEyfI5I5S&#10;eECpHkSJPwHlSAOzkULHjnEulOtI24oVonueIuePSQdAj1yiAiN2D/BajAG749z7+1ARpmcMjv9G&#10;rAseI0JmUG4MbmoF5iMAiVX1mTv/QaROGq+SazdtaNDg6V82UByxaQ1002w1X9XYGWtm3T0zOL44&#10;6LiS3B1+SgmHnEJ/oqQC8/ujd++PU4VWSg64DnJqf+2YEZTI7wrnbZ5MJn5/hMtkepHixZxaNqcW&#10;tWuuATstweWneTh6fyeHY2mgecbNtfRZ0cQUx9w5dcPx2nVLCjcfF8tlcMKNoZlbq0fNPbRX2bf8&#10;U/vMjO6Hw+Fc3cKwOFj2Zjw6Xx+pYLlzUNZhdl5U7fXHbRN6uN+Mfp2d3oPXy/5e/AEAAP//AwBQ&#10;SwMEFAAGAAgAAAAhAHfzQCfhAAAACgEAAA8AAABkcnMvZG93bnJldi54bWxMj01Lw0AQhu+C/2EZ&#10;wVu766ZYjdkUP9AiSMEqeJ1mp0kwuxuy2zT9944nvc0wD+/7TLGaXCdGGmIbvIGruQJBvgq29bWB&#10;z4/n2Q2ImNBb7IInAyeKsCrPzwrMbTj6dxq3qRYc4mOOBpqU+lzKWDXkMM5DT55v+zA4TLwOtbQD&#10;HjncdVIrdS0dtp4bGuzpsaHqe3twXNKvw+lFjl/V+jXtF/j0sHnbTMZcXkz3dyASTekPhl99VoeS&#10;nXbh4G0UnYHZcqkZNaCzDAQDOtM87AwsbpUCWRby/wvlDwAAAP//AwBQSwECLQAUAAYACAAAACEA&#10;5JnDwPsAAADhAQAAEwAAAAAAAAAAAAAAAAAAAAAAW0NvbnRlbnRfVHlwZXNdLnhtbFBLAQItABQA&#10;BgAIAAAAIQAjsmrh1wAAAJQBAAALAAAAAAAAAAAAAAAAACwBAABfcmVscy8ucmVsc1BLAQItABQA&#10;BgAIAAAAIQDE36AlxgIAAAcGAAAOAAAAAAAAAAAAAAAAACwCAABkcnMvZTJvRG9jLnhtbFBLAQIt&#10;ABQABgAIAAAAIQB380An4QAAAAoBAAAPAAAAAAAAAAAAAAAAAB4FAABkcnMvZG93bnJldi54bWxQ&#10;SwUGAAAAAAQABADzAAAALAYAAAAA&#10;" fillcolor="white [3212]" strokecolor="#167fad" strokeweight="2pt">
                <v:fill opacity="19018f"/>
                <v:path arrowok="t"/>
                <v:textbox>
                  <w:txbxContent>
                    <w:p w14:paraId="0A758537" w14:textId="3B42A997" w:rsidR="00545BC7" w:rsidRPr="00334D6D" w:rsidRDefault="00545BC7" w:rsidP="00545BC7">
                      <w:pPr>
                        <w:rPr>
                          <w:rFonts w:ascii="Arial" w:hAnsi="Arial"/>
                          <w:color w:val="167FAD"/>
                          <w:sz w:val="18"/>
                          <w:szCs w:val="18"/>
                        </w:rPr>
                      </w:pPr>
                      <w:r w:rsidRPr="00334D6D">
                        <w:rPr>
                          <w:rFonts w:ascii="Arial" w:hAnsi="Arial"/>
                          <w:color w:val="167FAD"/>
                          <w:sz w:val="18"/>
                          <w:szCs w:val="18"/>
                        </w:rPr>
                        <w:t>In most instances, other than in cases where confidentiality may be requested or fear of reprisal exists, the primary way community members present complaints will be to a company staff person in the community, such as the Grievance Officer. Therefore, fostering staff awareness of and competence in the grievance resolution process is the most valuable investment a company can make</w:t>
                      </w:r>
                      <w:r w:rsidR="00F754EA" w:rsidRPr="00334D6D">
                        <w:rPr>
                          <w:rFonts w:ascii="Arial" w:hAnsi="Arial"/>
                          <w:color w:val="167FAD"/>
                          <w:sz w:val="18"/>
                          <w:szCs w:val="18"/>
                        </w:rPr>
                        <w:t>.</w:t>
                      </w:r>
                      <w:r w:rsidRPr="00334D6D">
                        <w:rPr>
                          <w:rFonts w:ascii="Arial" w:hAnsi="Arial"/>
                          <w:color w:val="167FAD"/>
                          <w:sz w:val="18"/>
                          <w:szCs w:val="18"/>
                        </w:rPr>
                        <w:t xml:space="preserve"> to ensure that a grievance mechanism is working.</w:t>
                      </w:r>
                    </w:p>
                    <w:p w14:paraId="1D5DD968" w14:textId="77777777" w:rsidR="004E5B2C" w:rsidRPr="00334D6D" w:rsidRDefault="004E5B2C" w:rsidP="00AC3699">
                      <w:pPr>
                        <w:rPr>
                          <w:color w:val="167FAD"/>
                        </w:rPr>
                      </w:pPr>
                    </w:p>
                  </w:txbxContent>
                </v:textbox>
              </v:roundrect>
            </w:pict>
          </mc:Fallback>
        </mc:AlternateContent>
      </w:r>
      <w:r>
        <w:rPr>
          <w:noProof/>
          <w:color w:val="000000" w:themeColor="text1"/>
        </w:rPr>
        <mc:AlternateContent>
          <mc:Choice Requires="wps">
            <w:drawing>
              <wp:anchor distT="0" distB="0" distL="114300" distR="114300" simplePos="0" relativeHeight="251662336" behindDoc="0" locked="0" layoutInCell="1" allowOverlap="1" wp14:anchorId="320A274D" wp14:editId="53EE066C">
                <wp:simplePos x="0" y="0"/>
                <wp:positionH relativeFrom="column">
                  <wp:posOffset>1678305</wp:posOffset>
                </wp:positionH>
                <wp:positionV relativeFrom="paragraph">
                  <wp:posOffset>147955</wp:posOffset>
                </wp:positionV>
                <wp:extent cx="1965960" cy="2924810"/>
                <wp:effectExtent l="0" t="0" r="15240" b="2159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960" cy="2924810"/>
                        </a:xfrm>
                        <a:prstGeom prst="roundRect">
                          <a:avLst/>
                        </a:prstGeom>
                        <a:noFill/>
                        <a:ln w="25400" cap="flat" cmpd="sng" algn="ctr">
                          <a:solidFill>
                            <a:srgbClr val="8A1E82"/>
                          </a:solidFill>
                          <a:prstDash val="solid"/>
                        </a:ln>
                        <a:effectLst/>
                      </wps:spPr>
                      <wps:txbx>
                        <w:txbxContent>
                          <w:p w14:paraId="68ACD4E7" w14:textId="106C394E" w:rsidR="004E5B2C" w:rsidRPr="00334D6D" w:rsidRDefault="004E5B2C" w:rsidP="00AC3699">
                            <w:pPr>
                              <w:rPr>
                                <w:rFonts w:ascii="Arial" w:hAnsi="Arial" w:cs="Arial"/>
                                <w:color w:val="8A1E82"/>
                                <w:sz w:val="18"/>
                                <w:szCs w:val="18"/>
                              </w:rPr>
                            </w:pPr>
                            <w:r w:rsidRPr="00334D6D">
                              <w:rPr>
                                <w:rFonts w:ascii="Arial" w:hAnsi="Arial" w:cs="Arial"/>
                                <w:color w:val="8A1E82"/>
                                <w:sz w:val="18"/>
                                <w:szCs w:val="18"/>
                              </w:rPr>
                              <w:t>Radio, television, and interactive media</w:t>
                            </w:r>
                            <w:r w:rsidR="00684B55" w:rsidRPr="00334D6D">
                              <w:rPr>
                                <w:rFonts w:ascii="Arial" w:hAnsi="Arial" w:cs="Arial"/>
                                <w:color w:val="8A1E82"/>
                                <w:sz w:val="18"/>
                                <w:szCs w:val="18"/>
                              </w:rPr>
                              <w:t>,</w:t>
                            </w:r>
                            <w:r w:rsidRPr="00334D6D">
                              <w:rPr>
                                <w:rFonts w:ascii="Arial" w:hAnsi="Arial" w:cs="Arial"/>
                                <w:color w:val="8A1E82"/>
                                <w:sz w:val="18"/>
                                <w:szCs w:val="18"/>
                              </w:rPr>
                              <w:t xml:space="preserve"> </w:t>
                            </w:r>
                            <w:r w:rsidR="00684B55" w:rsidRPr="00334D6D">
                              <w:rPr>
                                <w:rFonts w:ascii="Arial" w:hAnsi="Arial" w:cs="Arial"/>
                                <w:color w:val="8A1E82"/>
                                <w:sz w:val="18"/>
                                <w:szCs w:val="18"/>
                              </w:rPr>
                              <w:t xml:space="preserve">such as </w:t>
                            </w:r>
                            <w:r w:rsidRPr="00334D6D">
                              <w:rPr>
                                <w:rFonts w:ascii="Arial" w:hAnsi="Arial" w:cs="Arial"/>
                                <w:color w:val="8A1E82"/>
                                <w:sz w:val="18"/>
                                <w:szCs w:val="18"/>
                              </w:rPr>
                              <w:t>Facebook and Twitter</w:t>
                            </w:r>
                            <w:r w:rsidR="00684B55" w:rsidRPr="00334D6D">
                              <w:rPr>
                                <w:rFonts w:ascii="Arial" w:hAnsi="Arial" w:cs="Arial"/>
                                <w:color w:val="8A1E82"/>
                                <w:sz w:val="18"/>
                                <w:szCs w:val="18"/>
                              </w:rPr>
                              <w:t>,</w:t>
                            </w:r>
                            <w:r w:rsidRPr="00334D6D">
                              <w:rPr>
                                <w:rFonts w:ascii="Arial" w:hAnsi="Arial" w:cs="Arial"/>
                                <w:color w:val="8A1E82"/>
                                <w:sz w:val="18"/>
                                <w:szCs w:val="18"/>
                              </w:rPr>
                              <w:t xml:space="preserve"> have the advantage of making many people aware of the existence of a grievance mechanism. It is important to include contact information in these messages</w:t>
                            </w:r>
                            <w:r w:rsidR="00684B55" w:rsidRPr="00334D6D">
                              <w:rPr>
                                <w:rFonts w:ascii="Arial" w:hAnsi="Arial" w:cs="Arial"/>
                                <w:color w:val="8A1E82"/>
                                <w:sz w:val="18"/>
                                <w:szCs w:val="18"/>
                              </w:rPr>
                              <w:t>,</w:t>
                            </w:r>
                            <w:r w:rsidRPr="00334D6D">
                              <w:rPr>
                                <w:rFonts w:ascii="Arial" w:hAnsi="Arial" w:cs="Arial"/>
                                <w:color w:val="8A1E82"/>
                                <w:sz w:val="18"/>
                                <w:szCs w:val="18"/>
                              </w:rPr>
                              <w:t xml:space="preserve"> so that people can follow up in person if they have questions or concerns they wish to discuss.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8" style="position:absolute;margin-left:132.15pt;margin-top:11.65pt;width:154.8pt;height:23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CU+XkCAADoBAAADgAAAGRycy9lMm9Eb2MueG1srFRNb9swDL0P2H8QdF8dB2mWGHWKIF2HAUFb&#10;tB16ZmT5A5NFTVJid79+lOy0abfTsItAifQj+fjoi8u+VewgrWtQ5zw9m3AmtcCi0VXOvz9ef1pw&#10;5jzoAhRqmfNn6fjl6uOHi85kcoo1qkJaRiDaZZ3Jee29yZLEiVq24M7QSE3OEm0Lnq62SgoLHaG3&#10;KplOJvOkQ1sYi0I6R69Xg5OvIn5ZSuFvy9JJz1TOqTYfTxvPXTiT1QVklQVTN2IsA/6hihYaTUlf&#10;oK7AA9vb5g+othEWHZb+TGCbYFk2QsYeqJt08q6bhxqMjL0QOc680OT+H6y4OdxZ1hQ5n3OmoaUR&#10;3eNeF7Jg90Qe6EpJNg80dcZlFP1g7mxo1Jktih+OHMkbT7i4MaYvbRtiqU3WR86fXziXvWeCHtPl&#10;/Hw5p9EI8k2X09kijVNJIDt+bqzzXyW2LBg5t6G+UFwkHA5b50MVkB3jQkqN141ScbpKs46gz2eT&#10;kAVIZKUCT2ZrqG2nK85AVaRe4W2EdKiaInwe+7TVbqMsOwApaLFOvyymgQ1K9yYs5L4CVw9x0TWG&#10;KR1gZNTiWOorR8Hy/a6PE4jA4WWHxTNNxeIgV2fEdUP4W3D+DizpkxqhnfO3dJQKqTscLc5qtL/+&#10;9h7iSTbk5awjvVPnP/dgJWfqmyZBLdPZLCxIvMzOP0/pYk89u1OP3rcbJEJS2m4johnivTqapcX2&#10;iVZzHbKSC7Sg3Dkn3gdz44ctpNUWcr2OQbQSBvxWPxgRoANvgdfH/gmsGafvSTg3eNwMyN7Nf4gd&#10;FLDeeyybKI5XVke90jrFIY6rH/b19B6jXn9Qq98AAAD//wMAUEsDBBQABgAIAAAAIQB3Es7Y4AAA&#10;AAoBAAAPAAAAZHJzL2Rvd25yZXYueG1sTI9BT8JAEIXvJv6HzZB4ky20IpRuCTF6MfEAGL0u3bEt&#10;dmdrd4HFX+940tO8yby8+V6xirYTJxx860jBZJyAQKqcaalW8Lp7up2D8EGT0Z0jVHBBD6vy+qrQ&#10;uXFn2uBpG2rBIeRzraAJoc+l9FWDVvux65H49uEGqwOvQy3NoM8cbjs5TZKZtLol/tDoHh8arD63&#10;R6vgxeDj1/P3IV5CtXuP2dqaRf2m1M0orpcgAsbwZ4ZffEaHkpn27kjGi07BdJalbGWR8mTD3X26&#10;ALFXkM1ZyLKQ/yuUPwAAAP//AwBQSwECLQAUAAYACAAAACEA5JnDwPsAAADhAQAAEwAAAAAAAAAA&#10;AAAAAAAAAAAAW0NvbnRlbnRfVHlwZXNdLnhtbFBLAQItABQABgAIAAAAIQAjsmrh1wAAAJQBAAAL&#10;AAAAAAAAAAAAAAAAACwBAABfcmVscy8ucmVsc1BLAQItABQABgAIAAAAIQAVwJT5eQIAAOgEAAAO&#10;AAAAAAAAAAAAAAAAACwCAABkcnMvZTJvRG9jLnhtbFBLAQItABQABgAIAAAAIQB3Es7Y4AAAAAoB&#10;AAAPAAAAAAAAAAAAAAAAANEEAABkcnMvZG93bnJldi54bWxQSwUGAAAAAAQABADzAAAA3gUAAAAA&#10;" filled="f" strokecolor="#8a1e82" strokeweight="2pt">
                <v:path arrowok="t"/>
                <v:textbox>
                  <w:txbxContent>
                    <w:p w14:paraId="68ACD4E7" w14:textId="106C394E" w:rsidR="004E5B2C" w:rsidRPr="00334D6D" w:rsidRDefault="004E5B2C" w:rsidP="00AC3699">
                      <w:pPr>
                        <w:rPr>
                          <w:rFonts w:ascii="Arial" w:hAnsi="Arial" w:cs="Arial"/>
                          <w:color w:val="8A1E82"/>
                          <w:sz w:val="18"/>
                          <w:szCs w:val="18"/>
                        </w:rPr>
                      </w:pPr>
                      <w:r w:rsidRPr="00334D6D">
                        <w:rPr>
                          <w:rFonts w:ascii="Arial" w:hAnsi="Arial" w:cs="Arial"/>
                          <w:color w:val="8A1E82"/>
                          <w:sz w:val="18"/>
                          <w:szCs w:val="18"/>
                        </w:rPr>
                        <w:t>Radio, television, and interactive media</w:t>
                      </w:r>
                      <w:r w:rsidR="00684B55" w:rsidRPr="00334D6D">
                        <w:rPr>
                          <w:rFonts w:ascii="Arial" w:hAnsi="Arial" w:cs="Arial"/>
                          <w:color w:val="8A1E82"/>
                          <w:sz w:val="18"/>
                          <w:szCs w:val="18"/>
                        </w:rPr>
                        <w:t>,</w:t>
                      </w:r>
                      <w:r w:rsidRPr="00334D6D">
                        <w:rPr>
                          <w:rFonts w:ascii="Arial" w:hAnsi="Arial" w:cs="Arial"/>
                          <w:color w:val="8A1E82"/>
                          <w:sz w:val="18"/>
                          <w:szCs w:val="18"/>
                        </w:rPr>
                        <w:t xml:space="preserve"> </w:t>
                      </w:r>
                      <w:r w:rsidR="00684B55" w:rsidRPr="00334D6D">
                        <w:rPr>
                          <w:rFonts w:ascii="Arial" w:hAnsi="Arial" w:cs="Arial"/>
                          <w:color w:val="8A1E82"/>
                          <w:sz w:val="18"/>
                          <w:szCs w:val="18"/>
                        </w:rPr>
                        <w:t xml:space="preserve">such as </w:t>
                      </w:r>
                      <w:r w:rsidRPr="00334D6D">
                        <w:rPr>
                          <w:rFonts w:ascii="Arial" w:hAnsi="Arial" w:cs="Arial"/>
                          <w:color w:val="8A1E82"/>
                          <w:sz w:val="18"/>
                          <w:szCs w:val="18"/>
                        </w:rPr>
                        <w:t>Facebook and Twitter</w:t>
                      </w:r>
                      <w:r w:rsidR="00684B55" w:rsidRPr="00334D6D">
                        <w:rPr>
                          <w:rFonts w:ascii="Arial" w:hAnsi="Arial" w:cs="Arial"/>
                          <w:color w:val="8A1E82"/>
                          <w:sz w:val="18"/>
                          <w:szCs w:val="18"/>
                        </w:rPr>
                        <w:t>,</w:t>
                      </w:r>
                      <w:r w:rsidRPr="00334D6D">
                        <w:rPr>
                          <w:rFonts w:ascii="Arial" w:hAnsi="Arial" w:cs="Arial"/>
                          <w:color w:val="8A1E82"/>
                          <w:sz w:val="18"/>
                          <w:szCs w:val="18"/>
                        </w:rPr>
                        <w:t xml:space="preserve"> have the advantage of making many people aware of the existence of a grievance mechanism. It is important to include contact information in these messages</w:t>
                      </w:r>
                      <w:r w:rsidR="00684B55" w:rsidRPr="00334D6D">
                        <w:rPr>
                          <w:rFonts w:ascii="Arial" w:hAnsi="Arial" w:cs="Arial"/>
                          <w:color w:val="8A1E82"/>
                          <w:sz w:val="18"/>
                          <w:szCs w:val="18"/>
                        </w:rPr>
                        <w:t>,</w:t>
                      </w:r>
                      <w:r w:rsidRPr="00334D6D">
                        <w:rPr>
                          <w:rFonts w:ascii="Arial" w:hAnsi="Arial" w:cs="Arial"/>
                          <w:color w:val="8A1E82"/>
                          <w:sz w:val="18"/>
                          <w:szCs w:val="18"/>
                        </w:rPr>
                        <w:t xml:space="preserve"> so that people can follow up in person if they have questions or concerns they wish to discuss.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A498346" wp14:editId="3EAED354">
                <wp:simplePos x="0" y="0"/>
                <wp:positionH relativeFrom="column">
                  <wp:posOffset>3848100</wp:posOffset>
                </wp:positionH>
                <wp:positionV relativeFrom="paragraph">
                  <wp:posOffset>148201</wp:posOffset>
                </wp:positionV>
                <wp:extent cx="1962150" cy="2854960"/>
                <wp:effectExtent l="0" t="0" r="19050" b="1524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0" cy="2854960"/>
                        </a:xfrm>
                        <a:prstGeom prst="roundRect">
                          <a:avLst/>
                        </a:prstGeom>
                        <a:noFill/>
                        <a:ln w="25400" cap="flat" cmpd="sng" algn="ctr">
                          <a:solidFill>
                            <a:srgbClr val="F17B19"/>
                          </a:solidFill>
                          <a:prstDash val="solid"/>
                        </a:ln>
                        <a:effectLst/>
                      </wps:spPr>
                      <wps:txbx>
                        <w:txbxContent>
                          <w:p w14:paraId="1B07C299" w14:textId="5B9EC03C" w:rsidR="004E5B2C" w:rsidRPr="00334D6D" w:rsidRDefault="004E5B2C" w:rsidP="00EF54C1">
                            <w:pPr>
                              <w:spacing w:after="0" w:line="240" w:lineRule="auto"/>
                              <w:rPr>
                                <w:rFonts w:ascii="Arial" w:hAnsi="Arial" w:cs="Arial"/>
                                <w:color w:val="F17B19"/>
                                <w:sz w:val="18"/>
                                <w:szCs w:val="18"/>
                              </w:rPr>
                            </w:pPr>
                            <w:r w:rsidRPr="00334D6D">
                              <w:rPr>
                                <w:rFonts w:ascii="Arial" w:hAnsi="Arial" w:cs="Arial"/>
                                <w:color w:val="F17B19"/>
                                <w:sz w:val="18"/>
                                <w:szCs w:val="18"/>
                              </w:rPr>
                              <w:t>Print media can be helpful in introducing community members to grievance mechanisms. Leaflets and reference guides in the form of comics can help</w:t>
                            </w:r>
                            <w:r w:rsidR="00684B55" w:rsidRPr="00334D6D">
                              <w:rPr>
                                <w:rFonts w:ascii="Arial" w:hAnsi="Arial" w:cs="Arial"/>
                                <w:color w:val="F17B19"/>
                                <w:sz w:val="18"/>
                                <w:szCs w:val="18"/>
                              </w:rPr>
                              <w:t xml:space="preserve"> </w:t>
                            </w:r>
                            <w:r w:rsidRPr="00334D6D">
                              <w:rPr>
                                <w:rFonts w:ascii="Arial" w:hAnsi="Arial" w:cs="Arial"/>
                                <w:color w:val="F17B19"/>
                                <w:sz w:val="18"/>
                                <w:szCs w:val="18"/>
                              </w:rPr>
                              <w:t xml:space="preserve">explain how the grievance resolution process works. It is important to include contact information in these outlets, as follow-up by the grievance mechanism company staff in person will generally be required to answer questions and address concerns.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9" style="position:absolute;margin-left:303pt;margin-top:11.65pt;width:154.5pt;height:22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KdS3oCAADoBAAADgAAAGRycy9lMm9Eb2MueG1srFTJbtswEL0X6D8QvDeyXDuOhciBm8BFASMJ&#10;khQ5jylqQSkOS9KW0q/vkJKztaeiF2LIeZrlzRudX/StYgdpXYM65+nJhDOpBRaNrnL+/WHz6Ywz&#10;50EXoFDLnD9Jxy9WHz+cdyaTU6xRFdIyCqJd1pmc196bLEmcqGUL7gSN1OQs0bbg6WqrpLDQUfRW&#10;JdPJ5DTp0BbGopDO0evV4OSrGL8spfA3ZemkZyrnVJuPp43nLpzJ6hyyyoKpGzGWAf9QRQuNpqTP&#10;oa7AA9vb5o9QbSMsOiz9icA2wbJshIw9UDfp5F039zUYGXshcpx5psn9v7Di+nBrWVPkfMGZhpZG&#10;dId7XciC3RF5oCsl2SLQ1BmXEfre3NrQqDNbFD8cOZI3nnBxI6YvbRuw1CbrI+dPz5zL3jNBj+ny&#10;dJrOaTSCfNOz+Wx5GqeSQHb83Fjnv0psWTBybkN9obhIOBy2zocqIDviQkqNm0apOF2lWUeh57NJ&#10;yAIkslKBJ7M11LbTFWegKlKv8DaGdKiaInwe+7TV7lJZdgBS0CZdfEmXgQ1K9wYWcl+BqwdcdI0w&#10;pUMYGbU4lvrCUbB8v+vjBD4fad5h8URTsTjI1RmxaSj+Fpy/BUv6pEZo5/wNHaVC6g5Hi7Ma7a+/&#10;vQc8yYa8nHWkd+r85x6s5Ex90ySoZTqbhQWJl9l8MaWLfe3ZvfbofXuJREhK221ENAPeq6NZWmwf&#10;aTXXISu5QAvKnXPifTAv/bCFtNpCrtcRRCthwG/1vREhdOAt8PrQP4I14/Q9Cecaj5sB2bv5D9hB&#10;Aeu9x7KJ4gg8D6yOeqV1ikMcVz/s6+t7RL38oFa/AQAA//8DAFBLAwQUAAYACAAAACEAS3Bl4d0A&#10;AAAKAQAADwAAAGRycy9kb3ducmV2LnhtbEyPwU6DQBCG7ya+w2ZMvNkFqtgiS0OMXrw0og+wsFMg&#10;ZWcJuwX69o4nPc7Mn2++Pz+sdhAzTr53pCDeRCCQGmd6ahV8f70/7ED4oMnowREquKKHQ3F7k+vM&#10;uIU+ca5CKxhCPtMKuhDGTErfdGi137gRiW8nN1kdeJxaaSa9MNwOMomiVFrdE3/o9IivHTbn6mIV&#10;pGacj3F9DB9vi22u56rsZVUqdX+3li8gAq7hLwy/+qwOBTvV7kLGi4EZUcpdgoJkuwXBgX38xIta&#10;weNzsgdZ5PJ/heIHAAD//wMAUEsBAi0AFAAGAAgAAAAhAOSZw8D7AAAA4QEAABMAAAAAAAAAAAAA&#10;AAAAAAAAAFtDb250ZW50X1R5cGVzXS54bWxQSwECLQAUAAYACAAAACEAI7Jq4dcAAACUAQAACwAA&#10;AAAAAAAAAAAAAAAsAQAAX3JlbHMvLnJlbHNQSwECLQAUAAYACAAAACEALFKdS3oCAADoBAAADgAA&#10;AAAAAAAAAAAAAAAsAgAAZHJzL2Uyb0RvYy54bWxQSwECLQAUAAYACAAAACEAS3Bl4d0AAAAKAQAA&#10;DwAAAAAAAAAAAAAAAADSBAAAZHJzL2Rvd25yZXYueG1sUEsFBgAAAAAEAAQA8wAAANwFAAAAAA==&#10;" filled="f" strokecolor="#f17b19" strokeweight="2pt">
                <v:path arrowok="t"/>
                <v:textbox>
                  <w:txbxContent>
                    <w:p w14:paraId="1B07C299" w14:textId="5B9EC03C" w:rsidR="004E5B2C" w:rsidRPr="00334D6D" w:rsidRDefault="004E5B2C" w:rsidP="00EF54C1">
                      <w:pPr>
                        <w:spacing w:after="0" w:line="240" w:lineRule="auto"/>
                        <w:rPr>
                          <w:rFonts w:ascii="Arial" w:hAnsi="Arial" w:cs="Arial"/>
                          <w:color w:val="F17B19"/>
                          <w:sz w:val="18"/>
                          <w:szCs w:val="18"/>
                        </w:rPr>
                      </w:pPr>
                      <w:r w:rsidRPr="00334D6D">
                        <w:rPr>
                          <w:rFonts w:ascii="Arial" w:hAnsi="Arial" w:cs="Arial"/>
                          <w:color w:val="F17B19"/>
                          <w:sz w:val="18"/>
                          <w:szCs w:val="18"/>
                        </w:rPr>
                        <w:t>Print media can be helpful in introducing community members to grievance mechanisms. Leaflets and reference guides in the form of comics can help</w:t>
                      </w:r>
                      <w:r w:rsidR="00684B55" w:rsidRPr="00334D6D">
                        <w:rPr>
                          <w:rFonts w:ascii="Arial" w:hAnsi="Arial" w:cs="Arial"/>
                          <w:color w:val="F17B19"/>
                          <w:sz w:val="18"/>
                          <w:szCs w:val="18"/>
                        </w:rPr>
                        <w:t xml:space="preserve"> </w:t>
                      </w:r>
                      <w:r w:rsidRPr="00334D6D">
                        <w:rPr>
                          <w:rFonts w:ascii="Arial" w:hAnsi="Arial" w:cs="Arial"/>
                          <w:color w:val="F17B19"/>
                          <w:sz w:val="18"/>
                          <w:szCs w:val="18"/>
                        </w:rPr>
                        <w:t xml:space="preserve">explain how the grievance resolution process works. It is important to include contact information in these outlets, as follow-up by the grievance mechanism company staff in person will generally be required to answer questions and address concerns. </w:t>
                      </w:r>
                    </w:p>
                  </w:txbxContent>
                </v:textbox>
              </v:roundrect>
            </w:pict>
          </mc:Fallback>
        </mc:AlternateContent>
      </w:r>
      <w:r>
        <w:rPr>
          <w:rFonts w:ascii="Arial" w:hAnsi="Arial"/>
          <w:b/>
          <w:sz w:val="20"/>
          <w:szCs w:val="20"/>
        </w:rPr>
        <w:br w:type="page"/>
      </w:r>
    </w:p>
    <w:p w14:paraId="484C9100" w14:textId="77777777" w:rsidR="00034472" w:rsidRDefault="00034472" w:rsidP="00034472">
      <w:pPr>
        <w:rPr>
          <w:rFonts w:ascii="Arial" w:hAnsi="Arial"/>
          <w:b/>
          <w:sz w:val="20"/>
          <w:szCs w:val="20"/>
        </w:rPr>
      </w:pPr>
      <w:r>
        <w:rPr>
          <w:rFonts w:ascii="Arial" w:hAnsi="Arial"/>
          <w:b/>
          <w:sz w:val="20"/>
          <w:szCs w:val="20"/>
        </w:rPr>
        <w:lastRenderedPageBreak/>
        <w:t xml:space="preserve">Providing Proper Access </w:t>
      </w:r>
    </w:p>
    <w:p w14:paraId="3C638185" w14:textId="2E3D45BA" w:rsidR="00034472" w:rsidRDefault="00034472" w:rsidP="00034472">
      <w:pPr>
        <w:rPr>
          <w:rFonts w:ascii="Arial" w:hAnsi="Arial"/>
          <w:sz w:val="20"/>
          <w:szCs w:val="20"/>
        </w:rPr>
      </w:pPr>
      <w:r>
        <w:rPr>
          <w:rFonts w:ascii="Arial" w:hAnsi="Arial"/>
          <w:sz w:val="20"/>
          <w:szCs w:val="20"/>
        </w:rPr>
        <w:t>The</w:t>
      </w:r>
      <w:r w:rsidRPr="00EB15CE">
        <w:rPr>
          <w:rFonts w:ascii="Arial" w:hAnsi="Arial"/>
          <w:sz w:val="20"/>
          <w:szCs w:val="20"/>
        </w:rPr>
        <w:t xml:space="preserve"> </w:t>
      </w:r>
      <w:r>
        <w:rPr>
          <w:rFonts w:ascii="Arial" w:hAnsi="Arial"/>
          <w:sz w:val="20"/>
          <w:szCs w:val="20"/>
        </w:rPr>
        <w:t xml:space="preserve">most effective </w:t>
      </w:r>
      <w:r w:rsidRPr="00EB15CE">
        <w:rPr>
          <w:rFonts w:ascii="Arial" w:hAnsi="Arial"/>
          <w:sz w:val="20"/>
          <w:szCs w:val="20"/>
        </w:rPr>
        <w:t xml:space="preserve">access points </w:t>
      </w:r>
      <w:r>
        <w:rPr>
          <w:rFonts w:ascii="Arial" w:hAnsi="Arial"/>
          <w:sz w:val="20"/>
          <w:szCs w:val="20"/>
        </w:rPr>
        <w:t xml:space="preserve">for the community to the grievance mechanism will depend on the local context, but will always require communication in the local language or dialect. In some cases, people will want to voice their concerns in person and may even want to use a public forum. In other instances, people may fear </w:t>
      </w:r>
      <w:r>
        <w:rPr>
          <w:rFonts w:ascii="Arial" w:hAnsi="Arial"/>
          <w:sz w:val="20"/>
          <w:szCs w:val="20"/>
        </w:rPr>
        <w:t>reprisal from</w:t>
      </w:r>
      <w:r>
        <w:rPr>
          <w:rFonts w:ascii="Arial" w:hAnsi="Arial"/>
          <w:sz w:val="20"/>
          <w:szCs w:val="20"/>
        </w:rPr>
        <w:t xml:space="preserve"> either the company or other community members. Therefore, it is important to have a good mix of confidential, anonymous, semi-public, and public ways to access a grievance mechanism. Some examples of access points include:</w:t>
      </w:r>
    </w:p>
    <w:p w14:paraId="506CA0F5" w14:textId="77777777" w:rsidR="00034472" w:rsidRPr="00F45C21" w:rsidRDefault="00034472" w:rsidP="00034472">
      <w:pPr>
        <w:numPr>
          <w:ilvl w:val="0"/>
          <w:numId w:val="1"/>
        </w:numPr>
        <w:spacing w:after="0" w:line="240" w:lineRule="auto"/>
        <w:contextualSpacing/>
      </w:pPr>
      <w:r w:rsidRPr="00F45C21">
        <w:rPr>
          <w:rFonts w:ascii="Arial" w:eastAsiaTheme="minorEastAsia" w:hAnsi="Arial" w:cs="Arial"/>
          <w:sz w:val="20"/>
          <w:szCs w:val="20"/>
          <w:lang w:eastAsia="ja-JP"/>
        </w:rPr>
        <w:t>Community Liaison Officers</w:t>
      </w:r>
      <w:r>
        <w:rPr>
          <w:rFonts w:ascii="Arial" w:eastAsiaTheme="minorEastAsia" w:hAnsi="Arial" w:cs="Arial"/>
          <w:sz w:val="20"/>
          <w:szCs w:val="20"/>
          <w:lang w:eastAsia="ja-JP"/>
        </w:rPr>
        <w:t xml:space="preserve"> (confidential);</w:t>
      </w:r>
    </w:p>
    <w:p w14:paraId="7267C871" w14:textId="08337DCA" w:rsidR="00034472" w:rsidRPr="00F45C21" w:rsidRDefault="00034472" w:rsidP="00034472">
      <w:pPr>
        <w:numPr>
          <w:ilvl w:val="0"/>
          <w:numId w:val="1"/>
        </w:numPr>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C</w:t>
      </w:r>
      <w:r>
        <w:rPr>
          <w:rFonts w:ascii="Arial" w:eastAsiaTheme="minorEastAsia" w:hAnsi="Arial" w:cs="Arial"/>
          <w:sz w:val="20"/>
          <w:szCs w:val="20"/>
          <w:lang w:eastAsia="ja-JP"/>
        </w:rPr>
        <w:t>omplaint h</w:t>
      </w:r>
      <w:r w:rsidRPr="00F45C21">
        <w:rPr>
          <w:rFonts w:ascii="Arial" w:eastAsiaTheme="minorEastAsia" w:hAnsi="Arial" w:cs="Arial"/>
          <w:sz w:val="20"/>
          <w:szCs w:val="20"/>
          <w:lang w:eastAsia="ja-JP"/>
        </w:rPr>
        <w:t>otline</w:t>
      </w:r>
      <w:r>
        <w:rPr>
          <w:rFonts w:ascii="Arial" w:eastAsiaTheme="minorEastAsia" w:hAnsi="Arial" w:cs="Arial"/>
          <w:sz w:val="20"/>
          <w:szCs w:val="20"/>
          <w:lang w:eastAsia="ja-JP"/>
        </w:rPr>
        <w:t xml:space="preserve"> (confidential or anonymous);</w:t>
      </w:r>
    </w:p>
    <w:p w14:paraId="12819768" w14:textId="0EFA217F" w:rsidR="00034472" w:rsidRPr="00F45C21" w:rsidRDefault="00034472" w:rsidP="00034472">
      <w:pPr>
        <w:numPr>
          <w:ilvl w:val="0"/>
          <w:numId w:val="1"/>
        </w:numPr>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w:t>
      </w:r>
      <w:r w:rsidRPr="00F45C21">
        <w:rPr>
          <w:rFonts w:ascii="Arial" w:eastAsiaTheme="minorEastAsia" w:hAnsi="Arial" w:cs="Arial"/>
          <w:sz w:val="20"/>
          <w:szCs w:val="20"/>
          <w:lang w:eastAsia="ja-JP"/>
        </w:rPr>
        <w:t>eb page</w:t>
      </w:r>
      <w:r>
        <w:rPr>
          <w:rFonts w:ascii="Arial" w:eastAsiaTheme="minorEastAsia" w:hAnsi="Arial" w:cs="Arial"/>
          <w:sz w:val="20"/>
          <w:szCs w:val="20"/>
          <w:lang w:eastAsia="ja-JP"/>
        </w:rPr>
        <w:t xml:space="preserve"> (confidential or anonymous);</w:t>
      </w:r>
    </w:p>
    <w:p w14:paraId="109A2A1B" w14:textId="3916DAB9" w:rsidR="00034472" w:rsidRPr="00F45C21" w:rsidRDefault="00034472" w:rsidP="00034472">
      <w:pPr>
        <w:numPr>
          <w:ilvl w:val="0"/>
          <w:numId w:val="1"/>
        </w:numPr>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E</w:t>
      </w:r>
      <w:r>
        <w:rPr>
          <w:rFonts w:ascii="Arial" w:eastAsiaTheme="minorEastAsia" w:hAnsi="Arial" w:cs="Arial"/>
          <w:sz w:val="20"/>
          <w:szCs w:val="20"/>
          <w:lang w:eastAsia="ja-JP"/>
        </w:rPr>
        <w:t>-</w:t>
      </w:r>
      <w:r w:rsidRPr="00F45C21">
        <w:rPr>
          <w:rFonts w:ascii="Arial" w:eastAsiaTheme="minorEastAsia" w:hAnsi="Arial" w:cs="Arial"/>
          <w:sz w:val="20"/>
          <w:szCs w:val="20"/>
          <w:lang w:eastAsia="ja-JP"/>
        </w:rPr>
        <w:t>mail address</w:t>
      </w:r>
      <w:r>
        <w:rPr>
          <w:rFonts w:ascii="Arial" w:eastAsiaTheme="minorEastAsia" w:hAnsi="Arial" w:cs="Arial"/>
          <w:sz w:val="20"/>
          <w:szCs w:val="20"/>
          <w:lang w:eastAsia="ja-JP"/>
        </w:rPr>
        <w:t xml:space="preserve"> (confidential or semi-public);</w:t>
      </w:r>
    </w:p>
    <w:p w14:paraId="054DFF91" w14:textId="54EEC123" w:rsidR="00034472" w:rsidRDefault="00034472" w:rsidP="00034472">
      <w:pPr>
        <w:numPr>
          <w:ilvl w:val="0"/>
          <w:numId w:val="1"/>
        </w:numPr>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T</w:t>
      </w:r>
      <w:r w:rsidRPr="00F45C21">
        <w:rPr>
          <w:rFonts w:ascii="Arial" w:eastAsiaTheme="minorEastAsia" w:hAnsi="Arial" w:cs="Arial"/>
          <w:sz w:val="20"/>
          <w:szCs w:val="20"/>
          <w:lang w:eastAsia="ja-JP"/>
        </w:rPr>
        <w:t>ext messaging</w:t>
      </w:r>
      <w:r>
        <w:rPr>
          <w:rFonts w:ascii="Arial" w:eastAsiaTheme="minorEastAsia" w:hAnsi="Arial" w:cs="Arial"/>
          <w:sz w:val="20"/>
          <w:szCs w:val="20"/>
          <w:lang w:eastAsia="ja-JP"/>
        </w:rPr>
        <w:t xml:space="preserve"> (confidential or semi-public);</w:t>
      </w:r>
    </w:p>
    <w:p w14:paraId="1C52022B" w14:textId="135F9873" w:rsidR="00034472" w:rsidRPr="00F45C21" w:rsidRDefault="00034472" w:rsidP="00034472">
      <w:pPr>
        <w:numPr>
          <w:ilvl w:val="0"/>
          <w:numId w:val="1"/>
        </w:numPr>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C</w:t>
      </w:r>
      <w:r w:rsidRPr="005A4430">
        <w:rPr>
          <w:rFonts w:ascii="Arial" w:eastAsiaTheme="minorEastAsia" w:hAnsi="Arial" w:cs="Arial"/>
          <w:sz w:val="20"/>
          <w:szCs w:val="20"/>
          <w:lang w:eastAsia="ja-JP"/>
        </w:rPr>
        <w:t xml:space="preserve">omplaint box in </w:t>
      </w:r>
      <w:r>
        <w:rPr>
          <w:rFonts w:ascii="Arial" w:eastAsiaTheme="minorEastAsia" w:hAnsi="Arial" w:cs="Arial"/>
          <w:sz w:val="20"/>
          <w:szCs w:val="20"/>
          <w:lang w:eastAsia="ja-JP"/>
        </w:rPr>
        <w:t xml:space="preserve">a </w:t>
      </w:r>
      <w:r w:rsidRPr="005A4430">
        <w:rPr>
          <w:rFonts w:ascii="Arial" w:eastAsiaTheme="minorEastAsia" w:hAnsi="Arial" w:cs="Arial"/>
          <w:sz w:val="20"/>
          <w:szCs w:val="20"/>
          <w:lang w:eastAsia="ja-JP"/>
        </w:rPr>
        <w:t>public area</w:t>
      </w:r>
      <w:r>
        <w:rPr>
          <w:rFonts w:ascii="Arial" w:eastAsiaTheme="minorEastAsia" w:hAnsi="Arial" w:cs="Arial"/>
          <w:sz w:val="20"/>
          <w:szCs w:val="20"/>
          <w:lang w:eastAsia="ja-JP"/>
        </w:rPr>
        <w:t xml:space="preserve"> (anonymous, confidential, or semi-public);</w:t>
      </w:r>
    </w:p>
    <w:p w14:paraId="1129F0B5" w14:textId="1A7F9A37" w:rsidR="00034472" w:rsidRDefault="00034472" w:rsidP="00034472">
      <w:pPr>
        <w:pStyle w:val="ListParagraph"/>
        <w:numPr>
          <w:ilvl w:val="0"/>
          <w:numId w:val="2"/>
        </w:numPr>
        <w:rPr>
          <w:rFonts w:ascii="Arial" w:eastAsiaTheme="minorEastAsia" w:hAnsi="Arial" w:cs="Arial"/>
          <w:sz w:val="20"/>
          <w:szCs w:val="20"/>
          <w:lang w:eastAsia="ja-JP"/>
        </w:rPr>
      </w:pPr>
      <w:r>
        <w:rPr>
          <w:rFonts w:ascii="Arial" w:eastAsiaTheme="minorEastAsia" w:hAnsi="Arial" w:cs="Arial"/>
          <w:sz w:val="20"/>
          <w:szCs w:val="20"/>
          <w:lang w:eastAsia="ja-JP"/>
        </w:rPr>
        <w:t>C</w:t>
      </w:r>
      <w:bookmarkStart w:id="0" w:name="_GoBack"/>
      <w:bookmarkEnd w:id="0"/>
      <w:r w:rsidRPr="00F45C21">
        <w:rPr>
          <w:rFonts w:ascii="Arial" w:eastAsiaTheme="minorEastAsia" w:hAnsi="Arial" w:cs="Arial"/>
          <w:sz w:val="20"/>
          <w:szCs w:val="20"/>
          <w:lang w:eastAsia="ja-JP"/>
        </w:rPr>
        <w:t>ommunity leaders</w:t>
      </w:r>
      <w:r>
        <w:rPr>
          <w:rFonts w:ascii="Arial" w:eastAsiaTheme="minorEastAsia" w:hAnsi="Arial" w:cs="Arial"/>
          <w:sz w:val="20"/>
          <w:szCs w:val="20"/>
          <w:lang w:eastAsia="ja-JP"/>
        </w:rPr>
        <w:t xml:space="preserve"> (confidential, semi-public, or public); and </w:t>
      </w:r>
    </w:p>
    <w:p w14:paraId="1104155E" w14:textId="77777777" w:rsidR="00034472" w:rsidRPr="00EB15CE" w:rsidRDefault="00034472" w:rsidP="00034472">
      <w:pPr>
        <w:pStyle w:val="ListParagraph"/>
        <w:numPr>
          <w:ilvl w:val="0"/>
          <w:numId w:val="2"/>
        </w:numPr>
        <w:rPr>
          <w:rFonts w:ascii="Arial" w:eastAsiaTheme="minorEastAsia" w:hAnsi="Arial" w:cs="Arial"/>
          <w:sz w:val="20"/>
          <w:szCs w:val="20"/>
          <w:lang w:eastAsia="ja-JP"/>
        </w:rPr>
      </w:pPr>
      <w:r w:rsidRPr="00EB15CE">
        <w:rPr>
          <w:rFonts w:ascii="Arial" w:eastAsiaTheme="minorEastAsia" w:hAnsi="Arial" w:cs="Arial"/>
          <w:sz w:val="20"/>
          <w:szCs w:val="20"/>
          <w:lang w:eastAsia="ja-JP"/>
        </w:rPr>
        <w:t>NGOs (</w:t>
      </w:r>
      <w:r>
        <w:rPr>
          <w:rFonts w:ascii="Arial" w:eastAsiaTheme="minorEastAsia" w:hAnsi="Arial" w:cs="Arial"/>
          <w:sz w:val="20"/>
          <w:szCs w:val="20"/>
          <w:lang w:eastAsia="ja-JP"/>
        </w:rPr>
        <w:t xml:space="preserve">anonymous, confidential, semi-public, or </w:t>
      </w:r>
      <w:r w:rsidRPr="00EB15CE">
        <w:rPr>
          <w:rFonts w:ascii="Arial" w:eastAsiaTheme="minorEastAsia" w:hAnsi="Arial" w:cs="Arial"/>
          <w:sz w:val="20"/>
          <w:szCs w:val="20"/>
          <w:lang w:eastAsia="ja-JP"/>
        </w:rPr>
        <w:t>public)</w:t>
      </w:r>
      <w:r>
        <w:rPr>
          <w:rFonts w:ascii="Arial" w:eastAsiaTheme="minorEastAsia" w:hAnsi="Arial" w:cs="Arial"/>
          <w:sz w:val="20"/>
          <w:szCs w:val="20"/>
          <w:lang w:eastAsia="ja-JP"/>
        </w:rPr>
        <w:t>.</w:t>
      </w:r>
      <w:r w:rsidRPr="00EB15CE">
        <w:rPr>
          <w:rFonts w:ascii="Arial" w:eastAsiaTheme="minorEastAsia" w:hAnsi="Arial" w:cs="Arial"/>
          <w:sz w:val="20"/>
          <w:szCs w:val="20"/>
          <w:lang w:eastAsia="ja-JP"/>
        </w:rPr>
        <w:t xml:space="preserve"> </w:t>
      </w:r>
    </w:p>
    <w:p w14:paraId="64B460CF" w14:textId="77777777" w:rsidR="00034472" w:rsidRPr="00A36152" w:rsidRDefault="00034472" w:rsidP="00034472">
      <w:pPr>
        <w:rPr>
          <w:rFonts w:ascii="Arial" w:hAnsi="Arial"/>
          <w:sz w:val="20"/>
          <w:szCs w:val="20"/>
        </w:rPr>
      </w:pPr>
      <w:r w:rsidRPr="009E63E8">
        <w:rPr>
          <w:rFonts w:ascii="Arial" w:eastAsiaTheme="minorEastAsia" w:hAnsi="Arial" w:cs="Arial"/>
          <w:sz w:val="20"/>
          <w:szCs w:val="20"/>
          <w:lang w:eastAsia="ja-JP"/>
        </w:rPr>
        <w:t>The import</w:t>
      </w:r>
      <w:r w:rsidRPr="00A36152">
        <w:rPr>
          <w:rFonts w:ascii="Arial" w:hAnsi="Arial"/>
          <w:sz w:val="20"/>
          <w:szCs w:val="20"/>
        </w:rPr>
        <w:t xml:space="preserve">ance of the proper type of access to a grievance mechanism should not be underestimated. Access that is intimidating or inaccessible is ineffective. Companies should avoid grievance mechanisms that are guarded by company security, located on company property where community members are forbidden, or in buildings that are often locked or too far from the community.  </w:t>
      </w:r>
    </w:p>
    <w:p w14:paraId="1452EB15" w14:textId="4D5B72B6" w:rsidR="00992F22" w:rsidRPr="00A36152" w:rsidRDefault="00992F22" w:rsidP="00034472">
      <w:pPr>
        <w:rPr>
          <w:rFonts w:ascii="Arial" w:hAnsi="Arial"/>
          <w:sz w:val="20"/>
          <w:szCs w:val="20"/>
        </w:rPr>
      </w:pPr>
    </w:p>
    <w:sectPr w:rsidR="00992F22" w:rsidRPr="00A36152" w:rsidSect="00AF1326">
      <w:headerReference w:type="default" r:id="rId15"/>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207833" w15:done="0"/>
  <w15:commentEx w15:paraId="7B46B98B" w15:paraIdParent="0C207833" w15:done="0"/>
  <w15:commentEx w15:paraId="18F378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D0013" w14:textId="77777777" w:rsidR="00557815" w:rsidRDefault="00557815" w:rsidP="00C27917">
      <w:pPr>
        <w:spacing w:after="0" w:line="240" w:lineRule="auto"/>
      </w:pPr>
      <w:r>
        <w:separator/>
      </w:r>
    </w:p>
  </w:endnote>
  <w:endnote w:type="continuationSeparator" w:id="0">
    <w:p w14:paraId="283689E8" w14:textId="77777777" w:rsidR="00557815" w:rsidRDefault="00557815" w:rsidP="00C27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3F635" w14:textId="77777777" w:rsidR="00557815" w:rsidRDefault="00557815" w:rsidP="00C27917">
      <w:pPr>
        <w:spacing w:after="0" w:line="240" w:lineRule="auto"/>
      </w:pPr>
      <w:r>
        <w:separator/>
      </w:r>
    </w:p>
  </w:footnote>
  <w:footnote w:type="continuationSeparator" w:id="0">
    <w:p w14:paraId="491F7DF3" w14:textId="77777777" w:rsidR="00557815" w:rsidRDefault="00557815" w:rsidP="00C279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2972" w:type="dxa"/>
      <w:tblInd w:w="-702" w:type="dxa"/>
      <w:tblLayout w:type="fixed"/>
      <w:tblLook w:val="0000" w:firstRow="0" w:lastRow="0" w:firstColumn="0" w:lastColumn="0" w:noHBand="0" w:noVBand="0"/>
    </w:tblPr>
    <w:tblGrid>
      <w:gridCol w:w="10530"/>
      <w:gridCol w:w="6750"/>
      <w:gridCol w:w="5692"/>
    </w:tblGrid>
    <w:tr w:rsidR="004E5B2C" w14:paraId="617D1E86" w14:textId="77777777" w:rsidTr="00EB15CE">
      <w:trPr>
        <w:trHeight w:val="810"/>
      </w:trPr>
      <w:tc>
        <w:tcPr>
          <w:tcW w:w="10530" w:type="dxa"/>
        </w:tcPr>
        <w:p w14:paraId="0F861F15" w14:textId="77777777" w:rsidR="004E5B2C" w:rsidRDefault="004E5B2C" w:rsidP="004E5B2C">
          <w:pPr>
            <w:pStyle w:val="Header"/>
            <w:tabs>
              <w:tab w:val="right" w:pos="4012"/>
            </w:tabs>
            <w:rPr>
              <w:rFonts w:ascii="Arial" w:hAnsi="Arial" w:cs="Arial"/>
              <w:sz w:val="28"/>
              <w:szCs w:val="28"/>
            </w:rPr>
          </w:pPr>
        </w:p>
        <w:p w14:paraId="2763216D" w14:textId="067600C5" w:rsidR="004E5B2C" w:rsidRPr="008A5931" w:rsidRDefault="004E5B2C" w:rsidP="00EB15CE">
          <w:pPr>
            <w:pStyle w:val="Header"/>
            <w:tabs>
              <w:tab w:val="right" w:pos="4012"/>
            </w:tabs>
            <w:jc w:val="center"/>
            <w:rPr>
              <w:rFonts w:ascii="Arial" w:hAnsi="Arial" w:cs="Arial"/>
              <w:sz w:val="28"/>
              <w:szCs w:val="28"/>
            </w:rPr>
          </w:pPr>
        </w:p>
      </w:tc>
      <w:tc>
        <w:tcPr>
          <w:tcW w:w="6750" w:type="dxa"/>
        </w:tcPr>
        <w:p w14:paraId="2106204D" w14:textId="77777777" w:rsidR="004E5B2C" w:rsidRDefault="004E5B2C" w:rsidP="004E5B2C">
          <w:pPr>
            <w:pStyle w:val="Header-RightAlign"/>
            <w:rPr>
              <w:vanish w:val="0"/>
            </w:rPr>
          </w:pPr>
        </w:p>
      </w:tc>
      <w:tc>
        <w:tcPr>
          <w:tcW w:w="5692" w:type="dxa"/>
        </w:tcPr>
        <w:p w14:paraId="0311EB50" w14:textId="77777777" w:rsidR="004E5B2C" w:rsidRDefault="004E5B2C" w:rsidP="004E5B2C">
          <w:pPr>
            <w:pStyle w:val="Header-RightAlign"/>
            <w:rPr>
              <w:vanish w:val="0"/>
            </w:rPr>
          </w:pPr>
        </w:p>
      </w:tc>
    </w:tr>
  </w:tbl>
  <w:p w14:paraId="1808D8F2" w14:textId="77777777" w:rsidR="004E5B2C" w:rsidRDefault="004E5B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14E5"/>
    <w:multiLevelType w:val="hybridMultilevel"/>
    <w:tmpl w:val="859C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FF55C3"/>
    <w:multiLevelType w:val="hybridMultilevel"/>
    <w:tmpl w:val="C8EC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Afua Laura Mensah">
    <w15:presenceInfo w15:providerId="AD" w15:userId="S-1-5-21-1385568035-1675961066-622671684-12204588"/>
  </w15:person>
  <w15:person w15:author="Mohammad Kassem Hamze">
    <w15:presenceInfo w15:providerId="AD" w15:userId="S-1-5-21-1385568035-1675961066-622671684-122612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F0A"/>
    <w:rsid w:val="00023A1E"/>
    <w:rsid w:val="00034472"/>
    <w:rsid w:val="000A6640"/>
    <w:rsid w:val="000B0CAE"/>
    <w:rsid w:val="000E5972"/>
    <w:rsid w:val="00113F0A"/>
    <w:rsid w:val="0011437E"/>
    <w:rsid w:val="00177E98"/>
    <w:rsid w:val="001A0E69"/>
    <w:rsid w:val="00207D02"/>
    <w:rsid w:val="0021285C"/>
    <w:rsid w:val="0026019F"/>
    <w:rsid w:val="0032260E"/>
    <w:rsid w:val="00334D6D"/>
    <w:rsid w:val="004916E6"/>
    <w:rsid w:val="004A37E0"/>
    <w:rsid w:val="004D2E63"/>
    <w:rsid w:val="004E5B2C"/>
    <w:rsid w:val="00545BC7"/>
    <w:rsid w:val="00557815"/>
    <w:rsid w:val="005A4430"/>
    <w:rsid w:val="005E5145"/>
    <w:rsid w:val="005E5D3F"/>
    <w:rsid w:val="0061737D"/>
    <w:rsid w:val="006731DE"/>
    <w:rsid w:val="00684B55"/>
    <w:rsid w:val="006D7663"/>
    <w:rsid w:val="007807BD"/>
    <w:rsid w:val="007E0B7A"/>
    <w:rsid w:val="0084273B"/>
    <w:rsid w:val="008F396D"/>
    <w:rsid w:val="00992F22"/>
    <w:rsid w:val="009E63E8"/>
    <w:rsid w:val="00A36152"/>
    <w:rsid w:val="00AC3699"/>
    <w:rsid w:val="00AF1326"/>
    <w:rsid w:val="00AF38A9"/>
    <w:rsid w:val="00BB5FCD"/>
    <w:rsid w:val="00BC1FFC"/>
    <w:rsid w:val="00BE51E1"/>
    <w:rsid w:val="00BF49D1"/>
    <w:rsid w:val="00C27917"/>
    <w:rsid w:val="00D54673"/>
    <w:rsid w:val="00E3318B"/>
    <w:rsid w:val="00E43388"/>
    <w:rsid w:val="00E47FA6"/>
    <w:rsid w:val="00E53540"/>
    <w:rsid w:val="00E644D3"/>
    <w:rsid w:val="00E90809"/>
    <w:rsid w:val="00EB15CE"/>
    <w:rsid w:val="00EF54C1"/>
    <w:rsid w:val="00F3196F"/>
    <w:rsid w:val="00F45C21"/>
    <w:rsid w:val="00F60B79"/>
    <w:rsid w:val="00F642B8"/>
    <w:rsid w:val="00F75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2F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917"/>
    <w:rPr>
      <w:rFonts w:ascii="Tahoma" w:hAnsi="Tahoma" w:cs="Tahoma"/>
      <w:sz w:val="16"/>
      <w:szCs w:val="16"/>
    </w:rPr>
  </w:style>
  <w:style w:type="paragraph" w:styleId="Header">
    <w:name w:val="header"/>
    <w:basedOn w:val="Normal"/>
    <w:link w:val="HeaderChar"/>
    <w:uiPriority w:val="99"/>
    <w:unhideWhenUsed/>
    <w:rsid w:val="00C27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917"/>
  </w:style>
  <w:style w:type="paragraph" w:styleId="Footer">
    <w:name w:val="footer"/>
    <w:basedOn w:val="Normal"/>
    <w:link w:val="FooterChar"/>
    <w:uiPriority w:val="99"/>
    <w:unhideWhenUsed/>
    <w:rsid w:val="00C27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917"/>
  </w:style>
  <w:style w:type="paragraph" w:customStyle="1" w:styleId="Header-RightAlign">
    <w:name w:val="Header - Right Align"/>
    <w:basedOn w:val="Header"/>
    <w:rsid w:val="00BF49D1"/>
    <w:pPr>
      <w:tabs>
        <w:tab w:val="clear" w:pos="4680"/>
        <w:tab w:val="clear" w:pos="9360"/>
        <w:tab w:val="center" w:pos="4320"/>
        <w:tab w:val="right" w:pos="8640"/>
      </w:tabs>
      <w:jc w:val="right"/>
    </w:pPr>
    <w:rPr>
      <w:rFonts w:ascii="Times New Roman" w:eastAsia="Times New Roman" w:hAnsi="Times New Roman" w:cs="Times New Roman"/>
      <w:smallCaps/>
      <w:vanish/>
      <w:sz w:val="18"/>
      <w:szCs w:val="20"/>
    </w:rPr>
  </w:style>
  <w:style w:type="paragraph" w:styleId="ListParagraph">
    <w:name w:val="List Paragraph"/>
    <w:basedOn w:val="Normal"/>
    <w:uiPriority w:val="34"/>
    <w:qFormat/>
    <w:rsid w:val="0032260E"/>
    <w:pPr>
      <w:ind w:left="720"/>
      <w:contextualSpacing/>
    </w:pPr>
  </w:style>
  <w:style w:type="character" w:styleId="CommentReference">
    <w:name w:val="annotation reference"/>
    <w:basedOn w:val="DefaultParagraphFont"/>
    <w:uiPriority w:val="99"/>
    <w:semiHidden/>
    <w:unhideWhenUsed/>
    <w:rsid w:val="006D7663"/>
    <w:rPr>
      <w:sz w:val="18"/>
      <w:szCs w:val="18"/>
    </w:rPr>
  </w:style>
  <w:style w:type="paragraph" w:styleId="CommentText">
    <w:name w:val="annotation text"/>
    <w:basedOn w:val="Normal"/>
    <w:link w:val="CommentTextChar"/>
    <w:uiPriority w:val="99"/>
    <w:semiHidden/>
    <w:unhideWhenUsed/>
    <w:rsid w:val="006D7663"/>
    <w:pPr>
      <w:spacing w:line="240" w:lineRule="auto"/>
    </w:pPr>
    <w:rPr>
      <w:sz w:val="24"/>
      <w:szCs w:val="24"/>
    </w:rPr>
  </w:style>
  <w:style w:type="character" w:customStyle="1" w:styleId="CommentTextChar">
    <w:name w:val="Comment Text Char"/>
    <w:basedOn w:val="DefaultParagraphFont"/>
    <w:link w:val="CommentText"/>
    <w:uiPriority w:val="99"/>
    <w:semiHidden/>
    <w:rsid w:val="006D7663"/>
    <w:rPr>
      <w:sz w:val="24"/>
      <w:szCs w:val="24"/>
    </w:rPr>
  </w:style>
  <w:style w:type="paragraph" w:styleId="CommentSubject">
    <w:name w:val="annotation subject"/>
    <w:basedOn w:val="CommentText"/>
    <w:next w:val="CommentText"/>
    <w:link w:val="CommentSubjectChar"/>
    <w:uiPriority w:val="99"/>
    <w:semiHidden/>
    <w:unhideWhenUsed/>
    <w:rsid w:val="006D7663"/>
    <w:rPr>
      <w:b/>
      <w:bCs/>
      <w:sz w:val="20"/>
      <w:szCs w:val="20"/>
    </w:rPr>
  </w:style>
  <w:style w:type="character" w:customStyle="1" w:styleId="CommentSubjectChar">
    <w:name w:val="Comment Subject Char"/>
    <w:basedOn w:val="CommentTextChar"/>
    <w:link w:val="CommentSubject"/>
    <w:uiPriority w:val="99"/>
    <w:semiHidden/>
    <w:rsid w:val="006D7663"/>
    <w:rPr>
      <w:b/>
      <w:bCs/>
      <w:sz w:val="20"/>
      <w:szCs w:val="20"/>
    </w:rPr>
  </w:style>
  <w:style w:type="paragraph" w:styleId="Revision">
    <w:name w:val="Revision"/>
    <w:hidden/>
    <w:uiPriority w:val="99"/>
    <w:semiHidden/>
    <w:rsid w:val="00E47FA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917"/>
    <w:rPr>
      <w:rFonts w:ascii="Tahoma" w:hAnsi="Tahoma" w:cs="Tahoma"/>
      <w:sz w:val="16"/>
      <w:szCs w:val="16"/>
    </w:rPr>
  </w:style>
  <w:style w:type="paragraph" w:styleId="Header">
    <w:name w:val="header"/>
    <w:basedOn w:val="Normal"/>
    <w:link w:val="HeaderChar"/>
    <w:uiPriority w:val="99"/>
    <w:unhideWhenUsed/>
    <w:rsid w:val="00C27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917"/>
  </w:style>
  <w:style w:type="paragraph" w:styleId="Footer">
    <w:name w:val="footer"/>
    <w:basedOn w:val="Normal"/>
    <w:link w:val="FooterChar"/>
    <w:uiPriority w:val="99"/>
    <w:unhideWhenUsed/>
    <w:rsid w:val="00C27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917"/>
  </w:style>
  <w:style w:type="paragraph" w:customStyle="1" w:styleId="Header-RightAlign">
    <w:name w:val="Header - Right Align"/>
    <w:basedOn w:val="Header"/>
    <w:rsid w:val="00BF49D1"/>
    <w:pPr>
      <w:tabs>
        <w:tab w:val="clear" w:pos="4680"/>
        <w:tab w:val="clear" w:pos="9360"/>
        <w:tab w:val="center" w:pos="4320"/>
        <w:tab w:val="right" w:pos="8640"/>
      </w:tabs>
      <w:jc w:val="right"/>
    </w:pPr>
    <w:rPr>
      <w:rFonts w:ascii="Times New Roman" w:eastAsia="Times New Roman" w:hAnsi="Times New Roman" w:cs="Times New Roman"/>
      <w:smallCaps/>
      <w:vanish/>
      <w:sz w:val="18"/>
      <w:szCs w:val="20"/>
    </w:rPr>
  </w:style>
  <w:style w:type="paragraph" w:styleId="ListParagraph">
    <w:name w:val="List Paragraph"/>
    <w:basedOn w:val="Normal"/>
    <w:uiPriority w:val="34"/>
    <w:qFormat/>
    <w:rsid w:val="0032260E"/>
    <w:pPr>
      <w:ind w:left="720"/>
      <w:contextualSpacing/>
    </w:pPr>
  </w:style>
  <w:style w:type="character" w:styleId="CommentReference">
    <w:name w:val="annotation reference"/>
    <w:basedOn w:val="DefaultParagraphFont"/>
    <w:uiPriority w:val="99"/>
    <w:semiHidden/>
    <w:unhideWhenUsed/>
    <w:rsid w:val="006D7663"/>
    <w:rPr>
      <w:sz w:val="18"/>
      <w:szCs w:val="18"/>
    </w:rPr>
  </w:style>
  <w:style w:type="paragraph" w:styleId="CommentText">
    <w:name w:val="annotation text"/>
    <w:basedOn w:val="Normal"/>
    <w:link w:val="CommentTextChar"/>
    <w:uiPriority w:val="99"/>
    <w:semiHidden/>
    <w:unhideWhenUsed/>
    <w:rsid w:val="006D7663"/>
    <w:pPr>
      <w:spacing w:line="240" w:lineRule="auto"/>
    </w:pPr>
    <w:rPr>
      <w:sz w:val="24"/>
      <w:szCs w:val="24"/>
    </w:rPr>
  </w:style>
  <w:style w:type="character" w:customStyle="1" w:styleId="CommentTextChar">
    <w:name w:val="Comment Text Char"/>
    <w:basedOn w:val="DefaultParagraphFont"/>
    <w:link w:val="CommentText"/>
    <w:uiPriority w:val="99"/>
    <w:semiHidden/>
    <w:rsid w:val="006D7663"/>
    <w:rPr>
      <w:sz w:val="24"/>
      <w:szCs w:val="24"/>
    </w:rPr>
  </w:style>
  <w:style w:type="paragraph" w:styleId="CommentSubject">
    <w:name w:val="annotation subject"/>
    <w:basedOn w:val="CommentText"/>
    <w:next w:val="CommentText"/>
    <w:link w:val="CommentSubjectChar"/>
    <w:uiPriority w:val="99"/>
    <w:semiHidden/>
    <w:unhideWhenUsed/>
    <w:rsid w:val="006D7663"/>
    <w:rPr>
      <w:b/>
      <w:bCs/>
      <w:sz w:val="20"/>
      <w:szCs w:val="20"/>
    </w:rPr>
  </w:style>
  <w:style w:type="character" w:customStyle="1" w:styleId="CommentSubjectChar">
    <w:name w:val="Comment Subject Char"/>
    <w:basedOn w:val="CommentTextChar"/>
    <w:link w:val="CommentSubject"/>
    <w:uiPriority w:val="99"/>
    <w:semiHidden/>
    <w:rsid w:val="006D7663"/>
    <w:rPr>
      <w:b/>
      <w:bCs/>
      <w:sz w:val="20"/>
      <w:szCs w:val="20"/>
    </w:rPr>
  </w:style>
  <w:style w:type="paragraph" w:styleId="Revision">
    <w:name w:val="Revision"/>
    <w:hidden/>
    <w:uiPriority w:val="99"/>
    <w:semiHidden/>
    <w:rsid w:val="00E47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20"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FAB6E5-1EFB-47E4-8CF2-399D8585C3F6}" type="doc">
      <dgm:prSet loTypeId="urn:microsoft.com/office/officeart/2005/8/layout/pyramid3" loCatId="pyramid" qsTypeId="urn:microsoft.com/office/officeart/2005/8/quickstyle/simple1" qsCatId="simple" csTypeId="urn:microsoft.com/office/officeart/2005/8/colors/accent1_2" csCatId="accent1" phldr="1"/>
      <dgm:spPr/>
      <dgm:t>
        <a:bodyPr/>
        <a:lstStyle/>
        <a:p>
          <a:endParaRPr lang="en-US"/>
        </a:p>
      </dgm:t>
    </dgm:pt>
    <dgm:pt modelId="{F9AB7E8C-DC6D-4187-A15C-D4571F4F8C83}">
      <dgm:prSet phldrT="[Text]" custT="1"/>
      <dgm:spPr>
        <a:solidFill>
          <a:srgbClr val="167FAD"/>
        </a:solidFill>
      </dgm:spPr>
      <dgm:t>
        <a:bodyPr/>
        <a:lstStyle/>
        <a:p>
          <a:pPr>
            <a:lnSpc>
              <a:spcPct val="110000"/>
            </a:lnSpc>
            <a:spcAft>
              <a:spcPts val="0"/>
            </a:spcAft>
          </a:pPr>
          <a:r>
            <a:rPr lang="en-US" sz="1200" b="1">
              <a:solidFill>
                <a:srgbClr val="FFFFFF"/>
              </a:solidFill>
            </a:rPr>
            <a:t>FACE-TO-FACE</a:t>
          </a:r>
          <a:r>
            <a:rPr lang="en-US" sz="2800">
              <a:solidFill>
                <a:srgbClr val="FFFFFF"/>
              </a:solidFill>
            </a:rPr>
            <a:t/>
          </a:r>
          <a:br>
            <a:rPr lang="en-US" sz="2800">
              <a:solidFill>
                <a:srgbClr val="FFFFFF"/>
              </a:solidFill>
            </a:rPr>
          </a:br>
          <a:r>
            <a:rPr lang="en-US" sz="1200">
              <a:solidFill>
                <a:srgbClr val="FFFFFF"/>
              </a:solidFill>
            </a:rPr>
            <a:t>Grievance Mechanism Officer</a:t>
          </a:r>
        </a:p>
        <a:p>
          <a:pPr>
            <a:lnSpc>
              <a:spcPct val="110000"/>
            </a:lnSpc>
            <a:spcAft>
              <a:spcPts val="0"/>
            </a:spcAft>
          </a:pPr>
          <a:r>
            <a:rPr lang="en-US" sz="1200">
              <a:solidFill>
                <a:srgbClr val="FFFFFF"/>
              </a:solidFill>
            </a:rPr>
            <a:t>Community Liaison Officer</a:t>
          </a:r>
        </a:p>
        <a:p>
          <a:pPr>
            <a:lnSpc>
              <a:spcPct val="110000"/>
            </a:lnSpc>
            <a:spcAft>
              <a:spcPts val="0"/>
            </a:spcAft>
          </a:pPr>
          <a:r>
            <a:rPr lang="en-US" sz="1200">
              <a:solidFill>
                <a:srgbClr val="FFFFFF"/>
              </a:solidFill>
            </a:rPr>
            <a:t>Other company staff</a:t>
          </a:r>
        </a:p>
        <a:p>
          <a:pPr>
            <a:lnSpc>
              <a:spcPct val="110000"/>
            </a:lnSpc>
            <a:spcAft>
              <a:spcPts val="0"/>
            </a:spcAft>
          </a:pPr>
          <a:r>
            <a:rPr lang="en-US" sz="1200">
              <a:solidFill>
                <a:srgbClr val="FFFFFF"/>
              </a:solidFill>
            </a:rPr>
            <a:t>Community meetings</a:t>
          </a:r>
        </a:p>
      </dgm:t>
    </dgm:pt>
    <dgm:pt modelId="{627446D5-67FD-47F7-90C7-9B0736E61449}" type="parTrans" cxnId="{ADDDCD2E-B0A6-4DE4-9FB0-C91EF1402FE3}">
      <dgm:prSet/>
      <dgm:spPr/>
      <dgm:t>
        <a:bodyPr/>
        <a:lstStyle/>
        <a:p>
          <a:endParaRPr lang="en-US"/>
        </a:p>
      </dgm:t>
    </dgm:pt>
    <dgm:pt modelId="{81397CB0-0963-4D99-B3F7-F751A6C156C6}" type="sibTrans" cxnId="{ADDDCD2E-B0A6-4DE4-9FB0-C91EF1402FE3}">
      <dgm:prSet/>
      <dgm:spPr/>
      <dgm:t>
        <a:bodyPr/>
        <a:lstStyle/>
        <a:p>
          <a:endParaRPr lang="en-US"/>
        </a:p>
      </dgm:t>
    </dgm:pt>
    <dgm:pt modelId="{14DD9B48-2F48-445A-92AE-98A49C1A8DE8}">
      <dgm:prSet phldrT="[Text]" custT="1"/>
      <dgm:spPr>
        <a:solidFill>
          <a:srgbClr val="8A1E82"/>
        </a:solidFill>
      </dgm:spPr>
      <dgm:t>
        <a:bodyPr/>
        <a:lstStyle/>
        <a:p>
          <a:pPr algn="ctr">
            <a:lnSpc>
              <a:spcPct val="100000"/>
            </a:lnSpc>
            <a:spcAft>
              <a:spcPts val="0"/>
            </a:spcAft>
          </a:pPr>
          <a:endParaRPr lang="en-US" sz="2000" b="1"/>
        </a:p>
        <a:p>
          <a:pPr algn="ctr">
            <a:lnSpc>
              <a:spcPts val="1500"/>
            </a:lnSpc>
            <a:spcAft>
              <a:spcPts val="0"/>
            </a:spcAft>
          </a:pPr>
          <a:r>
            <a:rPr lang="en-US" sz="1200" b="1">
              <a:solidFill>
                <a:srgbClr val="FFFFFF"/>
              </a:solidFill>
            </a:rPr>
            <a:t>INTERACTIVE MEDIA</a:t>
          </a:r>
        </a:p>
        <a:p>
          <a:pPr algn="ctr">
            <a:lnSpc>
              <a:spcPts val="1500"/>
            </a:lnSpc>
            <a:spcAft>
              <a:spcPts val="0"/>
            </a:spcAft>
          </a:pPr>
          <a:r>
            <a:rPr lang="en-US" sz="1200">
              <a:solidFill>
                <a:srgbClr val="FFFFFF"/>
              </a:solidFill>
            </a:rPr>
            <a:t>Television </a:t>
          </a:r>
        </a:p>
        <a:p>
          <a:pPr algn="ctr">
            <a:lnSpc>
              <a:spcPts val="1500"/>
            </a:lnSpc>
            <a:spcAft>
              <a:spcPts val="0"/>
            </a:spcAft>
          </a:pPr>
          <a:r>
            <a:rPr lang="en-US" sz="1200">
              <a:solidFill>
                <a:srgbClr val="FFFFFF"/>
              </a:solidFill>
            </a:rPr>
            <a:t>Radio</a:t>
          </a:r>
        </a:p>
        <a:p>
          <a:pPr algn="ctr">
            <a:lnSpc>
              <a:spcPts val="1500"/>
            </a:lnSpc>
            <a:spcAft>
              <a:spcPts val="0"/>
            </a:spcAft>
          </a:pPr>
          <a:r>
            <a:rPr lang="en-US" sz="1200">
              <a:solidFill>
                <a:srgbClr val="FFFFFF"/>
              </a:solidFill>
            </a:rPr>
            <a:t>Social media/Facebook</a:t>
          </a:r>
        </a:p>
        <a:p>
          <a:pPr algn="ctr">
            <a:lnSpc>
              <a:spcPct val="90000"/>
            </a:lnSpc>
            <a:spcAft>
              <a:spcPct val="35000"/>
            </a:spcAft>
          </a:pPr>
          <a:endParaRPr lang="en-US" sz="1200"/>
        </a:p>
        <a:p>
          <a:pPr algn="ctr">
            <a:lnSpc>
              <a:spcPct val="90000"/>
            </a:lnSpc>
            <a:spcAft>
              <a:spcPct val="35000"/>
            </a:spcAft>
          </a:pPr>
          <a:endParaRPr lang="en-US" sz="1200"/>
        </a:p>
      </dgm:t>
    </dgm:pt>
    <dgm:pt modelId="{1483315E-DB3C-4508-9368-DB5910C857A1}" type="parTrans" cxnId="{70A08434-3268-4825-807C-F4FD29E19BA6}">
      <dgm:prSet/>
      <dgm:spPr/>
      <dgm:t>
        <a:bodyPr/>
        <a:lstStyle/>
        <a:p>
          <a:endParaRPr lang="en-US"/>
        </a:p>
      </dgm:t>
    </dgm:pt>
    <dgm:pt modelId="{BA6CABFB-026B-4C6D-84AB-999440BB73CA}" type="sibTrans" cxnId="{70A08434-3268-4825-807C-F4FD29E19BA6}">
      <dgm:prSet/>
      <dgm:spPr/>
      <dgm:t>
        <a:bodyPr/>
        <a:lstStyle/>
        <a:p>
          <a:endParaRPr lang="en-US"/>
        </a:p>
      </dgm:t>
    </dgm:pt>
    <dgm:pt modelId="{78D002E1-2708-406E-BA0B-EF2D709B4985}">
      <dgm:prSet phldrT="[Text]" custT="1"/>
      <dgm:spPr>
        <a:solidFill>
          <a:srgbClr val="F17B19"/>
        </a:solidFill>
      </dgm:spPr>
      <dgm:t>
        <a:bodyPr/>
        <a:lstStyle/>
        <a:p>
          <a:pPr>
            <a:lnSpc>
              <a:spcPct val="110000"/>
            </a:lnSpc>
            <a:spcAft>
              <a:spcPts val="0"/>
            </a:spcAft>
          </a:pPr>
          <a:r>
            <a:rPr lang="en-US" sz="1200" b="1">
              <a:solidFill>
                <a:srgbClr val="FFFFFF"/>
              </a:solidFill>
            </a:rPr>
            <a:t>PRINT MEDIA</a:t>
          </a:r>
        </a:p>
        <a:p>
          <a:pPr>
            <a:lnSpc>
              <a:spcPct val="110000"/>
            </a:lnSpc>
            <a:spcAft>
              <a:spcPts val="0"/>
            </a:spcAft>
          </a:pPr>
          <a:r>
            <a:rPr lang="en-US" sz="1200">
              <a:solidFill>
                <a:srgbClr val="FFFFFF"/>
              </a:solidFill>
            </a:rPr>
            <a:t>Reference guides in the </a:t>
          </a:r>
          <a:br>
            <a:rPr lang="en-US" sz="1200">
              <a:solidFill>
                <a:srgbClr val="FFFFFF"/>
              </a:solidFill>
            </a:rPr>
          </a:br>
          <a:r>
            <a:rPr lang="en-US" sz="1200">
              <a:solidFill>
                <a:srgbClr val="FFFFFF"/>
              </a:solidFill>
            </a:rPr>
            <a:t>form of cartoons</a:t>
          </a:r>
        </a:p>
        <a:p>
          <a:pPr>
            <a:lnSpc>
              <a:spcPct val="110000"/>
            </a:lnSpc>
            <a:spcAft>
              <a:spcPts val="0"/>
            </a:spcAft>
          </a:pPr>
          <a:r>
            <a:rPr lang="en-US" sz="1200">
              <a:solidFill>
                <a:srgbClr val="FFFFFF"/>
              </a:solidFill>
            </a:rPr>
            <a:t>Newspapers</a:t>
          </a:r>
          <a:br>
            <a:rPr lang="en-US" sz="1200">
              <a:solidFill>
                <a:srgbClr val="FFFFFF"/>
              </a:solidFill>
            </a:rPr>
          </a:br>
          <a:r>
            <a:rPr lang="en-US" sz="1200">
              <a:solidFill>
                <a:srgbClr val="FFFFFF"/>
              </a:solidFill>
            </a:rPr>
            <a:t>Billboards</a:t>
          </a:r>
        </a:p>
        <a:p>
          <a:pPr>
            <a:lnSpc>
              <a:spcPct val="110000"/>
            </a:lnSpc>
            <a:spcAft>
              <a:spcPts val="0"/>
            </a:spcAft>
          </a:pPr>
          <a:r>
            <a:rPr lang="en-US" sz="1200">
              <a:solidFill>
                <a:srgbClr val="FFFFFF"/>
              </a:solidFill>
            </a:rPr>
            <a:t>Leaflets</a:t>
          </a:r>
          <a:r>
            <a:rPr lang="en-US" sz="1200"/>
            <a:t/>
          </a:r>
          <a:br>
            <a:rPr lang="en-US" sz="1200"/>
          </a:br>
          <a:r>
            <a:rPr lang="en-US" sz="1200"/>
            <a:t/>
          </a:r>
          <a:br>
            <a:rPr lang="en-US" sz="1200"/>
          </a:br>
          <a:endParaRPr lang="en-US" sz="1200"/>
        </a:p>
      </dgm:t>
    </dgm:pt>
    <dgm:pt modelId="{FFE23644-263C-4A58-9E37-33EDF822EE98}" type="parTrans" cxnId="{5443CBA3-1F19-4197-9B5D-D145ECD56459}">
      <dgm:prSet/>
      <dgm:spPr/>
      <dgm:t>
        <a:bodyPr/>
        <a:lstStyle/>
        <a:p>
          <a:endParaRPr lang="en-US"/>
        </a:p>
      </dgm:t>
    </dgm:pt>
    <dgm:pt modelId="{56E5301F-4FCC-4709-A43E-A99BBB689902}" type="sibTrans" cxnId="{5443CBA3-1F19-4197-9B5D-D145ECD56459}">
      <dgm:prSet/>
      <dgm:spPr/>
      <dgm:t>
        <a:bodyPr/>
        <a:lstStyle/>
        <a:p>
          <a:endParaRPr lang="en-US"/>
        </a:p>
      </dgm:t>
    </dgm:pt>
    <dgm:pt modelId="{8AC6AEB7-C726-4186-8D4E-64EA03A08F1B}" type="pres">
      <dgm:prSet presAssocID="{2CFAB6E5-1EFB-47E4-8CF2-399D8585C3F6}" presName="Name0" presStyleCnt="0">
        <dgm:presLayoutVars>
          <dgm:dir/>
          <dgm:animLvl val="lvl"/>
          <dgm:resizeHandles val="exact"/>
        </dgm:presLayoutVars>
      </dgm:prSet>
      <dgm:spPr/>
      <dgm:t>
        <a:bodyPr/>
        <a:lstStyle/>
        <a:p>
          <a:endParaRPr lang="en-US"/>
        </a:p>
      </dgm:t>
    </dgm:pt>
    <dgm:pt modelId="{887B9F41-D8A9-4505-8CC2-B09DE2C17167}" type="pres">
      <dgm:prSet presAssocID="{F9AB7E8C-DC6D-4187-A15C-D4571F4F8C83}" presName="Name8" presStyleCnt="0"/>
      <dgm:spPr/>
    </dgm:pt>
    <dgm:pt modelId="{A5D915F8-89AA-44E5-A704-D4803306C9F1}" type="pres">
      <dgm:prSet presAssocID="{F9AB7E8C-DC6D-4187-A15C-D4571F4F8C83}" presName="level" presStyleLbl="node1" presStyleIdx="0" presStyleCnt="3" custScaleY="69803">
        <dgm:presLayoutVars>
          <dgm:chMax val="1"/>
          <dgm:bulletEnabled val="1"/>
        </dgm:presLayoutVars>
      </dgm:prSet>
      <dgm:spPr/>
      <dgm:t>
        <a:bodyPr/>
        <a:lstStyle/>
        <a:p>
          <a:endParaRPr lang="en-US"/>
        </a:p>
      </dgm:t>
    </dgm:pt>
    <dgm:pt modelId="{EF7422F4-7FF8-433D-AB78-120F3974E4F9}" type="pres">
      <dgm:prSet presAssocID="{F9AB7E8C-DC6D-4187-A15C-D4571F4F8C83}" presName="levelTx" presStyleLbl="revTx" presStyleIdx="0" presStyleCnt="0">
        <dgm:presLayoutVars>
          <dgm:chMax val="1"/>
          <dgm:bulletEnabled val="1"/>
        </dgm:presLayoutVars>
      </dgm:prSet>
      <dgm:spPr/>
      <dgm:t>
        <a:bodyPr/>
        <a:lstStyle/>
        <a:p>
          <a:endParaRPr lang="en-US"/>
        </a:p>
      </dgm:t>
    </dgm:pt>
    <dgm:pt modelId="{33FCE05D-B765-4735-8529-D3773CFA118A}" type="pres">
      <dgm:prSet presAssocID="{14DD9B48-2F48-445A-92AE-98A49C1A8DE8}" presName="Name8" presStyleCnt="0"/>
      <dgm:spPr/>
    </dgm:pt>
    <dgm:pt modelId="{2952E3A4-EAC9-4570-9C9C-0E435E3E2F3D}" type="pres">
      <dgm:prSet presAssocID="{14DD9B48-2F48-445A-92AE-98A49C1A8DE8}" presName="level" presStyleLbl="node1" presStyleIdx="1" presStyleCnt="3" custScaleY="56608">
        <dgm:presLayoutVars>
          <dgm:chMax val="1"/>
          <dgm:bulletEnabled val="1"/>
        </dgm:presLayoutVars>
      </dgm:prSet>
      <dgm:spPr/>
      <dgm:t>
        <a:bodyPr/>
        <a:lstStyle/>
        <a:p>
          <a:endParaRPr lang="en-US"/>
        </a:p>
      </dgm:t>
    </dgm:pt>
    <dgm:pt modelId="{E14B0509-93A2-4C5B-8EFF-688CE9871BA2}" type="pres">
      <dgm:prSet presAssocID="{14DD9B48-2F48-445A-92AE-98A49C1A8DE8}" presName="levelTx" presStyleLbl="revTx" presStyleIdx="0" presStyleCnt="0">
        <dgm:presLayoutVars>
          <dgm:chMax val="1"/>
          <dgm:bulletEnabled val="1"/>
        </dgm:presLayoutVars>
      </dgm:prSet>
      <dgm:spPr/>
      <dgm:t>
        <a:bodyPr/>
        <a:lstStyle/>
        <a:p>
          <a:endParaRPr lang="en-US"/>
        </a:p>
      </dgm:t>
    </dgm:pt>
    <dgm:pt modelId="{A306FD81-F54E-4B2C-BAD1-F152AB18F243}" type="pres">
      <dgm:prSet presAssocID="{78D002E1-2708-406E-BA0B-EF2D709B4985}" presName="Name8" presStyleCnt="0"/>
      <dgm:spPr/>
    </dgm:pt>
    <dgm:pt modelId="{51DC1281-6957-419C-97A5-20BC87181AD0}" type="pres">
      <dgm:prSet presAssocID="{78D002E1-2708-406E-BA0B-EF2D709B4985}" presName="level" presStyleLbl="node1" presStyleIdx="2" presStyleCnt="3" custAng="0" custScaleX="102911">
        <dgm:presLayoutVars>
          <dgm:chMax val="1"/>
          <dgm:bulletEnabled val="1"/>
        </dgm:presLayoutVars>
      </dgm:prSet>
      <dgm:spPr/>
      <dgm:t>
        <a:bodyPr/>
        <a:lstStyle/>
        <a:p>
          <a:endParaRPr lang="en-US"/>
        </a:p>
      </dgm:t>
    </dgm:pt>
    <dgm:pt modelId="{12378B8B-2616-4B66-9A79-579BD601A96A}" type="pres">
      <dgm:prSet presAssocID="{78D002E1-2708-406E-BA0B-EF2D709B4985}" presName="levelTx" presStyleLbl="revTx" presStyleIdx="0" presStyleCnt="0">
        <dgm:presLayoutVars>
          <dgm:chMax val="1"/>
          <dgm:bulletEnabled val="1"/>
        </dgm:presLayoutVars>
      </dgm:prSet>
      <dgm:spPr/>
      <dgm:t>
        <a:bodyPr/>
        <a:lstStyle/>
        <a:p>
          <a:endParaRPr lang="en-US"/>
        </a:p>
      </dgm:t>
    </dgm:pt>
  </dgm:ptLst>
  <dgm:cxnLst>
    <dgm:cxn modelId="{70A08434-3268-4825-807C-F4FD29E19BA6}" srcId="{2CFAB6E5-1EFB-47E4-8CF2-399D8585C3F6}" destId="{14DD9B48-2F48-445A-92AE-98A49C1A8DE8}" srcOrd="1" destOrd="0" parTransId="{1483315E-DB3C-4508-9368-DB5910C857A1}" sibTransId="{BA6CABFB-026B-4C6D-84AB-999440BB73CA}"/>
    <dgm:cxn modelId="{7007859D-CD22-C844-A050-FB9AD3DE4678}" type="presOf" srcId="{14DD9B48-2F48-445A-92AE-98A49C1A8DE8}" destId="{2952E3A4-EAC9-4570-9C9C-0E435E3E2F3D}" srcOrd="0" destOrd="0" presId="urn:microsoft.com/office/officeart/2005/8/layout/pyramid3"/>
    <dgm:cxn modelId="{08CC2FD9-6F02-B24D-BD12-747A9A5C6984}" type="presOf" srcId="{78D002E1-2708-406E-BA0B-EF2D709B4985}" destId="{51DC1281-6957-419C-97A5-20BC87181AD0}" srcOrd="0" destOrd="0" presId="urn:microsoft.com/office/officeart/2005/8/layout/pyramid3"/>
    <dgm:cxn modelId="{CBF5F1F1-6EFB-E94C-A3EB-A55D2AD2D987}" type="presOf" srcId="{78D002E1-2708-406E-BA0B-EF2D709B4985}" destId="{12378B8B-2616-4B66-9A79-579BD601A96A}" srcOrd="1" destOrd="0" presId="urn:microsoft.com/office/officeart/2005/8/layout/pyramid3"/>
    <dgm:cxn modelId="{C0164692-86BA-DB4D-A54C-EC344F82D982}" type="presOf" srcId="{14DD9B48-2F48-445A-92AE-98A49C1A8DE8}" destId="{E14B0509-93A2-4C5B-8EFF-688CE9871BA2}" srcOrd="1" destOrd="0" presId="urn:microsoft.com/office/officeart/2005/8/layout/pyramid3"/>
    <dgm:cxn modelId="{00816DA0-EA1B-AB45-8DFD-F102AE1056E9}" type="presOf" srcId="{2CFAB6E5-1EFB-47E4-8CF2-399D8585C3F6}" destId="{8AC6AEB7-C726-4186-8D4E-64EA03A08F1B}" srcOrd="0" destOrd="0" presId="urn:microsoft.com/office/officeart/2005/8/layout/pyramid3"/>
    <dgm:cxn modelId="{2ECFB0E2-3869-D04B-A97A-C8491759D3B7}" type="presOf" srcId="{F9AB7E8C-DC6D-4187-A15C-D4571F4F8C83}" destId="{EF7422F4-7FF8-433D-AB78-120F3974E4F9}" srcOrd="1" destOrd="0" presId="urn:microsoft.com/office/officeart/2005/8/layout/pyramid3"/>
    <dgm:cxn modelId="{ADDDCD2E-B0A6-4DE4-9FB0-C91EF1402FE3}" srcId="{2CFAB6E5-1EFB-47E4-8CF2-399D8585C3F6}" destId="{F9AB7E8C-DC6D-4187-A15C-D4571F4F8C83}" srcOrd="0" destOrd="0" parTransId="{627446D5-67FD-47F7-90C7-9B0736E61449}" sibTransId="{81397CB0-0963-4D99-B3F7-F751A6C156C6}"/>
    <dgm:cxn modelId="{5443CBA3-1F19-4197-9B5D-D145ECD56459}" srcId="{2CFAB6E5-1EFB-47E4-8CF2-399D8585C3F6}" destId="{78D002E1-2708-406E-BA0B-EF2D709B4985}" srcOrd="2" destOrd="0" parTransId="{FFE23644-263C-4A58-9E37-33EDF822EE98}" sibTransId="{56E5301F-4FCC-4709-A43E-A99BBB689902}"/>
    <dgm:cxn modelId="{0C46C11D-C86C-9C4F-B56D-35C0D4C403C0}" type="presOf" srcId="{F9AB7E8C-DC6D-4187-A15C-D4571F4F8C83}" destId="{A5D915F8-89AA-44E5-A704-D4803306C9F1}" srcOrd="0" destOrd="0" presId="urn:microsoft.com/office/officeart/2005/8/layout/pyramid3"/>
    <dgm:cxn modelId="{F9EF24B3-4A66-AF45-9F5B-D0D4A07527C2}" type="presParOf" srcId="{8AC6AEB7-C726-4186-8D4E-64EA03A08F1B}" destId="{887B9F41-D8A9-4505-8CC2-B09DE2C17167}" srcOrd="0" destOrd="0" presId="urn:microsoft.com/office/officeart/2005/8/layout/pyramid3"/>
    <dgm:cxn modelId="{437E7362-0BAB-AD45-A341-E187B6712E9C}" type="presParOf" srcId="{887B9F41-D8A9-4505-8CC2-B09DE2C17167}" destId="{A5D915F8-89AA-44E5-A704-D4803306C9F1}" srcOrd="0" destOrd="0" presId="urn:microsoft.com/office/officeart/2005/8/layout/pyramid3"/>
    <dgm:cxn modelId="{86F16A79-8B38-BB45-A36F-241733EEEF4E}" type="presParOf" srcId="{887B9F41-D8A9-4505-8CC2-B09DE2C17167}" destId="{EF7422F4-7FF8-433D-AB78-120F3974E4F9}" srcOrd="1" destOrd="0" presId="urn:microsoft.com/office/officeart/2005/8/layout/pyramid3"/>
    <dgm:cxn modelId="{90681E02-7665-8347-94FA-CB6BDA754462}" type="presParOf" srcId="{8AC6AEB7-C726-4186-8D4E-64EA03A08F1B}" destId="{33FCE05D-B765-4735-8529-D3773CFA118A}" srcOrd="1" destOrd="0" presId="urn:microsoft.com/office/officeart/2005/8/layout/pyramid3"/>
    <dgm:cxn modelId="{EAC32659-7DC9-B644-8460-BF438D054A05}" type="presParOf" srcId="{33FCE05D-B765-4735-8529-D3773CFA118A}" destId="{2952E3A4-EAC9-4570-9C9C-0E435E3E2F3D}" srcOrd="0" destOrd="0" presId="urn:microsoft.com/office/officeart/2005/8/layout/pyramid3"/>
    <dgm:cxn modelId="{27C68A2E-ABE6-5F46-87E0-EDADBE46E35E}" type="presParOf" srcId="{33FCE05D-B765-4735-8529-D3773CFA118A}" destId="{E14B0509-93A2-4C5B-8EFF-688CE9871BA2}" srcOrd="1" destOrd="0" presId="urn:microsoft.com/office/officeart/2005/8/layout/pyramid3"/>
    <dgm:cxn modelId="{B9CC9A9A-83DF-4949-8AB0-1B347688E0C1}" type="presParOf" srcId="{8AC6AEB7-C726-4186-8D4E-64EA03A08F1B}" destId="{A306FD81-F54E-4B2C-BAD1-F152AB18F243}" srcOrd="2" destOrd="0" presId="urn:microsoft.com/office/officeart/2005/8/layout/pyramid3"/>
    <dgm:cxn modelId="{79B45D53-3E40-0544-A4EE-64E5DA3BF6C8}" type="presParOf" srcId="{A306FD81-F54E-4B2C-BAD1-F152AB18F243}" destId="{51DC1281-6957-419C-97A5-20BC87181AD0}" srcOrd="0" destOrd="0" presId="urn:microsoft.com/office/officeart/2005/8/layout/pyramid3"/>
    <dgm:cxn modelId="{1F5D6F35-7EA3-A64D-B5BF-BAC88A45B4D9}" type="presParOf" srcId="{A306FD81-F54E-4B2C-BAD1-F152AB18F243}" destId="{12378B8B-2616-4B66-9A79-579BD601A96A}" srcOrd="1" destOrd="0" presId="urn:microsoft.com/office/officeart/2005/8/layout/pyramid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D915F8-89AA-44E5-A704-D4803306C9F1}">
      <dsp:nvSpPr>
        <dsp:cNvPr id="0" name=""/>
        <dsp:cNvSpPr/>
      </dsp:nvSpPr>
      <dsp:spPr>
        <a:xfrm rot="10800000">
          <a:off x="0" y="0"/>
          <a:ext cx="4896464" cy="1294247"/>
        </a:xfrm>
        <a:prstGeom prst="trapezoid">
          <a:avLst>
            <a:gd name="adj" fmla="val 58319"/>
          </a:avLst>
        </a:prstGeom>
        <a:solidFill>
          <a:srgbClr val="167F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110000"/>
            </a:lnSpc>
            <a:spcBef>
              <a:spcPct val="0"/>
            </a:spcBef>
            <a:spcAft>
              <a:spcPts val="0"/>
            </a:spcAft>
          </a:pPr>
          <a:r>
            <a:rPr lang="en-US" sz="1200" b="1" kern="1200">
              <a:solidFill>
                <a:srgbClr val="FFFFFF"/>
              </a:solidFill>
            </a:rPr>
            <a:t>FACE-TO-FACE</a:t>
          </a:r>
          <a:r>
            <a:rPr lang="en-US" sz="2800" kern="1200">
              <a:solidFill>
                <a:srgbClr val="FFFFFF"/>
              </a:solidFill>
            </a:rPr>
            <a:t/>
          </a:r>
          <a:br>
            <a:rPr lang="en-US" sz="2800" kern="1200">
              <a:solidFill>
                <a:srgbClr val="FFFFFF"/>
              </a:solidFill>
            </a:rPr>
          </a:br>
          <a:r>
            <a:rPr lang="en-US" sz="1200" kern="1200">
              <a:solidFill>
                <a:srgbClr val="FFFFFF"/>
              </a:solidFill>
            </a:rPr>
            <a:t>Grievance Mechanism Officer</a:t>
          </a:r>
        </a:p>
        <a:p>
          <a:pPr lvl="0" algn="ctr" defTabSz="533400">
            <a:lnSpc>
              <a:spcPct val="110000"/>
            </a:lnSpc>
            <a:spcBef>
              <a:spcPct val="0"/>
            </a:spcBef>
            <a:spcAft>
              <a:spcPts val="0"/>
            </a:spcAft>
          </a:pPr>
          <a:r>
            <a:rPr lang="en-US" sz="1200" kern="1200">
              <a:solidFill>
                <a:srgbClr val="FFFFFF"/>
              </a:solidFill>
            </a:rPr>
            <a:t>Community Liaison Officer</a:t>
          </a:r>
        </a:p>
        <a:p>
          <a:pPr lvl="0" algn="ctr" defTabSz="533400">
            <a:lnSpc>
              <a:spcPct val="110000"/>
            </a:lnSpc>
            <a:spcBef>
              <a:spcPct val="0"/>
            </a:spcBef>
            <a:spcAft>
              <a:spcPts val="0"/>
            </a:spcAft>
          </a:pPr>
          <a:r>
            <a:rPr lang="en-US" sz="1200" kern="1200">
              <a:solidFill>
                <a:srgbClr val="FFFFFF"/>
              </a:solidFill>
            </a:rPr>
            <a:t>Other company staff</a:t>
          </a:r>
        </a:p>
        <a:p>
          <a:pPr lvl="0" algn="ctr" defTabSz="533400">
            <a:lnSpc>
              <a:spcPct val="110000"/>
            </a:lnSpc>
            <a:spcBef>
              <a:spcPct val="0"/>
            </a:spcBef>
            <a:spcAft>
              <a:spcPts val="0"/>
            </a:spcAft>
          </a:pPr>
          <a:r>
            <a:rPr lang="en-US" sz="1200" kern="1200">
              <a:solidFill>
                <a:srgbClr val="FFFFFF"/>
              </a:solidFill>
            </a:rPr>
            <a:t>Community meetings</a:t>
          </a:r>
        </a:p>
      </dsp:txBody>
      <dsp:txXfrm rot="-10800000">
        <a:off x="856881" y="0"/>
        <a:ext cx="3182701" cy="1294247"/>
      </dsp:txXfrm>
    </dsp:sp>
    <dsp:sp modelId="{2952E3A4-EAC9-4570-9C9C-0E435E3E2F3D}">
      <dsp:nvSpPr>
        <dsp:cNvPr id="0" name=""/>
        <dsp:cNvSpPr/>
      </dsp:nvSpPr>
      <dsp:spPr>
        <a:xfrm rot="10800000">
          <a:off x="754795" y="1294247"/>
          <a:ext cx="3386873" cy="1049593"/>
        </a:xfrm>
        <a:prstGeom prst="trapezoid">
          <a:avLst>
            <a:gd name="adj" fmla="val 58319"/>
          </a:avLst>
        </a:prstGeom>
        <a:solidFill>
          <a:srgbClr val="8A1E8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100000"/>
            </a:lnSpc>
            <a:spcBef>
              <a:spcPct val="0"/>
            </a:spcBef>
            <a:spcAft>
              <a:spcPts val="0"/>
            </a:spcAft>
          </a:pPr>
          <a:endParaRPr lang="en-US" sz="2000" b="1" kern="1200"/>
        </a:p>
        <a:p>
          <a:pPr lvl="0" algn="ctr" defTabSz="889000">
            <a:lnSpc>
              <a:spcPts val="1500"/>
            </a:lnSpc>
            <a:spcBef>
              <a:spcPct val="0"/>
            </a:spcBef>
            <a:spcAft>
              <a:spcPts val="0"/>
            </a:spcAft>
          </a:pPr>
          <a:r>
            <a:rPr lang="en-US" sz="1200" b="1" kern="1200">
              <a:solidFill>
                <a:srgbClr val="FFFFFF"/>
              </a:solidFill>
            </a:rPr>
            <a:t>INTERACTIVE MEDIA</a:t>
          </a:r>
        </a:p>
        <a:p>
          <a:pPr lvl="0" algn="ctr" defTabSz="889000">
            <a:lnSpc>
              <a:spcPts val="1500"/>
            </a:lnSpc>
            <a:spcBef>
              <a:spcPct val="0"/>
            </a:spcBef>
            <a:spcAft>
              <a:spcPts val="0"/>
            </a:spcAft>
          </a:pPr>
          <a:r>
            <a:rPr lang="en-US" sz="1200" kern="1200">
              <a:solidFill>
                <a:srgbClr val="FFFFFF"/>
              </a:solidFill>
            </a:rPr>
            <a:t>Television </a:t>
          </a:r>
        </a:p>
        <a:p>
          <a:pPr lvl="0" algn="ctr" defTabSz="889000">
            <a:lnSpc>
              <a:spcPts val="1500"/>
            </a:lnSpc>
            <a:spcBef>
              <a:spcPct val="0"/>
            </a:spcBef>
            <a:spcAft>
              <a:spcPts val="0"/>
            </a:spcAft>
          </a:pPr>
          <a:r>
            <a:rPr lang="en-US" sz="1200" kern="1200">
              <a:solidFill>
                <a:srgbClr val="FFFFFF"/>
              </a:solidFill>
            </a:rPr>
            <a:t>Radio</a:t>
          </a:r>
        </a:p>
        <a:p>
          <a:pPr lvl="0" algn="ctr" defTabSz="889000">
            <a:lnSpc>
              <a:spcPts val="1500"/>
            </a:lnSpc>
            <a:spcBef>
              <a:spcPct val="0"/>
            </a:spcBef>
            <a:spcAft>
              <a:spcPts val="0"/>
            </a:spcAft>
          </a:pPr>
          <a:r>
            <a:rPr lang="en-US" sz="1200" kern="1200">
              <a:solidFill>
                <a:srgbClr val="FFFFFF"/>
              </a:solidFill>
            </a:rPr>
            <a:t>Social media/Facebook</a:t>
          </a:r>
        </a:p>
        <a:p>
          <a:pPr lvl="0" algn="ctr" defTabSz="889000">
            <a:lnSpc>
              <a:spcPct val="90000"/>
            </a:lnSpc>
            <a:spcBef>
              <a:spcPct val="0"/>
            </a:spcBef>
            <a:spcAft>
              <a:spcPct val="35000"/>
            </a:spcAft>
          </a:pPr>
          <a:endParaRPr lang="en-US" sz="1200" kern="1200"/>
        </a:p>
        <a:p>
          <a:pPr lvl="0" algn="ctr" defTabSz="889000">
            <a:lnSpc>
              <a:spcPct val="90000"/>
            </a:lnSpc>
            <a:spcBef>
              <a:spcPct val="0"/>
            </a:spcBef>
            <a:spcAft>
              <a:spcPct val="35000"/>
            </a:spcAft>
          </a:pPr>
          <a:endParaRPr lang="en-US" sz="1200" kern="1200"/>
        </a:p>
      </dsp:txBody>
      <dsp:txXfrm rot="-10800000">
        <a:off x="1347498" y="1294247"/>
        <a:ext cx="2201467" cy="1049593"/>
      </dsp:txXfrm>
    </dsp:sp>
    <dsp:sp modelId="{51DC1281-6957-419C-97A5-20BC87181AD0}">
      <dsp:nvSpPr>
        <dsp:cNvPr id="0" name=""/>
        <dsp:cNvSpPr/>
      </dsp:nvSpPr>
      <dsp:spPr>
        <a:xfrm rot="10800000">
          <a:off x="1335432" y="2343841"/>
          <a:ext cx="2225598" cy="1854143"/>
        </a:xfrm>
        <a:prstGeom prst="trapezoid">
          <a:avLst>
            <a:gd name="adj" fmla="val 58319"/>
          </a:avLst>
        </a:prstGeom>
        <a:solidFill>
          <a:srgbClr val="F17B1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110000"/>
            </a:lnSpc>
            <a:spcBef>
              <a:spcPct val="0"/>
            </a:spcBef>
            <a:spcAft>
              <a:spcPts val="0"/>
            </a:spcAft>
          </a:pPr>
          <a:r>
            <a:rPr lang="en-US" sz="1200" b="1" kern="1200">
              <a:solidFill>
                <a:srgbClr val="FFFFFF"/>
              </a:solidFill>
            </a:rPr>
            <a:t>PRINT MEDIA</a:t>
          </a:r>
        </a:p>
        <a:p>
          <a:pPr lvl="0" algn="ctr" defTabSz="533400">
            <a:lnSpc>
              <a:spcPct val="110000"/>
            </a:lnSpc>
            <a:spcBef>
              <a:spcPct val="0"/>
            </a:spcBef>
            <a:spcAft>
              <a:spcPts val="0"/>
            </a:spcAft>
          </a:pPr>
          <a:r>
            <a:rPr lang="en-US" sz="1200" kern="1200">
              <a:solidFill>
                <a:srgbClr val="FFFFFF"/>
              </a:solidFill>
            </a:rPr>
            <a:t>Reference guides in the </a:t>
          </a:r>
          <a:br>
            <a:rPr lang="en-US" sz="1200" kern="1200">
              <a:solidFill>
                <a:srgbClr val="FFFFFF"/>
              </a:solidFill>
            </a:rPr>
          </a:br>
          <a:r>
            <a:rPr lang="en-US" sz="1200" kern="1200">
              <a:solidFill>
                <a:srgbClr val="FFFFFF"/>
              </a:solidFill>
            </a:rPr>
            <a:t>form of cartoons</a:t>
          </a:r>
        </a:p>
        <a:p>
          <a:pPr lvl="0" algn="ctr" defTabSz="533400">
            <a:lnSpc>
              <a:spcPct val="110000"/>
            </a:lnSpc>
            <a:spcBef>
              <a:spcPct val="0"/>
            </a:spcBef>
            <a:spcAft>
              <a:spcPts val="0"/>
            </a:spcAft>
          </a:pPr>
          <a:r>
            <a:rPr lang="en-US" sz="1200" kern="1200">
              <a:solidFill>
                <a:srgbClr val="FFFFFF"/>
              </a:solidFill>
            </a:rPr>
            <a:t>Newspapers</a:t>
          </a:r>
          <a:br>
            <a:rPr lang="en-US" sz="1200" kern="1200">
              <a:solidFill>
                <a:srgbClr val="FFFFFF"/>
              </a:solidFill>
            </a:rPr>
          </a:br>
          <a:r>
            <a:rPr lang="en-US" sz="1200" kern="1200">
              <a:solidFill>
                <a:srgbClr val="FFFFFF"/>
              </a:solidFill>
            </a:rPr>
            <a:t>Billboards</a:t>
          </a:r>
        </a:p>
        <a:p>
          <a:pPr lvl="0" algn="ctr" defTabSz="533400">
            <a:lnSpc>
              <a:spcPct val="110000"/>
            </a:lnSpc>
            <a:spcBef>
              <a:spcPct val="0"/>
            </a:spcBef>
            <a:spcAft>
              <a:spcPts val="0"/>
            </a:spcAft>
          </a:pPr>
          <a:r>
            <a:rPr lang="en-US" sz="1200" kern="1200">
              <a:solidFill>
                <a:srgbClr val="FFFFFF"/>
              </a:solidFill>
            </a:rPr>
            <a:t>Leaflets</a:t>
          </a:r>
          <a:r>
            <a:rPr lang="en-US" sz="1200" kern="1200"/>
            <a:t/>
          </a:r>
          <a:br>
            <a:rPr lang="en-US" sz="1200" kern="1200"/>
          </a:br>
          <a:r>
            <a:rPr lang="en-US" sz="1200" kern="1200"/>
            <a:t/>
          </a:r>
          <a:br>
            <a:rPr lang="en-US" sz="1200" kern="1200"/>
          </a:br>
          <a:endParaRPr lang="en-US" sz="1200" kern="1200"/>
        </a:p>
      </dsp:txBody>
      <dsp:txXfrm rot="-10800000">
        <a:off x="1335432" y="2343841"/>
        <a:ext cx="2225598" cy="185414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21F51-5621-3B4C-BE1D-B34207F4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212</Words>
  <Characters>1209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Afua Laura Mensah</dc:creator>
  <cp:lastModifiedBy>Aker, Abby</cp:lastModifiedBy>
  <cp:revision>7</cp:revision>
  <dcterms:created xsi:type="dcterms:W3CDTF">2016-05-11T13:21:00Z</dcterms:created>
  <dcterms:modified xsi:type="dcterms:W3CDTF">2016-05-19T15:58:00Z</dcterms:modified>
</cp:coreProperties>
</file>