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120"/>
      </w:pPr>
      <w:r>
        <w:rPr>
          <w:rFonts w:ascii="KaiTi" w:hAnsi="KaiTi" w:eastAsia="楷体"/>
          <w:b/>
          <w:i w:val="0"/>
          <w:color w:val="1F4D78"/>
          <w:sz w:val="21"/>
        </w:rPr>
        <w:t>PRODUCT REQUIREMENTS DOCUMENT</w:t>
      </w:r>
    </w:p>
    <w:p>
      <w:pPr>
        <w:pStyle w:val="Title"/>
      </w:pPr>
      <w:r>
        <w:rPr>
          <w:rFonts w:ascii="KaiTi" w:hAnsi="KaiTi" w:eastAsia="楷体"/>
          <w:b/>
          <w:i w:val="0"/>
          <w:color w:val="1F4D78"/>
          <w:sz w:val="48"/>
        </w:rPr>
        <w:t>Doctor Agent 医生智能体</w:t>
        <w:br/>
        <w:t>一期产品需求文档</w:t>
      </w:r>
    </w:p>
    <w:p>
      <w:pPr>
        <w:pStyle w:val="Subtitle"/>
      </w:pPr>
      <w:r>
        <w:rPr>
          <w:rFonts w:ascii="KaiTi" w:hAnsi="KaiTi" w:eastAsia="楷体"/>
          <w:b w:val="0"/>
          <w:i w:val="0"/>
          <w:color w:val="596370"/>
          <w:sz w:val="26"/>
        </w:rPr>
        <w:t>UI/UX 原型 · 功能需求 · Agent 边界 · 测试用例</w:t>
      </w:r>
    </w:p>
    <w:p>
      <w:pPr>
        <w:pBdr>
          <w:bottom w:val="single" w:sz="16" w:space="8" w:color="1F4D78"/>
        </w:pBdr>
      </w:pPr>
    </w:p>
    <w:tbl>
      <w:tblPr>
        <w:tblStyle w:val="TableGrid"/>
        <w:tblW w:type="dxa" w:w="9360"/>
        <w:jc w:val="left"/>
        <w:tblLayout w:type="fixed"/>
        <w:tblLook w:firstColumn="1" w:firstRow="1" w:lastColumn="0" w:lastRow="0" w:noHBand="0" w:noVBand="1" w:val="04A0"/>
        <w:tblInd w:type="dxa" w:w="140"/>
      </w:tblPr>
      <w:tblGrid>
        <w:gridCol w:w="2200"/>
        <w:gridCol w:w="7160"/>
      </w:tblGrid>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版本</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v0.4-draft</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日期</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2026-08-28</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一期范围</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7 个产品功能 / 6 个 Agent</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专科范围</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内科（首包内分泌代谢）/ 普通骨科 / 普通妇科</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UI 基线</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沿用最早 HTML；登录直达医生智能体</w:t>
            </w:r>
          </w:p>
        </w:tc>
      </w:tr>
      <w:tr>
        <w:trPr/>
        <w:tc>
          <w:tcPr>
            <w:tcW w:type="dxa" w:w="2200"/>
            <w:vAlign w:val="center"/>
            <w:shd w:fill="EAF0F8"/>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color w:val="1F4D78"/>
                <w:sz w:val="19"/>
              </w:rPr>
              <w:t>文档状态</w:t>
            </w:r>
          </w:p>
        </w:tc>
        <w:tc>
          <w:tcPr>
            <w:tcW w:type="dxa" w:w="7160"/>
            <w:vAlign w:val="center"/>
            <w:tcMar>
              <w:top w:w="110" w:type="dxa"/>
              <w:bottom w:w="110" w:type="dxa"/>
              <w:start w:w="140" w:type="dxa"/>
              <w:end w:w="140" w:type="dxa"/>
            </w:tcMar>
          </w:tcPr>
          <w:p>
            <w:pPr>
              <w:spacing w:before="0" w:after="0" w:line="259" w:lineRule="auto"/>
            </w:pPr>
            <w:r>
              <w:rPr>
                <w:rFonts w:ascii="KaiTi" w:hAnsi="KaiTi" w:eastAsia="楷体"/>
                <w:sz w:val="17"/>
              </w:rPr>
            </w:r>
            <w:r>
              <w:rPr>
                <w:rFonts w:ascii="KaiTi" w:hAnsi="KaiTi" w:eastAsia="楷体"/>
                <w:b w:val="0"/>
                <w:sz w:val="19"/>
              </w:rPr>
              <w:t>供产品需求、原型和测试评审</w:t>
            </w:r>
          </w:p>
        </w:tc>
      </w:tr>
    </w:tbl>
    <w:p>
      <w:pPr>
        <w:spacing w:after="360"/>
      </w:pPr>
    </w:p>
    <w:tbl>
      <w:tblPr>
        <w:tblW w:type="dxa" w:w="9360"/>
        <w:jc w:val="left"/>
        <w:tblLayout w:type="fixed"/>
        <w:tblLook w:firstColumn="1" w:firstRow="1" w:lastColumn="0" w:lastRow="0" w:noHBand="0" w:noVBand="1" w:val="04A0"/>
        <w:tblInd w:type="dxa" w:w="120"/>
      </w:tblPr>
      <w:tblGrid>
        <w:gridCol w:w="9360"/>
      </w:tblGrid>
      <w:tr>
        <w:trPr/>
        <w:tc>
          <w:tcPr>
            <w:tcW w:type="dxa" w:w="9360"/>
            <w:vAlign w:val="center"/>
            <w:shd w:fill="EEF4FB"/>
            <w:tcMar>
              <w:top w:w="80" w:type="dxa"/>
              <w:bottom w:w="80" w:type="dxa"/>
              <w:start w:w="120" w:type="dxa"/>
              <w:end w:w="120" w:type="dxa"/>
            </w:tcMar>
          </w:tcPr>
          <w:p>
            <w:pPr>
              <w:spacing w:before="0" w:after="0" w:line="259" w:lineRule="auto"/>
            </w:pPr>
            <w:r>
              <w:rPr>
                <w:rFonts w:ascii="KaiTi" w:hAnsi="KaiTi" w:eastAsia="楷体"/>
                <w:sz w:val="17"/>
              </w:rPr>
            </w:r>
            <w:r>
              <w:rPr>
                <w:rFonts w:ascii="KaiTi" w:hAnsi="KaiTi" w:eastAsia="楷体"/>
                <w:b/>
                <w:color w:val="1F4D78"/>
                <w:sz w:val="21"/>
              </w:rPr>
              <w:t>已确认：去掉“惠每”；登录成功直接进入医生智能体；初始允许未选择患者；主体 UI/UX 不重新设计。</w:t>
            </w:r>
          </w:p>
        </w:tc>
      </w:tr>
    </w:tbl>
    <w:p>
      <w:pPr>
        <w:spacing w:before="440" w:after="0"/>
      </w:pPr>
      <w:r>
        <w:rPr>
          <w:rFonts w:ascii="KaiTi" w:hAnsi="KaiTi" w:eastAsia="楷体"/>
          <w:b/>
          <w:i w:val="0"/>
          <w:color w:val="1F4D78"/>
          <w:sz w:val="24"/>
        </w:rPr>
        <w:t>北大医疗 · 北京大学国际医院</w:t>
      </w:r>
    </w:p>
    <w:p>
      <w:r>
        <w:rPr>
          <w:rFonts w:ascii="KaiTi" w:hAnsi="KaiTi" w:eastAsia="楷体"/>
        </w:rPr>
        <w:br w:type="page"/>
      </w:r>
    </w:p>
    <w:p>
      <w:pPr>
        <w:pStyle w:val="FrontMatterHeading"/>
      </w:pPr>
      <w:r>
        <w:rPr>
          <w:rFonts w:ascii="KaiTi" w:hAnsi="KaiTi" w:eastAsia="楷体"/>
          <w:b/>
          <w:i w:val="0"/>
          <w:color w:val="1F4D78"/>
          <w:sz w:val="21"/>
        </w:rPr>
        <w:t>文档结构</w:t>
      </w:r>
    </w:p>
    <w:p>
      <w:pPr>
        <w:numPr>
          <w:ilvl w:val="0"/>
          <w:numId w:val="103"/>
        </w:numPr>
        <w:spacing w:after="160" w:line="280" w:lineRule="auto"/>
      </w:pPr>
      <w:r>
        <w:rPr>
          <w:rFonts w:ascii="KaiTi" w:hAnsi="KaiTi" w:eastAsia="楷体"/>
          <w:b w:val="0"/>
          <w:i w:val="0"/>
          <w:sz w:val="21"/>
        </w:rPr>
        <w:t>产品结论与一期范围</w:t>
      </w:r>
    </w:p>
    <w:p>
      <w:pPr>
        <w:numPr>
          <w:ilvl w:val="0"/>
          <w:numId w:val="103"/>
        </w:numPr>
        <w:spacing w:after="160" w:line="280" w:lineRule="auto"/>
      </w:pPr>
      <w:r>
        <w:rPr>
          <w:rFonts w:ascii="KaiTi" w:hAnsi="KaiTi" w:eastAsia="楷体"/>
          <w:b w:val="0"/>
          <w:i w:val="0"/>
          <w:sz w:val="21"/>
        </w:rPr>
        <w:t>UI/UX 基线与变更控制</w:t>
      </w:r>
    </w:p>
    <w:p>
      <w:pPr>
        <w:numPr>
          <w:ilvl w:val="0"/>
          <w:numId w:val="103"/>
        </w:numPr>
        <w:spacing w:after="160" w:line="280" w:lineRule="auto"/>
      </w:pPr>
      <w:r>
        <w:rPr>
          <w:rFonts w:ascii="KaiTi" w:hAnsi="KaiTi" w:eastAsia="楷体"/>
          <w:b w:val="0"/>
          <w:i w:val="0"/>
          <w:sz w:val="21"/>
        </w:rPr>
        <w:t>UI/UX 原型与需求追踪</w:t>
      </w:r>
    </w:p>
    <w:p>
      <w:pPr>
        <w:numPr>
          <w:ilvl w:val="0"/>
          <w:numId w:val="103"/>
        </w:numPr>
        <w:spacing w:after="160" w:line="280" w:lineRule="auto"/>
      </w:pPr>
      <w:r>
        <w:rPr>
          <w:rFonts w:ascii="KaiTi" w:hAnsi="KaiTi" w:eastAsia="楷体"/>
          <w:b w:val="0"/>
          <w:i w:val="0"/>
          <w:sz w:val="21"/>
        </w:rPr>
        <w:t>F01–F07 逐功能详细需求</w:t>
      </w:r>
    </w:p>
    <w:p>
      <w:pPr>
        <w:numPr>
          <w:ilvl w:val="0"/>
          <w:numId w:val="103"/>
        </w:numPr>
        <w:spacing w:after="160" w:line="280" w:lineRule="auto"/>
      </w:pPr>
      <w:r>
        <w:rPr>
          <w:rFonts w:ascii="KaiTi" w:hAnsi="KaiTi" w:eastAsia="楷体"/>
          <w:b w:val="0"/>
          <w:i w:val="0"/>
          <w:sz w:val="21"/>
        </w:rPr>
        <w:t>一期 UI/UX 与功能测试用例</w:t>
      </w:r>
    </w:p>
    <w:p>
      <w:pPr>
        <w:numPr>
          <w:ilvl w:val="0"/>
          <w:numId w:val="103"/>
        </w:numPr>
        <w:spacing w:after="160" w:line="280" w:lineRule="auto"/>
      </w:pPr>
      <w:r>
        <w:rPr>
          <w:rFonts w:ascii="KaiTi" w:hAnsi="KaiTi" w:eastAsia="楷体"/>
          <w:b w:val="0"/>
          <w:i w:val="0"/>
          <w:sz w:val="21"/>
        </w:rPr>
        <w:t>附录：源文件与交付清单</w:t>
      </w:r>
    </w:p>
    <w:p>
      <w:r>
        <w:rPr>
          <w:rFonts w:ascii="KaiTi" w:hAnsi="KaiTi" w:eastAsia="楷体"/>
          <w:b w:val="0"/>
          <w:i w:val="0"/>
          <w:color w:val="596370"/>
          <w:sz w:val="21"/>
        </w:rPr>
        <w:t>说明：本 PRD 将原型、需求编号和测试编号放在同一份文档中。详细 AgentScope 协议、Skills/MCP 注册表和岗位评测规则仍以项目内对应 Markdown 为技术基线。</w:t>
      </w:r>
    </w:p>
    <w:p>
      <w:r>
        <w:rPr>
          <w:rFonts w:ascii="KaiTi" w:hAnsi="KaiTi" w:eastAsia="楷体"/>
        </w:rPr>
        <w:br w:type="page"/>
      </w:r>
    </w:p>
    <w:p>
      <w:pPr>
        <w:pStyle w:val="Heading1"/>
        <w:pageBreakBefore w:val="0"/>
        <w:numPr>
          <w:ilvl w:val="0"/>
          <w:numId w:val="102"/>
        </w:numPr>
      </w:pPr>
      <w:r>
        <w:rPr>
          <w:rFonts w:ascii="KaiTi" w:hAnsi="KaiTi" w:eastAsia="楷体"/>
          <w:b/>
          <w:i w:val="0"/>
          <w:color w:val="1F4D78"/>
          <w:sz w:val="32"/>
        </w:rPr>
        <w:t>产品结论与一期范围</w:t>
      </w:r>
    </w:p>
    <w:p>
      <w:r>
        <w:rPr>
          <w:rFonts w:ascii="KaiTi" w:hAnsi="KaiTi" w:eastAsia="楷体"/>
          <w:b w:val="0"/>
          <w:i w:val="0"/>
          <w:sz w:val="21"/>
        </w:rPr>
        <w:t>Doctor Agent 是嵌入门诊工作流的医生智能体产品。医生看到的是 7 个可完成的临床任务；底层由 6 个可治理、可集成、可评测的 Agent 承载。产品开发、Agent 集成、Agent 岗位定义与调优三条线并行推进。</w:t>
      </w:r>
    </w:p>
    <w:p>
      <w:pPr>
        <w:pStyle w:val="Heading2"/>
        <w:pageBreakBefore w:val="0"/>
        <w:numPr>
          <w:ilvl w:val="1"/>
          <w:numId w:val="102"/>
        </w:numPr>
      </w:pPr>
      <w:r>
        <w:rPr>
          <w:rFonts w:ascii="KaiTi" w:hAnsi="KaiTi" w:eastAsia="楷体"/>
          <w:b/>
          <w:i w:val="0"/>
          <w:color w:val="1F4D78"/>
          <w:sz w:val="26"/>
        </w:rPr>
        <w:t>三条工作线</w:t>
      </w:r>
    </w:p>
    <w:p>
      <w:pPr>
        <w:numPr>
          <w:ilvl w:val="0"/>
          <w:numId w:val="100"/>
        </w:numPr>
        <w:spacing w:after="160" w:line="280" w:lineRule="auto"/>
      </w:pPr>
      <w:r>
        <w:rPr>
          <w:rFonts w:ascii="KaiTi" w:hAnsi="KaiTi" w:eastAsia="楷体"/>
          <w:b w:val="0"/>
          <w:i w:val="0"/>
          <w:sz w:val="21"/>
        </w:rPr>
        <w:t>产品功能开发条线：实现真实的用户界面、业务流程、状态、权限、审计和模拟写回。</w:t>
      </w:r>
    </w:p>
    <w:p>
      <w:pPr>
        <w:numPr>
          <w:ilvl w:val="0"/>
          <w:numId w:val="100"/>
        </w:numPr>
        <w:spacing w:after="160" w:line="280" w:lineRule="auto"/>
      </w:pPr>
      <w:r>
        <w:rPr>
          <w:rFonts w:ascii="KaiTi" w:hAnsi="KaiTi" w:eastAsia="楷体"/>
          <w:b w:val="0"/>
          <w:i w:val="0"/>
          <w:sz w:val="21"/>
        </w:rPr>
        <w:t>Agent 集成条线：定义产品何时调用 AgentScope、Agent 调用哪些 Skills/MCP/数据，以及结果如何返回原界面。</w:t>
      </w:r>
    </w:p>
    <w:p>
      <w:pPr>
        <w:numPr>
          <w:ilvl w:val="0"/>
          <w:numId w:val="100"/>
        </w:numPr>
        <w:spacing w:after="160" w:line="280" w:lineRule="auto"/>
      </w:pPr>
      <w:r>
        <w:rPr>
          <w:rFonts w:ascii="KaiTi" w:hAnsi="KaiTi" w:eastAsia="楷体"/>
          <w:b w:val="0"/>
          <w:i w:val="0"/>
          <w:sz w:val="21"/>
        </w:rPr>
        <w:t>Agent 岗位定义和调优条线：定义 6 个 Agent 的岗位、调用条件、输出、准确性、上下文和评测数据集。</w:t>
      </w:r>
    </w:p>
    <w:p>
      <w:pPr>
        <w:pStyle w:val="Heading2"/>
        <w:pageBreakBefore w:val="0"/>
        <w:numPr>
          <w:ilvl w:val="1"/>
          <w:numId w:val="102"/>
        </w:numPr>
      </w:pPr>
      <w:r>
        <w:rPr>
          <w:rFonts w:ascii="KaiTi" w:hAnsi="KaiTi" w:eastAsia="楷体"/>
          <w:b/>
          <w:i w:val="0"/>
          <w:color w:val="1F4D78"/>
          <w:sz w:val="26"/>
        </w:rPr>
        <w:t>一期七功能与六 Agent</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产品功能</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承载 Agent</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一期核心输出</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语音问诊</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语音问诊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转写、结构化病史、澄清</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病情概况</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病情概况 Agent</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摘要、问题、趋势、缺失/冲突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病历生成</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病历生成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分字段草稿、遗漏、质控</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鉴别诊断</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 Agent</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候选诊断、证据、待补信息</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诊断管理</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主次/待排管理、模拟写回</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风险管理</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风险管理 Agent</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风险项、等级、证据、闭环</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共病管理</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共病管理 Agent</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共病、相互影响、管理缺口</w:t>
            </w:r>
          </w:p>
        </w:tc>
      </w:tr>
    </w:tbl>
    <w:p>
      <w:pPr>
        <w:spacing w:after="40"/>
      </w:pPr>
    </w:p>
    <w:p>
      <w:pPr>
        <w:pStyle w:val="Heading2"/>
        <w:pageBreakBefore w:val="0"/>
        <w:numPr>
          <w:ilvl w:val="1"/>
          <w:numId w:val="102"/>
        </w:numPr>
      </w:pPr>
      <w:r>
        <w:rPr>
          <w:rFonts w:ascii="KaiTi" w:hAnsi="KaiTi" w:eastAsia="楷体"/>
          <w:b/>
          <w:i w:val="0"/>
          <w:color w:val="1F4D78"/>
          <w:sz w:val="26"/>
        </w:rPr>
        <w:t>一期专科范围</w:t>
      </w:r>
    </w:p>
    <w:p>
      <w:pPr>
        <w:numPr>
          <w:ilvl w:val="0"/>
          <w:numId w:val="100"/>
        </w:numPr>
        <w:spacing w:after="160" w:line="280" w:lineRule="auto"/>
      </w:pPr>
      <w:r>
        <w:rPr>
          <w:rFonts w:ascii="KaiTi" w:hAnsi="KaiTi" w:eastAsia="楷体"/>
          <w:b w:val="0"/>
          <w:i w:val="0"/>
          <w:sz w:val="21"/>
        </w:rPr>
        <w:t>内科：首包聚焦内分泌代谢门诊，以 2 型糖尿病复诊和并发症筛查为首批场景。</w:t>
      </w:r>
    </w:p>
    <w:p>
      <w:pPr>
        <w:numPr>
          <w:ilvl w:val="0"/>
          <w:numId w:val="100"/>
        </w:numPr>
        <w:spacing w:after="160" w:line="280" w:lineRule="auto"/>
      </w:pPr>
      <w:r>
        <w:rPr>
          <w:rFonts w:ascii="KaiTi" w:hAnsi="KaiTi" w:eastAsia="楷体"/>
          <w:b w:val="0"/>
          <w:i w:val="0"/>
          <w:sz w:val="21"/>
        </w:rPr>
        <w:t>普通骨科：以颈肩腰腿痛、膝骨关节炎和红旗筛查为首批场景。</w:t>
      </w:r>
    </w:p>
    <w:p>
      <w:pPr>
        <w:numPr>
          <w:ilvl w:val="0"/>
          <w:numId w:val="100"/>
        </w:numPr>
        <w:spacing w:after="160" w:line="280" w:lineRule="auto"/>
      </w:pPr>
      <w:r>
        <w:rPr>
          <w:rFonts w:ascii="KaiTi" w:hAnsi="KaiTi" w:eastAsia="楷体"/>
          <w:b w:val="0"/>
          <w:i w:val="0"/>
          <w:sz w:val="21"/>
        </w:rPr>
        <w:t>普通妇科：以异常子宫出血、HPV/TCT 异常随访和妊娠相关红旗为首批场景。</w:t>
      </w:r>
    </w:p>
    <w:p>
      <w:pPr>
        <w:pStyle w:val="Heading2"/>
        <w:pageBreakBefore w:val="0"/>
        <w:numPr>
          <w:ilvl w:val="1"/>
          <w:numId w:val="102"/>
        </w:numPr>
      </w:pPr>
      <w:r>
        <w:rPr>
          <w:rFonts w:ascii="KaiTi" w:hAnsi="KaiTi" w:eastAsia="楷体"/>
          <w:b/>
          <w:i w:val="0"/>
          <w:color w:val="1F4D78"/>
          <w:sz w:val="26"/>
        </w:rPr>
        <w:t>当前产品入口</w:t>
      </w:r>
    </w:p>
    <w:p>
      <w:pPr>
        <w:numPr>
          <w:ilvl w:val="0"/>
          <w:numId w:val="104"/>
        </w:numPr>
        <w:spacing w:after="160" w:line="280" w:lineRule="auto"/>
      </w:pPr>
      <w:r>
        <w:rPr>
          <w:rFonts w:ascii="KaiTi" w:hAnsi="KaiTi" w:eastAsia="楷体"/>
          <w:b w:val="0"/>
          <w:i w:val="0"/>
          <w:sz w:val="21"/>
        </w:rPr>
        <w:t>登录后直接进入医生智能体，不经过候诊列表。</w:t>
      </w:r>
    </w:p>
    <w:p>
      <w:pPr>
        <w:numPr>
          <w:ilvl w:val="0"/>
          <w:numId w:val="104"/>
        </w:numPr>
        <w:spacing w:after="160" w:line="280" w:lineRule="auto"/>
      </w:pPr>
      <w:r>
        <w:rPr>
          <w:rFonts w:ascii="KaiTi" w:hAnsi="KaiTi" w:eastAsia="楷体"/>
          <w:b w:val="0"/>
          <w:i w:val="0"/>
          <w:sz w:val="21"/>
        </w:rPr>
        <w:t>允许以“未选择患者”状态进入，随后通过语音、文字、接诊下一位或患者快捷入口绑定患者。</w:t>
      </w:r>
    </w:p>
    <w:p>
      <w:pPr>
        <w:numPr>
          <w:ilvl w:val="0"/>
          <w:numId w:val="104"/>
        </w:numPr>
        <w:spacing w:after="160" w:line="280" w:lineRule="auto"/>
      </w:pPr>
      <w:r>
        <w:rPr>
          <w:rFonts w:ascii="KaiTi" w:hAnsi="KaiTi" w:eastAsia="楷体"/>
          <w:b w:val="0"/>
          <w:i w:val="0"/>
          <w:sz w:val="21"/>
        </w:rPr>
        <w:t>患者未绑定前不调用临床 Agent；患者绑定后才准备上下文并开放七项功能。</w:t>
      </w:r>
    </w:p>
    <w:p>
      <w:pPr>
        <w:numPr>
          <w:ilvl w:val="0"/>
          <w:numId w:val="104"/>
        </w:numPr>
        <w:spacing w:after="160" w:line="280" w:lineRule="auto"/>
      </w:pPr>
      <w:r>
        <w:rPr>
          <w:rFonts w:ascii="KaiTi" w:hAnsi="KaiTi" w:eastAsia="楷体"/>
          <w:b w:val="0"/>
          <w:i w:val="0"/>
          <w:sz w:val="21"/>
        </w:rPr>
        <w:t>候诊列表保留为次级入口，不再作为强制流程。</w:t>
      </w:r>
    </w:p>
    <w:p>
      <w:pPr>
        <w:pStyle w:val="Heading2"/>
        <w:pageBreakBefore w:val="0"/>
        <w:numPr>
          <w:ilvl w:val="1"/>
          <w:numId w:val="102"/>
        </w:numPr>
      </w:pPr>
      <w:r>
        <w:rPr>
          <w:rFonts w:ascii="KaiTi" w:hAnsi="KaiTi" w:eastAsia="楷体"/>
          <w:b/>
          <w:i w:val="0"/>
          <w:color w:val="1F4D78"/>
          <w:sz w:val="26"/>
        </w:rPr>
        <w:t>产品与 Agent 集成边界</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阶段</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向上对产品</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向下对 AgentScope</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调用阶段</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页面事件、患者/就诊、功能 ID、调用条件</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任务类型、岗位版本、幂等键、超时</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执行</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展示准备中/运行中/澄清/失败</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Skills、MCP、数据上下文、最小权限</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结果返回</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映射到原 HTML 区域、医生动作、模拟写回</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Schema、安全门禁、来源、版本、审计</w:t>
            </w:r>
          </w:p>
        </w:tc>
      </w:tr>
    </w:tbl>
    <w:p>
      <w:pPr>
        <w:spacing w:after="40"/>
      </w:pPr>
    </w:p>
    <w:p>
      <w:pPr>
        <w:pStyle w:val="Heading1"/>
        <w:pageBreakBefore w:val="0"/>
        <w:numPr>
          <w:ilvl w:val="0"/>
          <w:numId w:val="102"/>
        </w:numPr>
      </w:pPr>
      <w:r>
        <w:rPr>
          <w:rFonts w:ascii="KaiTi" w:hAnsi="KaiTi" w:eastAsia="楷体"/>
          <w:b/>
          <w:i w:val="0"/>
          <w:color w:val="1F4D78"/>
          <w:sz w:val="32"/>
        </w:rPr>
        <w:t>UI/UX 基线与变更控制</w:t>
      </w:r>
    </w:p>
    <w:p>
      <w:r>
        <w:rPr>
          <w:rFonts w:ascii="KaiTi" w:hAnsi="KaiTi" w:eastAsia="楷体"/>
          <w:b w:val="0"/>
          <w:i w:val="0"/>
          <w:color w:val="596370"/>
          <w:sz w:val="19"/>
        </w:rPr>
        <w:t>版本：</w:t>
      </w:r>
      <w:r>
        <w:rPr>
          <w:rFonts w:ascii="KaiTi" w:hAnsi="KaiTi" w:eastAsia="楷体"/>
          <w:b/>
          <w:i w:val="0"/>
          <w:color w:val="596370"/>
          <w:sz w:val="19"/>
        </w:rPr>
        <w:t>v0.3-confirmed</w:t>
      </w:r>
      <w:r>
        <w:rPr>
          <w:rFonts w:ascii="KaiTi" w:hAnsi="KaiTi" w:eastAsia="楷体"/>
          <w:b w:val="0"/>
          <w:i w:val="0"/>
          <w:color w:val="596370"/>
          <w:sz w:val="19"/>
        </w:rPr>
        <w:t xml:space="preserve"> 确认日期：</w:t>
      </w:r>
      <w:r>
        <w:rPr>
          <w:rFonts w:ascii="KaiTi" w:hAnsi="KaiTi" w:eastAsia="楷体"/>
          <w:b/>
          <w:i w:val="0"/>
          <w:color w:val="596370"/>
          <w:sz w:val="19"/>
        </w:rPr>
        <w:t>2026-08-28</w:t>
      </w:r>
      <w:r>
        <w:rPr>
          <w:rFonts w:ascii="KaiTi" w:hAnsi="KaiTi" w:eastAsia="楷体"/>
          <w:b w:val="0"/>
          <w:i w:val="0"/>
          <w:color w:val="596370"/>
          <w:sz w:val="19"/>
        </w:rPr>
        <w:t xml:space="preserve"> 原始 HTML：</w:t>
      </w:r>
      <w:r>
        <w:rPr>
          <w:rFonts w:ascii="KaiTi" w:hAnsi="KaiTi" w:eastAsia="楷体"/>
          <w:b/>
          <w:i w:val="0"/>
          <w:color w:val="596370"/>
          <w:sz w:val="19"/>
        </w:rPr>
        <w:t>references/ui-demo/AI-HIS门诊模块V4.3.html</w:t>
      </w:r>
      <w:r>
        <w:rPr>
          <w:rFonts w:ascii="KaiTi" w:hAnsi="KaiTi" w:eastAsia="楷体"/>
          <w:b w:val="0"/>
          <w:i w:val="0"/>
          <w:color w:val="596370"/>
          <w:sz w:val="19"/>
        </w:rPr>
        <w:t xml:space="preserve"> 当前产品基线：</w:t>
      </w:r>
      <w:r>
        <w:rPr>
          <w:rFonts w:ascii="KaiTi" w:hAnsi="KaiTi" w:eastAsia="楷体"/>
          <w:b/>
          <w:i w:val="0"/>
          <w:color w:val="596370"/>
          <w:sz w:val="19"/>
        </w:rPr>
        <w:t>design/current/AI-HIS医生智能体一期.html</w:t>
      </w:r>
    </w:p>
    <w:p>
      <w:pPr>
        <w:pStyle w:val="Heading2"/>
        <w:pageBreakBefore w:val="0"/>
        <w:numPr>
          <w:ilvl w:val="1"/>
          <w:numId w:val="102"/>
        </w:numPr>
      </w:pPr>
      <w:r>
        <w:rPr>
          <w:rFonts w:ascii="KaiTi" w:hAnsi="KaiTi" w:eastAsia="楷体"/>
          <w:b/>
          <w:i w:val="0"/>
          <w:color w:val="1F4D78"/>
          <w:sz w:val="26"/>
        </w:rPr>
        <w:t>已确认结论</w:t>
      </w:r>
    </w:p>
    <w:p>
      <w:r>
        <w:rPr>
          <w:rFonts w:ascii="KaiTi" w:hAnsi="KaiTi" w:eastAsia="楷体"/>
          <w:b w:val="0"/>
          <w:i w:val="0"/>
          <w:sz w:val="21"/>
        </w:rPr>
        <w:t xml:space="preserve">一期产品沿用最早的 </w:t>
      </w:r>
      <w:r>
        <w:rPr>
          <w:rFonts w:ascii="KaiTi" w:hAnsi="KaiTi" w:eastAsia="楷体"/>
          <w:b/>
          <w:i w:val="0"/>
          <w:sz w:val="21"/>
        </w:rPr>
        <w:t>AI-HIS门诊模块V4.3.html</w:t>
      </w:r>
      <w:r>
        <w:rPr>
          <w:rFonts w:ascii="KaiTi" w:hAnsi="KaiTi" w:eastAsia="楷体"/>
          <w:b w:val="0"/>
          <w:i w:val="0"/>
          <w:sz w:val="21"/>
        </w:rPr>
        <w:t>。当前产品基线只增加以下三项已确认差异：</w:t>
      </w:r>
    </w:p>
    <w:p>
      <w:pPr>
        <w:numPr>
          <w:ilvl w:val="0"/>
          <w:numId w:val="105"/>
        </w:numPr>
        <w:spacing w:after="160" w:line="280" w:lineRule="auto"/>
      </w:pPr>
      <w:r>
        <w:rPr>
          <w:rFonts w:ascii="KaiTi" w:hAnsi="KaiTi" w:eastAsia="楷体"/>
          <w:b w:val="0"/>
          <w:i w:val="0"/>
          <w:sz w:val="21"/>
        </w:rPr>
        <w:t>删除界面内所有“惠每”文字。</w:t>
      </w:r>
    </w:p>
    <w:p>
      <w:pPr>
        <w:numPr>
          <w:ilvl w:val="0"/>
          <w:numId w:val="105"/>
        </w:numPr>
        <w:spacing w:after="160" w:line="280" w:lineRule="auto"/>
      </w:pPr>
      <w:r>
        <w:rPr>
          <w:rFonts w:ascii="KaiTi" w:hAnsi="KaiTi" w:eastAsia="楷体"/>
          <w:b w:val="0"/>
          <w:i w:val="0"/>
          <w:sz w:val="21"/>
        </w:rPr>
        <w:t>登录按钮显示“进入医生智能体”。</w:t>
      </w:r>
    </w:p>
    <w:p>
      <w:pPr>
        <w:numPr>
          <w:ilvl w:val="0"/>
          <w:numId w:val="105"/>
        </w:numPr>
        <w:spacing w:after="160" w:line="280" w:lineRule="auto"/>
      </w:pPr>
      <w:r>
        <w:rPr>
          <w:rFonts w:ascii="KaiTi" w:hAnsi="KaiTi" w:eastAsia="楷体"/>
          <w:b w:val="0"/>
          <w:i w:val="0"/>
          <w:sz w:val="21"/>
        </w:rPr>
        <w:t xml:space="preserve">登录成功直接进入医生智能体所在的 </w:t>
      </w:r>
      <w:r>
        <w:rPr>
          <w:rFonts w:ascii="KaiTi" w:hAnsi="KaiTi" w:eastAsia="楷体"/>
          <w:b/>
          <w:i w:val="0"/>
          <w:sz w:val="21"/>
        </w:rPr>
        <w:t>/outpatient</w:t>
      </w:r>
      <w:r>
        <w:rPr>
          <w:rFonts w:ascii="KaiTi" w:hAnsi="KaiTi" w:eastAsia="楷体"/>
          <w:b w:val="0"/>
          <w:i w:val="0"/>
          <w:sz w:val="21"/>
        </w:rPr>
        <w:t xml:space="preserve"> 页面，不再进入候诊/患者选择页。</w:t>
      </w:r>
    </w:p>
    <w:p>
      <w:pPr>
        <w:numPr>
          <w:ilvl w:val="0"/>
          <w:numId w:val="100"/>
        </w:numPr>
        <w:spacing w:after="160" w:line="280" w:lineRule="auto"/>
      </w:pPr>
      <w:r>
        <w:rPr>
          <w:rFonts w:ascii="KaiTi" w:hAnsi="KaiTi" w:eastAsia="楷体"/>
          <w:b w:val="0"/>
          <w:i w:val="0"/>
          <w:sz w:val="21"/>
        </w:rPr>
        <w:t>页面布局不重新设计。</w:t>
      </w:r>
    </w:p>
    <w:p>
      <w:pPr>
        <w:numPr>
          <w:ilvl w:val="0"/>
          <w:numId w:val="100"/>
        </w:numPr>
        <w:spacing w:after="160" w:line="280" w:lineRule="auto"/>
      </w:pPr>
      <w:r>
        <w:rPr>
          <w:rFonts w:ascii="KaiTi" w:hAnsi="KaiTi" w:eastAsia="楷体"/>
          <w:b w:val="0"/>
          <w:i w:val="0"/>
          <w:sz w:val="21"/>
        </w:rPr>
        <w:t>信息架构不重新设计。</w:t>
      </w:r>
    </w:p>
    <w:p>
      <w:pPr>
        <w:numPr>
          <w:ilvl w:val="0"/>
          <w:numId w:val="100"/>
        </w:numPr>
        <w:spacing w:after="160" w:line="280" w:lineRule="auto"/>
      </w:pPr>
      <w:r>
        <w:rPr>
          <w:rFonts w:ascii="KaiTi" w:hAnsi="KaiTi" w:eastAsia="楷体"/>
          <w:b w:val="0"/>
          <w:i w:val="0"/>
          <w:sz w:val="21"/>
        </w:rPr>
        <w:t>导航层级、操作路径和交互方式不改变。</w:t>
      </w:r>
    </w:p>
    <w:p>
      <w:pPr>
        <w:numPr>
          <w:ilvl w:val="0"/>
          <w:numId w:val="100"/>
        </w:numPr>
        <w:spacing w:after="160" w:line="280" w:lineRule="auto"/>
      </w:pPr>
      <w:r>
        <w:rPr>
          <w:rFonts w:ascii="KaiTi" w:hAnsi="KaiTi" w:eastAsia="楷体"/>
          <w:b w:val="0"/>
          <w:i w:val="0"/>
          <w:sz w:val="21"/>
        </w:rPr>
        <w:t>颜色、字体、圆角、间距、卡片、表格、弹窗和面板样式沿用原 HTML。</w:t>
      </w:r>
    </w:p>
    <w:p>
      <w:pPr>
        <w:numPr>
          <w:ilvl w:val="0"/>
          <w:numId w:val="100"/>
        </w:numPr>
        <w:spacing w:after="160" w:line="280" w:lineRule="auto"/>
      </w:pPr>
      <w:r>
        <w:rPr>
          <w:rFonts w:ascii="KaiTi" w:hAnsi="KaiTi" w:eastAsia="楷体"/>
          <w:b w:val="0"/>
          <w:i w:val="0"/>
          <w:sz w:val="21"/>
        </w:rPr>
        <w:t>不以此前制作的新版原型或 Figma 探索稿作为开发、测试或验收依据。</w:t>
      </w:r>
    </w:p>
    <w:p>
      <w:pPr>
        <w:numPr>
          <w:ilvl w:val="0"/>
          <w:numId w:val="100"/>
        </w:numPr>
        <w:spacing w:after="160" w:line="280" w:lineRule="auto"/>
      </w:pPr>
      <w:r>
        <w:rPr>
          <w:rFonts w:ascii="KaiTi" w:hAnsi="KaiTi" w:eastAsia="楷体"/>
          <w:b w:val="0"/>
          <w:i w:val="0"/>
          <w:sz w:val="21"/>
        </w:rPr>
        <w:t>7 个产品功能以增量方式接入原界面的既有区域，不为了容纳 Agent 能力改造整套工作台。</w:t>
      </w:r>
    </w:p>
    <w:p>
      <w:r>
        <w:rPr>
          <w:rFonts w:ascii="KaiTi" w:hAnsi="KaiTi" w:eastAsia="楷体"/>
          <w:b w:val="0"/>
          <w:i w:val="0"/>
          <w:sz w:val="21"/>
        </w:rPr>
        <w:t>除上述三项差异外，不改变原页面结构、控件样式或操作路径。正式机构名称和 Logo 是否加入界面，等待后续单独确认。</w:t>
      </w:r>
    </w:p>
    <w:p>
      <w:pPr>
        <w:pStyle w:val="Heading2"/>
        <w:pageBreakBefore w:val="0"/>
        <w:numPr>
          <w:ilvl w:val="1"/>
          <w:numId w:val="102"/>
        </w:numPr>
      </w:pPr>
      <w:r>
        <w:rPr>
          <w:rFonts w:ascii="KaiTi" w:hAnsi="KaiTi" w:eastAsia="楷体"/>
          <w:b/>
          <w:i w:val="0"/>
          <w:color w:val="1F4D78"/>
          <w:sz w:val="26"/>
        </w:rPr>
        <w:t>开发基线</w:t>
      </w:r>
    </w:p>
    <w:p>
      <w:pPr>
        <w:pStyle w:val="Heading3"/>
        <w:pageBreakBefore w:val="0"/>
        <w:numPr>
          <w:ilvl w:val="2"/>
          <w:numId w:val="102"/>
        </w:numPr>
      </w:pPr>
      <w:r>
        <w:rPr>
          <w:rFonts w:ascii="KaiTi" w:hAnsi="KaiTi" w:eastAsia="楷体"/>
          <w:b/>
          <w:i w:val="0"/>
          <w:color w:val="1F4D78"/>
          <w:sz w:val="24"/>
        </w:rPr>
        <w:t>必须直接继承</w:t>
      </w:r>
    </w:p>
    <w:p>
      <w:pPr>
        <w:numPr>
          <w:ilvl w:val="0"/>
          <w:numId w:val="100"/>
        </w:numPr>
        <w:spacing w:after="160" w:line="280" w:lineRule="auto"/>
      </w:pPr>
      <w:r>
        <w:rPr>
          <w:rFonts w:ascii="KaiTi" w:hAnsi="KaiTi" w:eastAsia="楷体"/>
          <w:b w:val="0"/>
          <w:i w:val="0"/>
          <w:sz w:val="21"/>
        </w:rPr>
        <w:t>登录页、候诊列表、医生工作站和患者管理的页面结构。</w:t>
      </w:r>
    </w:p>
    <w:p>
      <w:pPr>
        <w:numPr>
          <w:ilvl w:val="0"/>
          <w:numId w:val="100"/>
        </w:numPr>
        <w:spacing w:after="160" w:line="280" w:lineRule="auto"/>
      </w:pPr>
      <w:r>
        <w:rPr>
          <w:rFonts w:ascii="KaiTi" w:hAnsi="KaiTi" w:eastAsia="楷体"/>
          <w:b w:val="0"/>
          <w:i w:val="0"/>
          <w:sz w:val="21"/>
        </w:rPr>
        <w:t>医生工作站现有主临床区、AI 辅助区、医生智能体区和智能笔记区。</w:t>
      </w:r>
    </w:p>
    <w:p>
      <w:pPr>
        <w:numPr>
          <w:ilvl w:val="0"/>
          <w:numId w:val="100"/>
        </w:numPr>
        <w:spacing w:after="160" w:line="280" w:lineRule="auto"/>
      </w:pPr>
      <w:r>
        <w:rPr>
          <w:rFonts w:ascii="KaiTi" w:hAnsi="KaiTi" w:eastAsia="楷体"/>
          <w:b w:val="0"/>
          <w:i w:val="0"/>
          <w:sz w:val="21"/>
        </w:rPr>
        <w:t>原有顶部导航、患者信息、标签页、按钮位置、卡片形式和弹窗形式。</w:t>
      </w:r>
    </w:p>
    <w:p>
      <w:pPr>
        <w:numPr>
          <w:ilvl w:val="0"/>
          <w:numId w:val="100"/>
        </w:numPr>
        <w:spacing w:after="160" w:line="280" w:lineRule="auto"/>
      </w:pPr>
      <w:r>
        <w:rPr>
          <w:rFonts w:ascii="KaiTi" w:hAnsi="KaiTi" w:eastAsia="楷体"/>
          <w:b w:val="0"/>
          <w:i w:val="0"/>
          <w:sz w:val="21"/>
        </w:rPr>
        <w:t>原有桌面端信息密度、响应式行为和主要操作反馈。</w:t>
      </w:r>
    </w:p>
    <w:p>
      <w:pPr>
        <w:numPr>
          <w:ilvl w:val="0"/>
          <w:numId w:val="100"/>
        </w:numPr>
        <w:spacing w:after="160" w:line="280" w:lineRule="auto"/>
      </w:pPr>
      <w:r>
        <w:rPr>
          <w:rFonts w:ascii="KaiTi" w:hAnsi="KaiTi" w:eastAsia="楷体"/>
          <w:b w:val="0"/>
          <w:i w:val="0"/>
          <w:sz w:val="21"/>
        </w:rPr>
        <w:t>原 HTML 中已经存在的候诊、接诊、病历、诊断、检验检查、预警及患者管理流程。</w:t>
      </w:r>
    </w:p>
    <w:p>
      <w:pPr>
        <w:pStyle w:val="Heading3"/>
        <w:pageBreakBefore w:val="0"/>
        <w:numPr>
          <w:ilvl w:val="2"/>
          <w:numId w:val="102"/>
        </w:numPr>
      </w:pPr>
      <w:r>
        <w:rPr>
          <w:rFonts w:ascii="KaiTi" w:hAnsi="KaiTi" w:eastAsia="楷体"/>
          <w:b/>
          <w:i w:val="0"/>
          <w:color w:val="1F4D78"/>
          <w:sz w:val="24"/>
        </w:rPr>
        <w:t>一期不得自行改变</w:t>
      </w:r>
    </w:p>
    <w:p>
      <w:pPr>
        <w:numPr>
          <w:ilvl w:val="0"/>
          <w:numId w:val="100"/>
        </w:numPr>
        <w:spacing w:after="160" w:line="280" w:lineRule="auto"/>
      </w:pPr>
      <w:r>
        <w:rPr>
          <w:rFonts w:ascii="KaiTi" w:hAnsi="KaiTi" w:eastAsia="楷体"/>
          <w:b w:val="0"/>
          <w:i w:val="0"/>
          <w:sz w:val="21"/>
        </w:rPr>
        <w:t>不合并或拆分原有面板。</w:t>
      </w:r>
    </w:p>
    <w:p>
      <w:pPr>
        <w:numPr>
          <w:ilvl w:val="0"/>
          <w:numId w:val="100"/>
        </w:numPr>
        <w:spacing w:after="160" w:line="280" w:lineRule="auto"/>
      </w:pPr>
      <w:r>
        <w:rPr>
          <w:rFonts w:ascii="KaiTi" w:hAnsi="KaiTi" w:eastAsia="楷体"/>
          <w:b w:val="0"/>
          <w:i w:val="0"/>
          <w:sz w:val="21"/>
        </w:rPr>
        <w:t>不新增一套“统一 Agent 工作区”替换现有区域。</w:t>
      </w:r>
    </w:p>
    <w:p>
      <w:pPr>
        <w:numPr>
          <w:ilvl w:val="0"/>
          <w:numId w:val="100"/>
        </w:numPr>
        <w:spacing w:after="160" w:line="280" w:lineRule="auto"/>
      </w:pPr>
      <w:r>
        <w:rPr>
          <w:rFonts w:ascii="KaiTi" w:hAnsi="KaiTi" w:eastAsia="楷体"/>
          <w:b w:val="0"/>
          <w:i w:val="0"/>
          <w:sz w:val="21"/>
        </w:rPr>
        <w:t>不将现有交互改造成聊天优先、抽屉优先或卡片优先的新模式。</w:t>
      </w:r>
    </w:p>
    <w:p>
      <w:pPr>
        <w:numPr>
          <w:ilvl w:val="0"/>
          <w:numId w:val="100"/>
        </w:numPr>
        <w:spacing w:after="160" w:line="280" w:lineRule="auto"/>
      </w:pPr>
      <w:r>
        <w:rPr>
          <w:rFonts w:ascii="KaiTi" w:hAnsi="KaiTi" w:eastAsia="楷体"/>
          <w:b w:val="0"/>
          <w:i w:val="0"/>
          <w:sz w:val="21"/>
        </w:rPr>
        <w:t>不调整主栏、侧栏的宽度关系和展开/收起逻辑。</w:t>
      </w:r>
    </w:p>
    <w:p>
      <w:pPr>
        <w:numPr>
          <w:ilvl w:val="0"/>
          <w:numId w:val="100"/>
        </w:numPr>
        <w:spacing w:after="160" w:line="280" w:lineRule="auto"/>
      </w:pPr>
      <w:r>
        <w:rPr>
          <w:rFonts w:ascii="KaiTi" w:hAnsi="KaiTi" w:eastAsia="楷体"/>
          <w:b w:val="0"/>
          <w:i w:val="0"/>
          <w:sz w:val="21"/>
        </w:rPr>
        <w:t>不引入新的设计令牌替换原 HTML 的视觉体系。</w:t>
      </w:r>
    </w:p>
    <w:p>
      <w:pPr>
        <w:numPr>
          <w:ilvl w:val="0"/>
          <w:numId w:val="100"/>
        </w:numPr>
        <w:spacing w:after="160" w:line="280" w:lineRule="auto"/>
      </w:pPr>
      <w:r>
        <w:rPr>
          <w:rFonts w:ascii="KaiTi" w:hAnsi="KaiTi" w:eastAsia="楷体"/>
          <w:b w:val="0"/>
          <w:i w:val="0"/>
          <w:sz w:val="21"/>
        </w:rPr>
        <w:t>不以个人审美调整字号、色值、阴影、圆角或留白。</w:t>
      </w:r>
    </w:p>
    <w:p>
      <w:pPr>
        <w:numPr>
          <w:ilvl w:val="0"/>
          <w:numId w:val="100"/>
        </w:numPr>
        <w:spacing w:after="160" w:line="280" w:lineRule="auto"/>
      </w:pPr>
      <w:r>
        <w:rPr>
          <w:rFonts w:ascii="KaiTi" w:hAnsi="KaiTi" w:eastAsia="楷体"/>
          <w:b w:val="0"/>
          <w:i w:val="0"/>
          <w:sz w:val="21"/>
        </w:rPr>
        <w:t>不因技术框架迁移而改变用户可见行为。</w:t>
      </w:r>
    </w:p>
    <w:p>
      <w:pPr>
        <w:pStyle w:val="Heading2"/>
        <w:pageBreakBefore w:val="0"/>
        <w:numPr>
          <w:ilvl w:val="1"/>
          <w:numId w:val="102"/>
        </w:numPr>
      </w:pPr>
      <w:r>
        <w:rPr>
          <w:rFonts w:ascii="KaiTi" w:hAnsi="KaiTi" w:eastAsia="楷体"/>
          <w:b/>
          <w:i w:val="0"/>
          <w:color w:val="1F4D78"/>
          <w:sz w:val="26"/>
        </w:rPr>
        <w:t>七个功能在原界面中的承载位置</w:t>
      </w:r>
    </w:p>
    <w:p>
      <w:r>
        <w:rPr>
          <w:rFonts w:ascii="KaiTi" w:hAnsi="KaiTi" w:eastAsia="楷体"/>
          <w:b w:val="0"/>
          <w:i w:val="0"/>
          <w:sz w:val="21"/>
        </w:rPr>
        <w:t>下表描述功能接入位置，不代表新增导航或重做页面。最终实现应优先复用原 HTML 已有入口、区域和交互控件。</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功能</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原界面主要承载区域</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一期增量内容</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语音问诊</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医生智能体/问诊相关入口</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录音、转写、结构化提取和澄清状态</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病情概况</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AI 辅助或医生智能体结果区</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综合病情摘要、主要问题、缺失与冲突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病历生成</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门诊病历、病历管理、智能笔记</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分字段生成、采纳、编辑和保存状态</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鉴别诊断</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智慧诊疗/诊断建议区域</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候选诊断、支持依据、反对依据和待补信息</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诊断管理</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原诊断列表及智慧诊疗区域</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主次诊断、待排诊断、排序和模拟写回</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风险管理</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预警评估、风险卡和异常结果区域</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风险分级、依据、处置状态和闭环记录</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共病管理</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智慧诊疗、医生智能体或患者管理相关区域</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共病状态、相互影响、管理缺口和行动建议</w:t>
            </w:r>
          </w:p>
        </w:tc>
      </w:tr>
    </w:tbl>
    <w:p>
      <w:pPr>
        <w:spacing w:after="40"/>
      </w:pPr>
    </w:p>
    <w:p>
      <w:r>
        <w:rPr>
          <w:rFonts w:ascii="KaiTi" w:hAnsi="KaiTi" w:eastAsia="楷体"/>
          <w:b w:val="0"/>
          <w:i w:val="0"/>
          <w:sz w:val="21"/>
        </w:rPr>
        <w:t>如原 HTML 中同一位置需要承载多个功能，应复用其既有标签、卡片、弹窗或切换方式，不得未经确认创建新的一级界面。</w:t>
      </w:r>
    </w:p>
    <w:p>
      <w:pPr>
        <w:pStyle w:val="Heading2"/>
        <w:pageBreakBefore w:val="0"/>
        <w:numPr>
          <w:ilvl w:val="1"/>
          <w:numId w:val="102"/>
        </w:numPr>
      </w:pPr>
      <w:r>
        <w:rPr>
          <w:rFonts w:ascii="KaiTi" w:hAnsi="KaiTi" w:eastAsia="楷体"/>
          <w:b/>
          <w:i w:val="0"/>
          <w:color w:val="1F4D78"/>
          <w:sz w:val="26"/>
        </w:rPr>
        <w:t>功能文档与 UI 的关系</w:t>
      </w:r>
    </w:p>
    <w:p>
      <w:r>
        <w:rPr>
          <w:rFonts w:ascii="KaiTi" w:hAnsi="KaiTi" w:eastAsia="楷体"/>
          <w:b w:val="0"/>
          <w:i w:val="0"/>
          <w:sz w:val="21"/>
        </w:rPr>
        <w:t xml:space="preserve">各功能 Markdown 中的 </w:t>
      </w:r>
      <w:r>
        <w:rPr>
          <w:rFonts w:ascii="KaiTi" w:hAnsi="KaiTi" w:eastAsia="楷体"/>
          <w:b/>
          <w:i w:val="0"/>
          <w:sz w:val="21"/>
        </w:rPr>
        <w:t>UX-Fxx-nnn</w:t>
      </w:r>
      <w:r>
        <w:rPr>
          <w:rFonts w:ascii="KaiTi" w:hAnsi="KaiTi" w:eastAsia="楷体"/>
          <w:b w:val="0"/>
          <w:i w:val="0"/>
          <w:sz w:val="21"/>
        </w:rPr>
        <w:t xml:space="preserve"> 用于规定需要展示的业务信息、调用状态、医生操作、人工确认及安全规则，不授权修改原 HTML 的视觉设计或页面结构。</w:t>
      </w:r>
    </w:p>
    <w:p>
      <w:r>
        <w:rPr>
          <w:rFonts w:ascii="KaiTi" w:hAnsi="KaiTi" w:eastAsia="楷体"/>
          <w:b w:val="0"/>
          <w:i w:val="0"/>
          <w:sz w:val="21"/>
        </w:rPr>
        <w:t>文档中出现“卡片”“抽屉”“工作区”“侧边栏”等词时，应理解为逻辑承载形式；开发时必须首先映射到原 HTML 已存在的对应组件。确实无法承载时，先形成差异说明并由产品负责人确认，不得直接重做 UI。</w:t>
      </w:r>
    </w:p>
    <w:p>
      <w:pPr>
        <w:pStyle w:val="Heading2"/>
        <w:pageBreakBefore w:val="0"/>
        <w:numPr>
          <w:ilvl w:val="1"/>
          <w:numId w:val="102"/>
        </w:numPr>
      </w:pPr>
      <w:r>
        <w:rPr>
          <w:rFonts w:ascii="KaiTi" w:hAnsi="KaiTi" w:eastAsia="楷体"/>
          <w:b/>
          <w:i w:val="0"/>
          <w:color w:val="1F4D78"/>
          <w:sz w:val="26"/>
        </w:rPr>
        <w:t>品牌替换边界</w:t>
      </w:r>
    </w:p>
    <w:p>
      <w:r>
        <w:rPr>
          <w:rFonts w:ascii="KaiTi" w:hAnsi="KaiTi" w:eastAsia="楷体"/>
          <w:b w:val="0"/>
          <w:i w:val="0"/>
          <w:sz w:val="21"/>
        </w:rPr>
        <w:t>当前确认仅删除浏览器标题、登录页、顶栏及页面内的“惠每”两字，不自动补入新的品牌前缀。登录按钮改为“进入医生智能体”。正式机构名称、产品名称和 Logo 由院方后续确认。</w:t>
      </w:r>
    </w:p>
    <w:p>
      <w:r>
        <w:rPr>
          <w:rFonts w:ascii="KaiTi" w:hAnsi="KaiTi" w:eastAsia="楷体"/>
          <w:b w:val="0"/>
          <w:i w:val="0"/>
          <w:sz w:val="21"/>
        </w:rPr>
        <w:t>品牌替换不改变原 HTML 的主色调、辅助色、控件、卡片、背景、风险色、状态色、字体、圆角、边框、阴影和间距。</w:t>
      </w:r>
    </w:p>
    <w:p>
      <w:pPr>
        <w:pStyle w:val="Heading2"/>
        <w:pageBreakBefore w:val="0"/>
        <w:numPr>
          <w:ilvl w:val="1"/>
          <w:numId w:val="102"/>
        </w:numPr>
      </w:pPr>
      <w:r>
        <w:rPr>
          <w:rFonts w:ascii="KaiTi" w:hAnsi="KaiTi" w:eastAsia="楷体"/>
          <w:b/>
          <w:i w:val="0"/>
          <w:color w:val="1F4D78"/>
          <w:sz w:val="26"/>
        </w:rPr>
        <w:t>UI 状态补齐原则</w:t>
      </w:r>
    </w:p>
    <w:p>
      <w:r>
        <w:rPr>
          <w:rFonts w:ascii="KaiTi" w:hAnsi="KaiTi" w:eastAsia="楷体"/>
          <w:b w:val="0"/>
          <w:i w:val="0"/>
          <w:sz w:val="21"/>
        </w:rPr>
        <w:t>为了让 Mock Agent 和真实 Agent 可切换，可以在原组件内补齐未调用、数据准备中、执行中、需要补充信息、结果就绪、结果过期、失败/降级、医生已采纳/编辑/拒绝及模拟写回结果等业务状态。</w:t>
      </w:r>
    </w:p>
    <w:p>
      <w:r>
        <w:rPr>
          <w:rFonts w:ascii="KaiTi" w:hAnsi="KaiTi" w:eastAsia="楷体"/>
          <w:b w:val="0"/>
          <w:i w:val="0"/>
          <w:sz w:val="21"/>
        </w:rPr>
        <w:t>新增状态必须复用原 HTML 已有的加载、标签、提示、弹窗和消息反馈样式。</w:t>
      </w:r>
    </w:p>
    <w:p>
      <w:pPr>
        <w:pStyle w:val="Heading2"/>
        <w:pageBreakBefore w:val="0"/>
        <w:numPr>
          <w:ilvl w:val="1"/>
          <w:numId w:val="102"/>
        </w:numPr>
      </w:pPr>
      <w:r>
        <w:rPr>
          <w:rFonts w:ascii="KaiTi" w:hAnsi="KaiTi" w:eastAsia="楷体"/>
          <w:b/>
          <w:i w:val="0"/>
          <w:color w:val="1F4D78"/>
          <w:sz w:val="26"/>
        </w:rPr>
        <w:t>UI 验收基准</w:t>
      </w:r>
    </w:p>
    <w:p>
      <w:r>
        <w:rPr>
          <w:rFonts w:ascii="KaiTi" w:hAnsi="KaiTi" w:eastAsia="楷体"/>
          <w:b w:val="0"/>
          <w:i w:val="0"/>
          <w:sz w:val="21"/>
        </w:rPr>
        <w:t>一期 UI 验收以原始 HTML 与实现页面逐屏对照为主：</w:t>
      </w:r>
    </w:p>
    <w:p>
      <w:pPr>
        <w:numPr>
          <w:ilvl w:val="0"/>
          <w:numId w:val="106"/>
        </w:numPr>
        <w:spacing w:after="160" w:line="280" w:lineRule="auto"/>
      </w:pPr>
      <w:r>
        <w:rPr>
          <w:rFonts w:ascii="KaiTi" w:hAnsi="KaiTi" w:eastAsia="楷体"/>
          <w:b w:val="0"/>
          <w:i w:val="0"/>
          <w:sz w:val="21"/>
        </w:rPr>
        <w:t>页面区域、导航和主要控件位置与原 HTML 一致。</w:t>
      </w:r>
    </w:p>
    <w:p>
      <w:pPr>
        <w:numPr>
          <w:ilvl w:val="0"/>
          <w:numId w:val="106"/>
        </w:numPr>
        <w:spacing w:after="160" w:line="280" w:lineRule="auto"/>
      </w:pPr>
      <w:r>
        <w:rPr>
          <w:rFonts w:ascii="KaiTi" w:hAnsi="KaiTi" w:eastAsia="楷体"/>
          <w:b w:val="0"/>
          <w:i w:val="0"/>
          <w:sz w:val="21"/>
        </w:rPr>
        <w:t>原有主要操作路径没有被改变或额外增加不必要步骤。</w:t>
      </w:r>
    </w:p>
    <w:p>
      <w:pPr>
        <w:numPr>
          <w:ilvl w:val="0"/>
          <w:numId w:val="106"/>
        </w:numPr>
        <w:spacing w:after="160" w:line="280" w:lineRule="auto"/>
      </w:pPr>
      <w:r>
        <w:rPr>
          <w:rFonts w:ascii="KaiTi" w:hAnsi="KaiTi" w:eastAsia="楷体"/>
          <w:b w:val="0"/>
          <w:i w:val="0"/>
          <w:sz w:val="21"/>
        </w:rPr>
        <w:t>原 HTML 已有功能没有因为 Agent 接入而退化。</w:t>
      </w:r>
    </w:p>
    <w:p>
      <w:pPr>
        <w:numPr>
          <w:ilvl w:val="0"/>
          <w:numId w:val="106"/>
        </w:numPr>
        <w:spacing w:after="160" w:line="280" w:lineRule="auto"/>
      </w:pPr>
      <w:r>
        <w:rPr>
          <w:rFonts w:ascii="KaiTi" w:hAnsi="KaiTi" w:eastAsia="楷体"/>
          <w:b w:val="0"/>
          <w:i w:val="0"/>
          <w:sz w:val="21"/>
        </w:rPr>
        <w:t>7 个产品功能能够在既有界面区域被找到和使用。</w:t>
      </w:r>
    </w:p>
    <w:p>
      <w:pPr>
        <w:numPr>
          <w:ilvl w:val="0"/>
          <w:numId w:val="106"/>
        </w:numPr>
        <w:spacing w:after="160" w:line="280" w:lineRule="auto"/>
      </w:pPr>
      <w:r>
        <w:rPr>
          <w:rFonts w:ascii="KaiTi" w:hAnsi="KaiTi" w:eastAsia="楷体"/>
          <w:b w:val="0"/>
          <w:i w:val="0"/>
          <w:sz w:val="21"/>
        </w:rPr>
        <w:t>Mock 与真实 Agent 切换不改变界面结构。</w:t>
      </w:r>
    </w:p>
    <w:p>
      <w:pPr>
        <w:numPr>
          <w:ilvl w:val="0"/>
          <w:numId w:val="106"/>
        </w:numPr>
        <w:spacing w:after="160" w:line="280" w:lineRule="auto"/>
      </w:pPr>
      <w:r>
        <w:rPr>
          <w:rFonts w:ascii="KaiTi" w:hAnsi="KaiTi" w:eastAsia="楷体"/>
          <w:b w:val="0"/>
          <w:i w:val="0"/>
          <w:sz w:val="21"/>
        </w:rPr>
        <w:t>医生输入不会被 Agent 刷新或迟到结果覆盖。</w:t>
      </w:r>
    </w:p>
    <w:p>
      <w:pPr>
        <w:numPr>
          <w:ilvl w:val="0"/>
          <w:numId w:val="106"/>
        </w:numPr>
        <w:spacing w:after="160" w:line="280" w:lineRule="auto"/>
      </w:pPr>
      <w:r>
        <w:rPr>
          <w:rFonts w:ascii="KaiTi" w:hAnsi="KaiTi" w:eastAsia="楷体"/>
          <w:b w:val="0"/>
          <w:i w:val="0"/>
          <w:sz w:val="21"/>
        </w:rPr>
        <w:t>风险、来源、人工确认和模拟写回状态可识别。</w:t>
      </w:r>
    </w:p>
    <w:p>
      <w:pPr>
        <w:numPr>
          <w:ilvl w:val="0"/>
          <w:numId w:val="106"/>
        </w:numPr>
        <w:spacing w:after="160" w:line="280" w:lineRule="auto"/>
      </w:pPr>
      <w:r>
        <w:rPr>
          <w:rFonts w:ascii="KaiTi" w:hAnsi="KaiTi" w:eastAsia="楷体"/>
          <w:b w:val="0"/>
          <w:i w:val="0"/>
          <w:sz w:val="21"/>
        </w:rPr>
        <w:t>页面不得残留“惠每”的名称、Logo 或产品归属。</w:t>
      </w:r>
    </w:p>
    <w:p>
      <w:pPr>
        <w:pStyle w:val="Heading2"/>
        <w:pageBreakBefore w:val="0"/>
        <w:numPr>
          <w:ilvl w:val="1"/>
          <w:numId w:val="102"/>
        </w:numPr>
      </w:pPr>
      <w:r>
        <w:rPr>
          <w:rFonts w:ascii="KaiTi" w:hAnsi="KaiTi" w:eastAsia="楷体"/>
          <w:b/>
          <w:i w:val="0"/>
          <w:color w:val="1F4D78"/>
          <w:sz w:val="26"/>
        </w:rPr>
        <w:t>变更控制</w:t>
      </w:r>
    </w:p>
    <w:p>
      <w:r>
        <w:rPr>
          <w:rFonts w:ascii="KaiTi" w:hAnsi="KaiTi" w:eastAsia="楷体"/>
          <w:b w:val="0"/>
          <w:i w:val="0"/>
          <w:sz w:val="21"/>
        </w:rPr>
        <w:t>后续任何布局、导航、控件样式、颜色、交互路径或新页面变更，都必须先列出相对原 HTML 的差异和业务原因，获得产品负责人明确确认后，再同步修改需求、设计、测试和实现。</w:t>
      </w:r>
    </w:p>
    <w:p>
      <w:r>
        <w:rPr>
          <w:rFonts w:ascii="KaiTi" w:hAnsi="KaiTi" w:eastAsia="楷体"/>
          <w:b w:val="0"/>
          <w:i w:val="0"/>
          <w:sz w:val="21"/>
        </w:rPr>
        <w:t>在未获得新确认前，本文件、最早 HTML 原件及当前派生 HTML 共同构成一期 UI/UX 的有效基线；实现以当前派生 HTML 为直接对照。</w:t>
      </w:r>
    </w:p>
    <w:p>
      <w:pPr>
        <w:pStyle w:val="Heading1"/>
        <w:pageBreakBefore/>
        <w:numPr>
          <w:ilvl w:val="0"/>
          <w:numId w:val="102"/>
        </w:numPr>
      </w:pPr>
      <w:r>
        <w:rPr>
          <w:rFonts w:ascii="KaiTi" w:hAnsi="KaiTi" w:eastAsia="楷体"/>
          <w:b/>
          <w:i w:val="0"/>
          <w:color w:val="1F4D78"/>
          <w:sz w:val="32"/>
        </w:rPr>
        <w:t>UI/UX 原型与需求追踪</w:t>
      </w:r>
    </w:p>
    <w:p>
      <w:r>
        <w:rPr>
          <w:rFonts w:ascii="KaiTi" w:hAnsi="KaiTi" w:eastAsia="楷体"/>
          <w:b w:val="0"/>
          <w:i w:val="0"/>
          <w:color w:val="596370"/>
          <w:sz w:val="19"/>
        </w:rPr>
        <w:t>版本：</w:t>
      </w:r>
      <w:r>
        <w:rPr>
          <w:rFonts w:ascii="KaiTi" w:hAnsi="KaiTi" w:eastAsia="楷体"/>
          <w:b/>
          <w:i w:val="0"/>
          <w:color w:val="596370"/>
          <w:sz w:val="19"/>
        </w:rPr>
        <w:t>v0.3-draft</w:t>
      </w:r>
      <w:r>
        <w:rPr>
          <w:rFonts w:ascii="KaiTi" w:hAnsi="KaiTi" w:eastAsia="楷体"/>
          <w:b w:val="0"/>
          <w:i w:val="0"/>
          <w:color w:val="596370"/>
          <w:sz w:val="19"/>
        </w:rPr>
        <w:t xml:space="preserve"> 日期：</w:t>
      </w:r>
      <w:r>
        <w:rPr>
          <w:rFonts w:ascii="KaiTi" w:hAnsi="KaiTi" w:eastAsia="楷体"/>
          <w:b/>
          <w:i w:val="0"/>
          <w:color w:val="596370"/>
          <w:sz w:val="19"/>
        </w:rPr>
        <w:t>2026-08-28</w:t>
      </w:r>
      <w:r>
        <w:rPr>
          <w:rFonts w:ascii="KaiTi" w:hAnsi="KaiTi" w:eastAsia="楷体"/>
          <w:b w:val="0"/>
          <w:i w:val="0"/>
          <w:color w:val="596370"/>
          <w:sz w:val="19"/>
        </w:rPr>
        <w:t xml:space="preserve"> 状态：UI/UX 基线已确认；功能内容与验收规则待最终评审</w:t>
      </w:r>
    </w:p>
    <w:p>
      <w:pPr>
        <w:pStyle w:val="Heading2"/>
        <w:pageBreakBefore w:val="0"/>
        <w:numPr>
          <w:ilvl w:val="1"/>
          <w:numId w:val="102"/>
        </w:numPr>
      </w:pPr>
      <w:r>
        <w:rPr>
          <w:rFonts w:ascii="KaiTi" w:hAnsi="KaiTi" w:eastAsia="楷体"/>
          <w:b/>
          <w:i w:val="0"/>
          <w:color w:val="1F4D78"/>
          <w:sz w:val="26"/>
        </w:rPr>
        <w:t>文档目的</w:t>
      </w:r>
    </w:p>
    <w:p>
      <w:r>
        <w:rPr>
          <w:rFonts w:ascii="KaiTi" w:hAnsi="KaiTi" w:eastAsia="楷体"/>
          <w:b w:val="0"/>
          <w:i w:val="0"/>
          <w:sz w:val="21"/>
        </w:rPr>
        <w:t>本文件把一期当前 HTML 的用户界面、7 个产品功能、6 个 Agent、交互状态和测试用例建立一一对应关系，作为前端实现、Agent 集成、测试和最终 PRD 的共同依据。</w:t>
      </w:r>
    </w:p>
    <w:p>
      <w:r>
        <w:rPr>
          <w:rFonts w:ascii="KaiTi" w:hAnsi="KaiTi" w:eastAsia="楷体"/>
          <w:b w:val="0"/>
          <w:i w:val="0"/>
          <w:sz w:val="21"/>
        </w:rPr>
        <w:t xml:space="preserve">界面以 </w:t>
      </w:r>
      <w:r>
        <w:rPr>
          <w:rFonts w:ascii="KaiTi" w:hAnsi="KaiTi" w:eastAsia="楷体"/>
          <w:b/>
          <w:i w:val="0"/>
          <w:sz w:val="21"/>
        </w:rPr>
        <w:t>design/current/AI-HIS医生智能体一期.html</w:t>
      </w:r>
      <w:r>
        <w:rPr>
          <w:rFonts w:ascii="KaiTi" w:hAnsi="KaiTi" w:eastAsia="楷体"/>
          <w:b w:val="0"/>
          <w:i w:val="0"/>
          <w:sz w:val="21"/>
        </w:rPr>
        <w:t xml:space="preserve"> 为直接实现基线。最早原件保存在 </w:t>
      </w:r>
      <w:r>
        <w:rPr>
          <w:rFonts w:ascii="KaiTi" w:hAnsi="KaiTi" w:eastAsia="楷体"/>
          <w:b/>
          <w:i w:val="0"/>
          <w:sz w:val="21"/>
        </w:rPr>
        <w:t>references/ui-demo/AI-HIS门诊模块V4.3.html</w:t>
      </w:r>
      <w:r>
        <w:rPr>
          <w:rFonts w:ascii="KaiTi" w:hAnsi="KaiTi" w:eastAsia="楷体"/>
          <w:b w:val="0"/>
          <w:i w:val="0"/>
          <w:sz w:val="21"/>
        </w:rPr>
        <w:t>。</w:t>
      </w:r>
    </w:p>
    <w:p>
      <w:pPr>
        <w:pStyle w:val="Heading2"/>
        <w:pageBreakBefore w:val="0"/>
        <w:numPr>
          <w:ilvl w:val="1"/>
          <w:numId w:val="102"/>
        </w:numPr>
      </w:pPr>
      <w:r>
        <w:rPr>
          <w:rFonts w:ascii="KaiTi" w:hAnsi="KaiTi" w:eastAsia="楷体"/>
          <w:b/>
          <w:i w:val="0"/>
          <w:color w:val="1F4D78"/>
          <w:sz w:val="26"/>
        </w:rPr>
        <w:t>已确认的 UI/UX 决策</w:t>
      </w:r>
    </w:p>
    <w:p>
      <w:pPr>
        <w:numPr>
          <w:ilvl w:val="0"/>
          <w:numId w:val="107"/>
        </w:numPr>
        <w:spacing w:after="160" w:line="280" w:lineRule="auto"/>
      </w:pPr>
      <w:r>
        <w:rPr>
          <w:rFonts w:ascii="KaiTi" w:hAnsi="KaiTi" w:eastAsia="楷体"/>
          <w:b w:val="0"/>
          <w:i w:val="0"/>
          <w:sz w:val="21"/>
        </w:rPr>
        <w:t>沿用最早 HTML 的布局、视觉风格、组件和主体交互，不进行整体改版。</w:t>
      </w:r>
    </w:p>
    <w:p>
      <w:pPr>
        <w:numPr>
          <w:ilvl w:val="0"/>
          <w:numId w:val="107"/>
        </w:numPr>
        <w:spacing w:after="160" w:line="280" w:lineRule="auto"/>
      </w:pPr>
      <w:r>
        <w:rPr>
          <w:rFonts w:ascii="KaiTi" w:hAnsi="KaiTi" w:eastAsia="楷体"/>
          <w:b w:val="0"/>
          <w:i w:val="0"/>
          <w:sz w:val="21"/>
        </w:rPr>
        <w:t>删除界面内所有“惠每”文字，不自动补入新的品牌前缀。</w:t>
      </w:r>
    </w:p>
    <w:p>
      <w:pPr>
        <w:numPr>
          <w:ilvl w:val="0"/>
          <w:numId w:val="107"/>
        </w:numPr>
        <w:spacing w:after="160" w:line="280" w:lineRule="auto"/>
      </w:pPr>
      <w:r>
        <w:rPr>
          <w:rFonts w:ascii="KaiTi" w:hAnsi="KaiTi" w:eastAsia="楷体"/>
          <w:b w:val="0"/>
          <w:i w:val="0"/>
          <w:sz w:val="21"/>
        </w:rPr>
        <w:t>登录按钮显示“进入医生智能体”。</w:t>
      </w:r>
    </w:p>
    <w:p>
      <w:pPr>
        <w:numPr>
          <w:ilvl w:val="0"/>
          <w:numId w:val="107"/>
        </w:numPr>
        <w:spacing w:after="160" w:line="280" w:lineRule="auto"/>
      </w:pPr>
      <w:r>
        <w:rPr>
          <w:rFonts w:ascii="KaiTi" w:hAnsi="KaiTi" w:eastAsia="楷体"/>
          <w:b w:val="0"/>
          <w:i w:val="0"/>
          <w:sz w:val="21"/>
        </w:rPr>
        <w:t xml:space="preserve">登录成功直接进入 </w:t>
      </w:r>
      <w:r>
        <w:rPr>
          <w:rFonts w:ascii="KaiTi" w:hAnsi="KaiTi" w:eastAsia="楷体"/>
          <w:b/>
          <w:i w:val="0"/>
          <w:sz w:val="21"/>
        </w:rPr>
        <w:t>/outpatient</w:t>
      </w:r>
      <w:r>
        <w:rPr>
          <w:rFonts w:ascii="KaiTi" w:hAnsi="KaiTi" w:eastAsia="楷体"/>
          <w:b w:val="0"/>
          <w:i w:val="0"/>
          <w:sz w:val="21"/>
        </w:rPr>
        <w:t>，不经过候诊/患者选择页。</w:t>
      </w:r>
    </w:p>
    <w:p>
      <w:pPr>
        <w:numPr>
          <w:ilvl w:val="0"/>
          <w:numId w:val="107"/>
        </w:numPr>
        <w:spacing w:after="160" w:line="280" w:lineRule="auto"/>
      </w:pPr>
      <w:r>
        <w:rPr>
          <w:rFonts w:ascii="KaiTi" w:hAnsi="KaiTi" w:eastAsia="楷体"/>
          <w:b w:val="0"/>
          <w:i w:val="0"/>
          <w:sz w:val="21"/>
        </w:rPr>
        <w:t>医生智能体允许以“未选择患者”状态打开；患者可在智能体中通过语音、文字、接诊下一位或快捷入口绑定。</w:t>
      </w:r>
    </w:p>
    <w:p>
      <w:pPr>
        <w:numPr>
          <w:ilvl w:val="0"/>
          <w:numId w:val="107"/>
        </w:numPr>
        <w:spacing w:after="160" w:line="280" w:lineRule="auto"/>
      </w:pPr>
      <w:r>
        <w:rPr>
          <w:rFonts w:ascii="KaiTi" w:hAnsi="KaiTi" w:eastAsia="楷体"/>
          <w:b w:val="0"/>
          <w:i w:val="0"/>
          <w:sz w:val="21"/>
        </w:rPr>
        <w:t>候诊列表和患者快捷入口保留，但不再是登录后的强制前置步骤。</w:t>
      </w:r>
    </w:p>
    <w:p>
      <w:pPr>
        <w:numPr>
          <w:ilvl w:val="0"/>
          <w:numId w:val="107"/>
        </w:numPr>
        <w:spacing w:after="160" w:line="280" w:lineRule="auto"/>
      </w:pPr>
      <w:r>
        <w:rPr>
          <w:rFonts w:ascii="KaiTi" w:hAnsi="KaiTi" w:eastAsia="楷体"/>
          <w:b w:val="0"/>
          <w:i w:val="0"/>
          <w:sz w:val="21"/>
        </w:rPr>
        <w:t>7 个一期功能复用原 HTML 的智慧诊疗、预警评估、病历管理、诊断管理、共病管理、智能笔记和医生智能体区域。</w:t>
      </w:r>
    </w:p>
    <w:p>
      <w:pPr>
        <w:pStyle w:val="Heading2"/>
        <w:pageBreakBefore w:val="0"/>
        <w:numPr>
          <w:ilvl w:val="1"/>
          <w:numId w:val="102"/>
        </w:numPr>
      </w:pPr>
      <w:r>
        <w:rPr>
          <w:rFonts w:ascii="KaiTi" w:hAnsi="KaiTi" w:eastAsia="楷体"/>
          <w:b/>
          <w:i w:val="0"/>
          <w:color w:val="1F4D78"/>
          <w:sz w:val="26"/>
        </w:rPr>
        <w:t>入口与患者绑定流程</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顺序</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用户/系统动作</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产品状态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1</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医生登录</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直达医生智能体，初始为“未选择患者”</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2</w:t>
            </w:r>
          </w:p>
        </w:tc>
        <w:tc>
          <w:tcPr>
            <w:tcW w:type="dxa" w:w="367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语音/文字指令、接诊下一位或患者快捷入口</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解析候选患者和就诊</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3</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医生确认唯一匹配</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绑定 patient_id 与 encounter_id，完成上下文校验</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4</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调用一期七项功能</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显示准备、运行、澄清、成功或降级状态</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5</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医生确认/编辑/拒绝</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仅对确认结果执行模拟写回并生成审计记录</w:t>
            </w:r>
          </w:p>
        </w:tc>
      </w:tr>
    </w:tbl>
    <w:p>
      <w:pPr>
        <w:spacing w:after="40"/>
      </w:pPr>
    </w:p>
    <w:p>
      <w:r>
        <w:rPr>
          <w:rFonts w:ascii="KaiTi" w:hAnsi="KaiTi" w:eastAsia="楷体"/>
          <w:b w:val="0"/>
          <w:i w:val="0"/>
          <w:sz w:val="21"/>
        </w:rPr>
        <w:t>患者未绑定时，只允许导航、查看帮助、查找/绑定患者和退出。依赖临床上下文的 Agent 不得被调用，也不能展示上一位患者结果。</w:t>
      </w:r>
    </w:p>
    <w:p>
      <w:pPr>
        <w:pStyle w:val="Heading2"/>
        <w:pageBreakBefore w:val="0"/>
        <w:numPr>
          <w:ilvl w:val="1"/>
          <w:numId w:val="102"/>
        </w:numPr>
      </w:pPr>
      <w:r>
        <w:rPr>
          <w:rFonts w:ascii="KaiTi" w:hAnsi="KaiTi" w:eastAsia="楷体"/>
          <w:b/>
          <w:i w:val="0"/>
          <w:color w:val="1F4D78"/>
          <w:sz w:val="26"/>
        </w:rPr>
        <w:t>原型图总览</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原型图</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页面/状态</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对应功能</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登录页</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全局入口</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医生智能体空状态</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登录后直达、未选择患者</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全局入口与患者绑定</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患者上下文已绑定</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患者资料加载完成</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全局、F02–F07</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语音问诊</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问诊进行中</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风险管理</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高/中风险展示</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病历生成</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分字段草稿、遗漏与质控</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诊断管理</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候选选择、主诊断和写回</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共病管理</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共病、营养风险和会诊建议</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病情概况与鉴别诊断</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概况、候选诊断和智能笔记</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F02、F04</w:t>
            </w:r>
          </w:p>
        </w:tc>
      </w:tr>
    </w:tbl>
    <w:p>
      <w:pPr>
        <w:spacing w:after="40"/>
      </w:pPr>
    </w:p>
    <w:p>
      <w:pPr>
        <w:pStyle w:val="Heading2"/>
        <w:pageBreakBefore w:val="0"/>
        <w:numPr>
          <w:ilvl w:val="1"/>
          <w:numId w:val="102"/>
        </w:numPr>
      </w:pPr>
      <w:r>
        <w:rPr>
          <w:rFonts w:ascii="KaiTi" w:hAnsi="KaiTi" w:eastAsia="楷体"/>
          <w:b/>
          <w:i w:val="0"/>
          <w:color w:val="1F4D78"/>
          <w:sz w:val="26"/>
        </w:rPr>
        <w:t>逐屏原型规格</w:t>
      </w:r>
    </w:p>
    <w:p>
      <w:pPr>
        <w:pStyle w:val="Heading3"/>
        <w:pageBreakBefore w:val="0"/>
        <w:numPr>
          <w:ilvl w:val="2"/>
          <w:numId w:val="102"/>
        </w:numPr>
      </w:pPr>
      <w:r>
        <w:rPr>
          <w:rFonts w:ascii="KaiTi" w:hAnsi="KaiTi" w:eastAsia="楷体"/>
          <w:b/>
          <w:i w:val="0"/>
          <w:color w:val="1F4D78"/>
          <w:sz w:val="24"/>
        </w:rPr>
        <w:t>P01 登录页</w:t>
      </w:r>
    </w:p>
    <w:p>
      <w:pPr>
        <w:keepNext/>
        <w:jc w:val="center"/>
      </w:pPr>
      <w:r>
        <w:rPr>
          <w:rFonts w:ascii="KaiTi" w:hAnsi="KaiTi" w:eastAsia="楷体"/>
        </w:rPr>
        <w:drawing>
          <wp:inline xmlns:a="http://schemas.openxmlformats.org/drawingml/2006/main" xmlns:pic="http://schemas.openxmlformats.org/drawingml/2006/picture">
            <wp:extent cx="5897880" cy="3686175"/>
            <wp:docPr id="1" name="Picture 1"/>
            <wp:cNvGraphicFramePr>
              <a:graphicFrameLocks noChangeAspect="1"/>
            </wp:cNvGraphicFramePr>
            <a:graphic>
              <a:graphicData uri="http://schemas.openxmlformats.org/drawingml/2006/picture">
                <pic:pic>
                  <pic:nvPicPr>
                    <pic:cNvPr id="0" name="P01-login.png"/>
                    <pic:cNvPicPr/>
                  </pic:nvPicPr>
                  <pic:blipFill>
                    <a:blip r:embed="rId11"/>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P01 登录页</w:t>
      </w:r>
    </w:p>
    <w:p>
      <w:r>
        <w:rPr>
          <w:rFonts w:ascii="KaiTi" w:hAnsi="KaiTi" w:eastAsia="楷体"/>
          <w:b/>
          <w:i w:val="0"/>
          <w:sz w:val="21"/>
        </w:rPr>
        <w:t>目标</w:t>
      </w:r>
      <w:r>
        <w:rPr>
          <w:rFonts w:ascii="KaiTi" w:hAnsi="KaiTi" w:eastAsia="楷体"/>
          <w:b w:val="0"/>
          <w:i w:val="0"/>
          <w:sz w:val="21"/>
        </w:rPr>
        <w:t>：完成医生身份进入，并直接进入医生智能体。</w:t>
      </w:r>
    </w:p>
    <w:p>
      <w:r>
        <w:rPr>
          <w:rFonts w:ascii="KaiTi" w:hAnsi="KaiTi" w:eastAsia="楷体"/>
          <w:b/>
          <w:i w:val="0"/>
          <w:sz w:val="21"/>
        </w:rPr>
        <w:t>主要元素</w:t>
      </w:r>
      <w:r>
        <w:rPr>
          <w:rFonts w:ascii="KaiTi" w:hAnsi="KaiTi" w:eastAsia="楷体"/>
          <w:b w:val="0"/>
          <w:i w:val="0"/>
          <w:sz w:val="21"/>
        </w:rPr>
        <w:t>：系统名称、医院/环境说明、用户名、密码、进入医生智能体按钮、Mock 数据说明。</w:t>
      </w:r>
    </w:p>
    <w:p>
      <w:r>
        <w:rPr>
          <w:rFonts w:ascii="KaiTi" w:hAnsi="KaiTi" w:eastAsia="楷体"/>
          <w:b/>
          <w:i w:val="0"/>
          <w:sz w:val="21"/>
        </w:rPr>
        <w:t>交互规则</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UI-G-001</w:t>
      </w:r>
      <w:r>
        <w:rPr>
          <w:rFonts w:ascii="KaiTi" w:hAnsi="KaiTi" w:eastAsia="楷体"/>
          <w:b w:val="0"/>
          <w:i w:val="0"/>
          <w:sz w:val="21"/>
        </w:rPr>
        <w:t xml:space="preserve"> 点击“进入医生智能体”后进入 </w:t>
      </w:r>
      <w:r>
        <w:rPr>
          <w:rFonts w:ascii="KaiTi" w:hAnsi="KaiTi" w:eastAsia="楷体"/>
          <w:b/>
          <w:i w:val="0"/>
          <w:sz w:val="21"/>
        </w:rPr>
        <w:t>/outpatient</w:t>
      </w:r>
      <w:r>
        <w:rPr>
          <w:rFonts w:ascii="KaiTi" w:hAnsi="KaiTi" w:eastAsia="楷体"/>
          <w:b w:val="0"/>
          <w:i w:val="0"/>
          <w:sz w:val="21"/>
        </w:rPr>
        <w:t xml:space="preserve">，不得跳转 </w:t>
      </w:r>
      <w:r>
        <w:rPr>
          <w:rFonts w:ascii="KaiTi" w:hAnsi="KaiTi" w:eastAsia="楷体"/>
          <w:b/>
          <w:i w:val="0"/>
          <w:sz w:val="21"/>
        </w:rPr>
        <w:t>/outpatient/list</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UI-G-002</w:t>
      </w:r>
      <w:r>
        <w:rPr>
          <w:rFonts w:ascii="KaiTi" w:hAnsi="KaiTi" w:eastAsia="楷体"/>
          <w:b w:val="0"/>
          <w:i w:val="0"/>
          <w:sz w:val="21"/>
        </w:rPr>
        <w:t xml:space="preserve"> 登录成功后允许当前患者为空。</w:t>
      </w:r>
    </w:p>
    <w:p>
      <w:pPr>
        <w:numPr>
          <w:ilvl w:val="0"/>
          <w:numId w:val="100"/>
        </w:numPr>
        <w:spacing w:after="160" w:line="280" w:lineRule="auto"/>
      </w:pPr>
      <w:r>
        <w:rPr>
          <w:rFonts w:ascii="KaiTi" w:hAnsi="KaiTi" w:eastAsia="楷体"/>
          <w:b/>
          <w:i w:val="0"/>
          <w:sz w:val="21"/>
        </w:rPr>
        <w:t>UI-G-003</w:t>
      </w:r>
      <w:r>
        <w:rPr>
          <w:rFonts w:ascii="KaiTi" w:hAnsi="KaiTi" w:eastAsia="楷体"/>
          <w:b w:val="0"/>
          <w:i w:val="0"/>
          <w:sz w:val="21"/>
        </w:rPr>
        <w:t xml:space="preserve"> 登录失败只显示通用错误，不暴露账号是否存在；当前纯前端 Demo 的任意密码仅用于 Mock。</w:t>
      </w:r>
    </w:p>
    <w:p>
      <w:pPr>
        <w:numPr>
          <w:ilvl w:val="0"/>
          <w:numId w:val="100"/>
        </w:numPr>
        <w:spacing w:after="160" w:line="280" w:lineRule="auto"/>
      </w:pPr>
      <w:r>
        <w:rPr>
          <w:rFonts w:ascii="KaiTi" w:hAnsi="KaiTi" w:eastAsia="楷体"/>
          <w:b/>
          <w:i w:val="0"/>
          <w:sz w:val="21"/>
        </w:rPr>
        <w:t>UI-G-004</w:t>
      </w:r>
      <w:r>
        <w:rPr>
          <w:rFonts w:ascii="KaiTi" w:hAnsi="KaiTi" w:eastAsia="楷体"/>
          <w:b w:val="0"/>
          <w:i w:val="0"/>
          <w:sz w:val="21"/>
        </w:rPr>
        <w:t xml:space="preserve"> 页面标题和正文不得出现“惠每”。</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TC-UI-001</w:t>
      </w:r>
      <w:r>
        <w:rPr>
          <w:rFonts w:ascii="KaiTi" w:hAnsi="KaiTi" w:eastAsia="楷体"/>
          <w:b w:val="0"/>
          <w:i w:val="0"/>
          <w:sz w:val="21"/>
        </w:rPr>
        <w:t>～</w:t>
      </w:r>
      <w:r>
        <w:rPr>
          <w:rFonts w:ascii="KaiTi" w:hAnsi="KaiTi" w:eastAsia="楷体"/>
          <w:b/>
          <w:i w:val="0"/>
          <w:sz w:val="21"/>
        </w:rPr>
        <w:t>TC-UI-004</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P02 医生智能体未选择患者</w:t>
      </w:r>
    </w:p>
    <w:p>
      <w:pPr>
        <w:keepNext/>
        <w:jc w:val="center"/>
      </w:pPr>
      <w:r>
        <w:rPr>
          <w:rFonts w:ascii="KaiTi" w:hAnsi="KaiTi" w:eastAsia="楷体"/>
        </w:rPr>
        <w:drawing>
          <wp:inline xmlns:a="http://schemas.openxmlformats.org/drawingml/2006/main" xmlns:pic="http://schemas.openxmlformats.org/drawingml/2006/picture">
            <wp:extent cx="5897880" cy="3686175"/>
            <wp:docPr id="2" name="Picture 2"/>
            <wp:cNvGraphicFramePr>
              <a:graphicFrameLocks noChangeAspect="1"/>
            </wp:cNvGraphicFramePr>
            <a:graphic>
              <a:graphicData uri="http://schemas.openxmlformats.org/drawingml/2006/picture">
                <pic:pic>
                  <pic:nvPicPr>
                    <pic:cNvPr id="0" name="P02-doctor-agent-empty.png"/>
                    <pic:cNvPicPr/>
                  </pic:nvPicPr>
                  <pic:blipFill>
                    <a:blip r:embed="rId12"/>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P02 医生智能体未选择患者</w:t>
      </w:r>
    </w:p>
    <w:p>
      <w:r>
        <w:rPr>
          <w:rFonts w:ascii="KaiTi" w:hAnsi="KaiTi" w:eastAsia="楷体"/>
          <w:b/>
          <w:i w:val="0"/>
          <w:sz w:val="21"/>
        </w:rPr>
        <w:t>目标</w:t>
      </w:r>
      <w:r>
        <w:rPr>
          <w:rFonts w:ascii="KaiTi" w:hAnsi="KaiTi" w:eastAsia="楷体"/>
          <w:b w:val="0"/>
          <w:i w:val="0"/>
          <w:sz w:val="21"/>
        </w:rPr>
        <w:t>：医生进入产品后首先看到智能体，而不是患者选择页。</w:t>
      </w:r>
    </w:p>
    <w:p>
      <w:r>
        <w:rPr>
          <w:rFonts w:ascii="KaiTi" w:hAnsi="KaiTi" w:eastAsia="楷体"/>
          <w:b/>
          <w:i w:val="0"/>
          <w:sz w:val="21"/>
        </w:rPr>
        <w:t>可执行动作</w:t>
      </w:r>
      <w:r>
        <w:rPr>
          <w:rFonts w:ascii="KaiTi" w:hAnsi="KaiTi" w:eastAsia="楷体"/>
          <w:b w:val="0"/>
          <w:i w:val="0"/>
          <w:sz w:val="21"/>
        </w:rPr>
        <w:t>：接诊下一位、使用语音/文字指令查找患者、点击患者快捷入口、查看使用说明、退出。</w:t>
      </w:r>
    </w:p>
    <w:p>
      <w:r>
        <w:rPr>
          <w:rFonts w:ascii="KaiTi" w:hAnsi="KaiTi" w:eastAsia="楷体"/>
          <w:b/>
          <w:i w:val="0"/>
          <w:sz w:val="21"/>
        </w:rPr>
        <w:t>受限动作</w:t>
      </w:r>
      <w:r>
        <w:rPr>
          <w:rFonts w:ascii="KaiTi" w:hAnsi="KaiTi" w:eastAsia="楷体"/>
          <w:b w:val="0"/>
          <w:i w:val="0"/>
          <w:sz w:val="21"/>
        </w:rPr>
        <w:t>：语音问诊、病情概况、病历生成、鉴别诊断、诊断管理、风险管理和共病管理在未绑定患者/就诊前不得调用。</w:t>
      </w:r>
    </w:p>
    <w:p>
      <w:r>
        <w:rPr>
          <w:rFonts w:ascii="KaiTi" w:hAnsi="KaiTi" w:eastAsia="楷体"/>
          <w:b/>
          <w:i w:val="0"/>
          <w:sz w:val="21"/>
        </w:rPr>
        <w:t>交互规则</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UI-G-005</w:t>
      </w:r>
      <w:r>
        <w:rPr>
          <w:rFonts w:ascii="KaiTi" w:hAnsi="KaiTi" w:eastAsia="楷体"/>
          <w:b w:val="0"/>
          <w:i w:val="0"/>
          <w:sz w:val="21"/>
        </w:rPr>
        <w:t xml:space="preserve"> 明确显示“未选择患者”，不得展示任何历史患者的 AI 结果。</w:t>
      </w:r>
    </w:p>
    <w:p>
      <w:pPr>
        <w:numPr>
          <w:ilvl w:val="0"/>
          <w:numId w:val="100"/>
        </w:numPr>
        <w:spacing w:after="160" w:line="280" w:lineRule="auto"/>
      </w:pPr>
      <w:r>
        <w:rPr>
          <w:rFonts w:ascii="KaiTi" w:hAnsi="KaiTi" w:eastAsia="楷体"/>
          <w:b/>
          <w:i w:val="0"/>
          <w:sz w:val="21"/>
        </w:rPr>
        <w:t>UI-G-006</w:t>
      </w:r>
      <w:r>
        <w:rPr>
          <w:rFonts w:ascii="KaiTi" w:hAnsi="KaiTi" w:eastAsia="楷体"/>
          <w:b w:val="0"/>
          <w:i w:val="0"/>
          <w:sz w:val="21"/>
        </w:rPr>
        <w:t xml:space="preserve"> 用户发出患者绑定指令后，先解析候选，再由医生确认或根据唯一匹配绑定。</w:t>
      </w:r>
    </w:p>
    <w:p>
      <w:pPr>
        <w:numPr>
          <w:ilvl w:val="0"/>
          <w:numId w:val="100"/>
        </w:numPr>
        <w:spacing w:after="160" w:line="280" w:lineRule="auto"/>
      </w:pPr>
      <w:r>
        <w:rPr>
          <w:rFonts w:ascii="KaiTi" w:hAnsi="KaiTi" w:eastAsia="楷体"/>
          <w:b/>
          <w:i w:val="0"/>
          <w:sz w:val="21"/>
        </w:rPr>
        <w:t>UI-G-007</w:t>
      </w:r>
      <w:r>
        <w:rPr>
          <w:rFonts w:ascii="KaiTi" w:hAnsi="KaiTi" w:eastAsia="楷体"/>
          <w:b w:val="0"/>
          <w:i w:val="0"/>
          <w:sz w:val="21"/>
        </w:rPr>
        <w:t xml:space="preserve"> 绑定成功前，所有临床动作返回统一的“需要先绑定患者”提示。</w:t>
      </w:r>
    </w:p>
    <w:p>
      <w:pPr>
        <w:numPr>
          <w:ilvl w:val="0"/>
          <w:numId w:val="100"/>
        </w:numPr>
        <w:spacing w:after="160" w:line="280" w:lineRule="auto"/>
      </w:pPr>
      <w:r>
        <w:rPr>
          <w:rFonts w:ascii="KaiTi" w:hAnsi="KaiTi" w:eastAsia="楷体"/>
          <w:b/>
          <w:i w:val="0"/>
          <w:sz w:val="21"/>
        </w:rPr>
        <w:t>UI-G-008</w:t>
      </w:r>
      <w:r>
        <w:rPr>
          <w:rFonts w:ascii="KaiTi" w:hAnsi="KaiTi" w:eastAsia="楷体"/>
          <w:b w:val="0"/>
          <w:i w:val="0"/>
          <w:sz w:val="21"/>
        </w:rPr>
        <w:t xml:space="preserve"> 候诊列表保留为次级导航，不自动打开。</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TC-UI-005</w:t>
      </w:r>
      <w:r>
        <w:rPr>
          <w:rFonts w:ascii="KaiTi" w:hAnsi="KaiTi" w:eastAsia="楷体"/>
          <w:b w:val="0"/>
          <w:i w:val="0"/>
          <w:sz w:val="21"/>
        </w:rPr>
        <w:t>～</w:t>
      </w:r>
      <w:r>
        <w:rPr>
          <w:rFonts w:ascii="KaiTi" w:hAnsi="KaiTi" w:eastAsia="楷体"/>
          <w:b/>
          <w:i w:val="0"/>
          <w:sz w:val="21"/>
        </w:rPr>
        <w:t>TC-UI-009</w:t>
      </w:r>
      <w:r>
        <w:rPr>
          <w:rFonts w:ascii="KaiTi" w:hAnsi="KaiTi" w:eastAsia="楷体"/>
          <w:b w:val="0"/>
          <w:i w:val="0"/>
          <w:sz w:val="21"/>
        </w:rPr>
        <w:t>、</w:t>
      </w:r>
      <w:r>
        <w:rPr>
          <w:rFonts w:ascii="KaiTi" w:hAnsi="KaiTi" w:eastAsia="楷体"/>
          <w:b/>
          <w:i w:val="0"/>
          <w:sz w:val="21"/>
        </w:rPr>
        <w:t>TC-SAFE-001</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P03 患者上下文已绑定</w:t>
      </w:r>
    </w:p>
    <w:p>
      <w:pPr>
        <w:keepNext/>
        <w:jc w:val="center"/>
      </w:pPr>
      <w:r>
        <w:rPr>
          <w:rFonts w:ascii="KaiTi" w:hAnsi="KaiTi" w:eastAsia="楷体"/>
        </w:rPr>
        <w:drawing>
          <wp:inline xmlns:a="http://schemas.openxmlformats.org/drawingml/2006/main" xmlns:pic="http://schemas.openxmlformats.org/drawingml/2006/picture">
            <wp:extent cx="5897880" cy="3686175"/>
            <wp:docPr id="3" name="Picture 3"/>
            <wp:cNvGraphicFramePr>
              <a:graphicFrameLocks noChangeAspect="1"/>
            </wp:cNvGraphicFramePr>
            <a:graphic>
              <a:graphicData uri="http://schemas.openxmlformats.org/drawingml/2006/picture">
                <pic:pic>
                  <pic:nvPicPr>
                    <pic:cNvPr id="0" name="P03-doctor-agent-patient-context.png"/>
                    <pic:cNvPicPr/>
                  </pic:nvPicPr>
                  <pic:blipFill>
                    <a:blip r:embed="rId13"/>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P03 患者上下文已绑定</w:t>
      </w:r>
    </w:p>
    <w:p>
      <w:r>
        <w:rPr>
          <w:rFonts w:ascii="KaiTi" w:hAnsi="KaiTi" w:eastAsia="楷体"/>
          <w:b/>
          <w:i w:val="0"/>
          <w:sz w:val="21"/>
        </w:rPr>
        <w:t>目标</w:t>
      </w:r>
      <w:r>
        <w:rPr>
          <w:rFonts w:ascii="KaiTi" w:hAnsi="KaiTi" w:eastAsia="楷体"/>
          <w:b w:val="0"/>
          <w:i w:val="0"/>
          <w:sz w:val="21"/>
        </w:rPr>
        <w:t>：在一个门诊工作站内完成患者识别、病历、AI 分析和医生智能体操作。</w:t>
      </w:r>
    </w:p>
    <w:p>
      <w:r>
        <w:rPr>
          <w:rFonts w:ascii="KaiTi" w:hAnsi="KaiTi" w:eastAsia="楷体"/>
          <w:b/>
          <w:i w:val="0"/>
          <w:sz w:val="21"/>
        </w:rPr>
        <w:t>必须可见</w:t>
      </w:r>
      <w:r>
        <w:rPr>
          <w:rFonts w:ascii="KaiTi" w:hAnsi="KaiTi" w:eastAsia="楷体"/>
          <w:b w:val="0"/>
          <w:i w:val="0"/>
          <w:sz w:val="21"/>
        </w:rPr>
        <w:t>：姓名、性别、年龄、科室、主治医生、就诊日期、脱敏电话、过敏、门诊类型、最高风险、患者快捷切换、当前功能导航。</w:t>
      </w:r>
    </w:p>
    <w:p>
      <w:r>
        <w:rPr>
          <w:rFonts w:ascii="KaiTi" w:hAnsi="KaiTi" w:eastAsia="楷体"/>
          <w:b/>
          <w:i w:val="0"/>
          <w:sz w:val="21"/>
        </w:rPr>
        <w:t>交互规则</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UI-G-009</w:t>
      </w:r>
      <w:r>
        <w:rPr>
          <w:rFonts w:ascii="KaiTi" w:hAnsi="KaiTi" w:eastAsia="楷体"/>
          <w:b w:val="0"/>
          <w:i w:val="0"/>
          <w:sz w:val="21"/>
        </w:rPr>
        <w:t xml:space="preserve"> 每次患者绑定或切换后重新校验 </w:t>
      </w:r>
      <w:r>
        <w:rPr>
          <w:rFonts w:ascii="KaiTi" w:hAnsi="KaiTi" w:eastAsia="楷体"/>
          <w:b/>
          <w:i w:val="0"/>
          <w:sz w:val="21"/>
        </w:rPr>
        <w:t>patient_id</w:t>
      </w:r>
      <w:r>
        <w:rPr>
          <w:rFonts w:ascii="KaiTi" w:hAnsi="KaiTi" w:eastAsia="楷体"/>
          <w:b w:val="0"/>
          <w:i w:val="0"/>
          <w:sz w:val="21"/>
        </w:rPr>
        <w:t>、</w:t>
      </w:r>
      <w:r>
        <w:rPr>
          <w:rFonts w:ascii="KaiTi" w:hAnsi="KaiTi" w:eastAsia="楷体"/>
          <w:b/>
          <w:i w:val="0"/>
          <w:sz w:val="21"/>
        </w:rPr>
        <w:t>encounter_id</w:t>
      </w:r>
      <w:r>
        <w:rPr>
          <w:rFonts w:ascii="KaiTi" w:hAnsi="KaiTi" w:eastAsia="楷体"/>
          <w:b w:val="0"/>
          <w:i w:val="0"/>
          <w:sz w:val="21"/>
        </w:rPr>
        <w:t xml:space="preserve"> 和当前医生权限。</w:t>
      </w:r>
    </w:p>
    <w:p>
      <w:pPr>
        <w:numPr>
          <w:ilvl w:val="0"/>
          <w:numId w:val="100"/>
        </w:numPr>
        <w:spacing w:after="160" w:line="280" w:lineRule="auto"/>
      </w:pPr>
      <w:r>
        <w:rPr>
          <w:rFonts w:ascii="KaiTi" w:hAnsi="KaiTi" w:eastAsia="楷体"/>
          <w:b/>
          <w:i w:val="0"/>
          <w:sz w:val="21"/>
        </w:rPr>
        <w:t>UI-G-010</w:t>
      </w:r>
      <w:r>
        <w:rPr>
          <w:rFonts w:ascii="KaiTi" w:hAnsi="KaiTi" w:eastAsia="楷体"/>
          <w:b w:val="0"/>
          <w:i w:val="0"/>
          <w:sz w:val="21"/>
        </w:rPr>
        <w:t xml:space="preserve"> 切换患者立即清空前一患者的 AI 可见结果；迟到结果只进入审计。</w:t>
      </w:r>
    </w:p>
    <w:p>
      <w:pPr>
        <w:numPr>
          <w:ilvl w:val="0"/>
          <w:numId w:val="100"/>
        </w:numPr>
        <w:spacing w:after="160" w:line="280" w:lineRule="auto"/>
      </w:pPr>
      <w:r>
        <w:rPr>
          <w:rFonts w:ascii="KaiTi" w:hAnsi="KaiTi" w:eastAsia="楷体"/>
          <w:b/>
          <w:i w:val="0"/>
          <w:sz w:val="21"/>
        </w:rPr>
        <w:t>UI-G-011</w:t>
      </w:r>
      <w:r>
        <w:rPr>
          <w:rFonts w:ascii="KaiTi" w:hAnsi="KaiTi" w:eastAsia="楷体"/>
          <w:b w:val="0"/>
          <w:i w:val="0"/>
          <w:sz w:val="21"/>
        </w:rPr>
        <w:t xml:space="preserve"> 主病历区、AI 助手区和医生智能体区继续沿用原 HTML 布局。</w:t>
      </w:r>
    </w:p>
    <w:p>
      <w:pPr>
        <w:numPr>
          <w:ilvl w:val="0"/>
          <w:numId w:val="100"/>
        </w:numPr>
        <w:spacing w:after="160" w:line="280" w:lineRule="auto"/>
      </w:pPr>
      <w:r>
        <w:rPr>
          <w:rFonts w:ascii="KaiTi" w:hAnsi="KaiTi" w:eastAsia="楷体"/>
          <w:b/>
          <w:i w:val="0"/>
          <w:sz w:val="21"/>
        </w:rPr>
        <w:t>UI-G-012</w:t>
      </w:r>
      <w:r>
        <w:rPr>
          <w:rFonts w:ascii="KaiTi" w:hAnsi="KaiTi" w:eastAsia="楷体"/>
          <w:b w:val="0"/>
          <w:i w:val="0"/>
          <w:sz w:val="21"/>
        </w:rPr>
        <w:t xml:space="preserve"> Agent 结果标识 Mock/真实运行模式、生成时间、数据截止时间和版本。</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TC-UI-010</w:t>
      </w:r>
      <w:r>
        <w:rPr>
          <w:rFonts w:ascii="KaiTi" w:hAnsi="KaiTi" w:eastAsia="楷体"/>
          <w:b w:val="0"/>
          <w:i w:val="0"/>
          <w:sz w:val="21"/>
        </w:rPr>
        <w:t>～</w:t>
      </w:r>
      <w:r>
        <w:rPr>
          <w:rFonts w:ascii="KaiTi" w:hAnsi="KaiTi" w:eastAsia="楷体"/>
          <w:b/>
          <w:i w:val="0"/>
          <w:sz w:val="21"/>
        </w:rPr>
        <w:t>TC-UI-014</w:t>
      </w:r>
      <w:r>
        <w:rPr>
          <w:rFonts w:ascii="KaiTi" w:hAnsi="KaiTi" w:eastAsia="楷体"/>
          <w:b w:val="0"/>
          <w:i w:val="0"/>
          <w:sz w:val="21"/>
        </w:rPr>
        <w:t>、</w:t>
      </w:r>
      <w:r>
        <w:rPr>
          <w:rFonts w:ascii="KaiTi" w:hAnsi="KaiTi" w:eastAsia="楷体"/>
          <w:b/>
          <w:i w:val="0"/>
          <w:sz w:val="21"/>
        </w:rPr>
        <w:t>TC-SAFE-002</w:t>
      </w:r>
      <w:r>
        <w:rPr>
          <w:rFonts w:ascii="KaiTi" w:hAnsi="KaiTi" w:eastAsia="楷体"/>
          <w:b w:val="0"/>
          <w:i w:val="0"/>
          <w:sz w:val="21"/>
        </w:rPr>
        <w:t>～</w:t>
      </w:r>
      <w:r>
        <w:rPr>
          <w:rFonts w:ascii="KaiTi" w:hAnsi="KaiTi" w:eastAsia="楷体"/>
          <w:b/>
          <w:i w:val="0"/>
          <w:sz w:val="21"/>
        </w:rPr>
        <w:t>TC-SAFE-004</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P04 F01 语音问诊</w:t>
      </w:r>
    </w:p>
    <w:p>
      <w:pPr>
        <w:keepNext/>
        <w:jc w:val="center"/>
      </w:pPr>
      <w:r>
        <w:rPr>
          <w:rFonts w:ascii="KaiTi" w:hAnsi="KaiTi" w:eastAsia="楷体"/>
        </w:rPr>
        <w:drawing>
          <wp:inline xmlns:a="http://schemas.openxmlformats.org/drawingml/2006/main" xmlns:pic="http://schemas.openxmlformats.org/drawingml/2006/picture">
            <wp:extent cx="5897880" cy="3686175"/>
            <wp:docPr id="4" name="Picture 4"/>
            <wp:cNvGraphicFramePr>
              <a:graphicFrameLocks noChangeAspect="1"/>
            </wp:cNvGraphicFramePr>
            <a:graphic>
              <a:graphicData uri="http://schemas.openxmlformats.org/drawingml/2006/picture">
                <pic:pic>
                  <pic:nvPicPr>
                    <pic:cNvPr id="0" name="P04-F01-voice-interview.png"/>
                    <pic:cNvPicPr/>
                  </pic:nvPicPr>
                  <pic:blipFill>
                    <a:blip r:embed="rId14"/>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P04 语音问诊</w:t>
      </w:r>
    </w:p>
    <w:p>
      <w:r>
        <w:rPr>
          <w:rFonts w:ascii="KaiTi" w:hAnsi="KaiTi" w:eastAsia="楷体"/>
          <w:b/>
          <w:i w:val="0"/>
          <w:sz w:val="21"/>
        </w:rPr>
        <w:t>目标</w:t>
      </w:r>
      <w:r>
        <w:rPr>
          <w:rFonts w:ascii="KaiTi" w:hAnsi="KaiTi" w:eastAsia="楷体"/>
          <w:b w:val="0"/>
          <w:i w:val="0"/>
          <w:sz w:val="21"/>
        </w:rPr>
        <w:t>：通过医生明确开始的语音问诊获取可复核对话和结构化病史。</w:t>
      </w:r>
    </w:p>
    <w:p>
      <w:r>
        <w:rPr>
          <w:rFonts w:ascii="KaiTi" w:hAnsi="KaiTi" w:eastAsia="楷体"/>
          <w:b/>
          <w:i w:val="0"/>
          <w:sz w:val="21"/>
        </w:rPr>
        <w:t>界面内容</w:t>
      </w:r>
      <w:r>
        <w:rPr>
          <w:rFonts w:ascii="KaiTi" w:hAnsi="KaiTi" w:eastAsia="楷体"/>
          <w:b w:val="0"/>
          <w:i w:val="0"/>
          <w:sz w:val="21"/>
        </w:rPr>
        <w:t>：医患对话、AI 追问提示、暂停/继续、补充观察、消息输入、录音入口、当前患者。</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UX-F01-001</w:t>
      </w:r>
      <w:r>
        <w:rPr>
          <w:rFonts w:ascii="KaiTi" w:hAnsi="KaiTi" w:eastAsia="楷体"/>
          <w:b w:val="0"/>
          <w:i w:val="0"/>
          <w:sz w:val="21"/>
        </w:rPr>
        <w:t>～</w:t>
      </w:r>
      <w:r>
        <w:rPr>
          <w:rFonts w:ascii="KaiTi" w:hAnsi="KaiTi" w:eastAsia="楷体"/>
          <w:b/>
          <w:i w:val="0"/>
          <w:sz w:val="21"/>
        </w:rPr>
        <w:t>UX-F01-005</w:t>
      </w:r>
      <w:r>
        <w:rPr>
          <w:rFonts w:ascii="KaiTi" w:hAnsi="KaiTi" w:eastAsia="楷体"/>
          <w:b w:val="0"/>
          <w:i w:val="0"/>
          <w:sz w:val="21"/>
        </w:rPr>
        <w:t>、</w:t>
      </w:r>
      <w:r>
        <w:rPr>
          <w:rFonts w:ascii="KaiTi" w:hAnsi="KaiTi" w:eastAsia="楷体"/>
          <w:b/>
          <w:i w:val="0"/>
          <w:sz w:val="21"/>
        </w:rPr>
        <w:t>BR-F01-001</w:t>
      </w:r>
      <w:r>
        <w:rPr>
          <w:rFonts w:ascii="KaiTi" w:hAnsi="KaiTi" w:eastAsia="楷体"/>
          <w:b w:val="0"/>
          <w:i w:val="0"/>
          <w:sz w:val="21"/>
        </w:rPr>
        <w:t>～</w:t>
      </w:r>
      <w:r>
        <w:rPr>
          <w:rFonts w:ascii="KaiTi" w:hAnsi="KaiTi" w:eastAsia="楷体"/>
          <w:b/>
          <w:i w:val="0"/>
          <w:sz w:val="21"/>
        </w:rPr>
        <w:t>BR-F01-005</w:t>
      </w:r>
      <w:r>
        <w:rPr>
          <w:rFonts w:ascii="KaiTi" w:hAnsi="KaiTi" w:eastAsia="楷体"/>
          <w:b w:val="0"/>
          <w:i w:val="0"/>
          <w:sz w:val="21"/>
        </w:rPr>
        <w:t>、</w:t>
      </w:r>
      <w:r>
        <w:rPr>
          <w:rFonts w:ascii="KaiTi" w:hAnsi="KaiTi" w:eastAsia="楷体"/>
          <w:b/>
          <w:i w:val="0"/>
          <w:sz w:val="21"/>
        </w:rPr>
        <w:t>SAFE-F01-001</w:t>
      </w:r>
      <w:r>
        <w:rPr>
          <w:rFonts w:ascii="KaiTi" w:hAnsi="KaiTi" w:eastAsia="楷体"/>
          <w:b w:val="0"/>
          <w:i w:val="0"/>
          <w:sz w:val="21"/>
        </w:rPr>
        <w:t>～</w:t>
      </w:r>
      <w:r>
        <w:rPr>
          <w:rFonts w:ascii="KaiTi" w:hAnsi="KaiTi" w:eastAsia="楷体"/>
          <w:b/>
          <w:i w:val="0"/>
          <w:sz w:val="21"/>
        </w:rPr>
        <w:t>SAFE-F01-003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：生产实现必须在现有对话区域内增加时间戳、说话主体、低置信标记、纠错、录音时长、中断重连和结束确认；不得新建另一套问诊页面。</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TC-F01-001</w:t>
      </w:r>
      <w:r>
        <w:rPr>
          <w:rFonts w:ascii="KaiTi" w:hAnsi="KaiTi" w:eastAsia="楷体"/>
          <w:b w:val="0"/>
          <w:i w:val="0"/>
          <w:sz w:val="21"/>
        </w:rPr>
        <w:t>～</w:t>
      </w:r>
      <w:r>
        <w:rPr>
          <w:rFonts w:ascii="KaiTi" w:hAnsi="KaiTi" w:eastAsia="楷体"/>
          <w:b/>
          <w:i w:val="0"/>
          <w:sz w:val="21"/>
        </w:rPr>
        <w:t>TC-F01-010</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P05 F06 风险管理</w:t>
      </w:r>
    </w:p>
    <w:p>
      <w:pPr>
        <w:keepNext/>
        <w:jc w:val="center"/>
      </w:pPr>
      <w:r>
        <w:rPr>
          <w:rFonts w:ascii="KaiTi" w:hAnsi="KaiTi" w:eastAsia="楷体"/>
        </w:rPr>
        <w:drawing>
          <wp:inline xmlns:a="http://schemas.openxmlformats.org/drawingml/2006/main" xmlns:pic="http://schemas.openxmlformats.org/drawingml/2006/picture">
            <wp:extent cx="5897880" cy="3686175"/>
            <wp:docPr id="5" name="Picture 5"/>
            <wp:cNvGraphicFramePr>
              <a:graphicFrameLocks noChangeAspect="1"/>
            </wp:cNvGraphicFramePr>
            <a:graphic>
              <a:graphicData uri="http://schemas.openxmlformats.org/drawingml/2006/picture">
                <pic:pic>
                  <pic:nvPicPr>
                    <pic:cNvPr id="0" name="P05-F06-risk-management.png"/>
                    <pic:cNvPicPr/>
                  </pic:nvPicPr>
                  <pic:blipFill>
                    <a:blip r:embed="rId15"/>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P05 风险管理</w:t>
      </w:r>
    </w:p>
    <w:p>
      <w:r>
        <w:rPr>
          <w:rFonts w:ascii="KaiTi" w:hAnsi="KaiTi" w:eastAsia="楷体"/>
          <w:b/>
          <w:i w:val="0"/>
          <w:sz w:val="21"/>
        </w:rPr>
        <w:t>目标</w:t>
      </w:r>
      <w:r>
        <w:rPr>
          <w:rFonts w:ascii="KaiTi" w:hAnsi="KaiTi" w:eastAsia="楷体"/>
          <w:b w:val="0"/>
          <w:i w:val="0"/>
          <w:sz w:val="21"/>
        </w:rPr>
        <w:t>：在原“预警评估”区域展示风险等级、依据、影响和建议，并形成医生处置闭环。</w:t>
      </w:r>
    </w:p>
    <w:p>
      <w:r>
        <w:rPr>
          <w:rFonts w:ascii="KaiTi" w:hAnsi="KaiTi" w:eastAsia="楷体"/>
          <w:b/>
          <w:i w:val="0"/>
          <w:sz w:val="21"/>
        </w:rPr>
        <w:t>界面内容</w:t>
      </w:r>
      <w:r>
        <w:rPr>
          <w:rFonts w:ascii="KaiTi" w:hAnsi="KaiTi" w:eastAsia="楷体"/>
          <w:b w:val="0"/>
          <w:i w:val="0"/>
          <w:sz w:val="21"/>
        </w:rPr>
        <w:t>：专项评估、高/中风险标识、依据、风险解释、建议、大模型解读和详情入口。</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UX-F06-001</w:t>
      </w:r>
      <w:r>
        <w:rPr>
          <w:rFonts w:ascii="KaiTi" w:hAnsi="KaiTi" w:eastAsia="楷体"/>
          <w:b w:val="0"/>
          <w:i w:val="0"/>
          <w:sz w:val="21"/>
        </w:rPr>
        <w:t>～</w:t>
      </w:r>
      <w:r>
        <w:rPr>
          <w:rFonts w:ascii="KaiTi" w:hAnsi="KaiTi" w:eastAsia="楷体"/>
          <w:b/>
          <w:i w:val="0"/>
          <w:sz w:val="21"/>
        </w:rPr>
        <w:t>UX-F06-006</w:t>
      </w:r>
      <w:r>
        <w:rPr>
          <w:rFonts w:ascii="KaiTi" w:hAnsi="KaiTi" w:eastAsia="楷体"/>
          <w:b w:val="0"/>
          <w:i w:val="0"/>
          <w:sz w:val="21"/>
        </w:rPr>
        <w:t>、</w:t>
      </w:r>
      <w:r>
        <w:rPr>
          <w:rFonts w:ascii="KaiTi" w:hAnsi="KaiTi" w:eastAsia="楷体"/>
          <w:b/>
          <w:i w:val="0"/>
          <w:sz w:val="21"/>
        </w:rPr>
        <w:t>BR-F06-001</w:t>
      </w:r>
      <w:r>
        <w:rPr>
          <w:rFonts w:ascii="KaiTi" w:hAnsi="KaiTi" w:eastAsia="楷体"/>
          <w:b w:val="0"/>
          <w:i w:val="0"/>
          <w:sz w:val="21"/>
        </w:rPr>
        <w:t>～</w:t>
      </w:r>
      <w:r>
        <w:rPr>
          <w:rFonts w:ascii="KaiTi" w:hAnsi="KaiTi" w:eastAsia="楷体"/>
          <w:b/>
          <w:i w:val="0"/>
          <w:sz w:val="21"/>
        </w:rPr>
        <w:t>BR-F06-005</w:t>
      </w:r>
      <w:r>
        <w:rPr>
          <w:rFonts w:ascii="KaiTi" w:hAnsi="KaiTi" w:eastAsia="楷体"/>
          <w:b w:val="0"/>
          <w:i w:val="0"/>
          <w:sz w:val="21"/>
        </w:rPr>
        <w:t>、</w:t>
      </w:r>
      <w:r>
        <w:rPr>
          <w:rFonts w:ascii="KaiTi" w:hAnsi="KaiTi" w:eastAsia="楷体"/>
          <w:b/>
          <w:i w:val="0"/>
          <w:sz w:val="21"/>
        </w:rPr>
        <w:t>SAFE-F06-001</w:t>
      </w:r>
      <w:r>
        <w:rPr>
          <w:rFonts w:ascii="KaiTi" w:hAnsi="KaiTi" w:eastAsia="楷体"/>
          <w:b w:val="0"/>
          <w:i w:val="0"/>
          <w:sz w:val="21"/>
        </w:rPr>
        <w:t>～</w:t>
      </w:r>
      <w:r>
        <w:rPr>
          <w:rFonts w:ascii="KaiTi" w:hAnsi="KaiTi" w:eastAsia="楷体"/>
          <w:b/>
          <w:i w:val="0"/>
          <w:sz w:val="21"/>
        </w:rPr>
        <w:t>SAFE-F06-003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：增加已阅、处置中、已解决、误报、有因忽略状态；红色风险未闭环时阻断病历/诊断模拟写回。</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TC-F06-001</w:t>
      </w:r>
      <w:r>
        <w:rPr>
          <w:rFonts w:ascii="KaiTi" w:hAnsi="KaiTi" w:eastAsia="楷体"/>
          <w:b w:val="0"/>
          <w:i w:val="0"/>
          <w:sz w:val="21"/>
        </w:rPr>
        <w:t>～</w:t>
      </w:r>
      <w:r>
        <w:rPr>
          <w:rFonts w:ascii="KaiTi" w:hAnsi="KaiTi" w:eastAsia="楷体"/>
          <w:b/>
          <w:i w:val="0"/>
          <w:sz w:val="21"/>
        </w:rPr>
        <w:t>TC-F06-012</w:t>
      </w:r>
      <w:r>
        <w:rPr>
          <w:rFonts w:ascii="KaiTi" w:hAnsi="KaiTi" w:eastAsia="楷体"/>
          <w:b w:val="0"/>
          <w:i w:val="0"/>
          <w:sz w:val="21"/>
        </w:rPr>
        <w:t>、</w:t>
      </w:r>
      <w:r>
        <w:rPr>
          <w:rFonts w:ascii="KaiTi" w:hAnsi="KaiTi" w:eastAsia="楷体"/>
          <w:b/>
          <w:i w:val="0"/>
          <w:sz w:val="21"/>
        </w:rPr>
        <w:t>TC-SAFE-010</w:t>
      </w:r>
      <w:r>
        <w:rPr>
          <w:rFonts w:ascii="KaiTi" w:hAnsi="KaiTi" w:eastAsia="楷体"/>
          <w:b w:val="0"/>
          <w:i w:val="0"/>
          <w:sz w:val="21"/>
        </w:rPr>
        <w:t>～</w:t>
      </w:r>
      <w:r>
        <w:rPr>
          <w:rFonts w:ascii="KaiTi" w:hAnsi="KaiTi" w:eastAsia="楷体"/>
          <w:b/>
          <w:i w:val="0"/>
          <w:sz w:val="21"/>
        </w:rPr>
        <w:t>TC-SAFE-015</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P06 F03 病历生成</w:t>
      </w:r>
    </w:p>
    <w:p>
      <w:pPr>
        <w:keepNext/>
        <w:jc w:val="center"/>
      </w:pPr>
      <w:r>
        <w:rPr>
          <w:rFonts w:ascii="KaiTi" w:hAnsi="KaiTi" w:eastAsia="楷体"/>
        </w:rPr>
        <w:drawing>
          <wp:inline xmlns:a="http://schemas.openxmlformats.org/drawingml/2006/main" xmlns:pic="http://schemas.openxmlformats.org/drawingml/2006/picture">
            <wp:extent cx="5897880" cy="3686175"/>
            <wp:docPr id="6" name="Picture 6"/>
            <wp:cNvGraphicFramePr>
              <a:graphicFrameLocks noChangeAspect="1"/>
            </wp:cNvGraphicFramePr>
            <a:graphic>
              <a:graphicData uri="http://schemas.openxmlformats.org/drawingml/2006/picture">
                <pic:pic>
                  <pic:nvPicPr>
                    <pic:cNvPr id="0" name="P06-F03-record-generation.png"/>
                    <pic:cNvPicPr/>
                  </pic:nvPicPr>
                  <pic:blipFill>
                    <a:blip r:embed="rId16"/>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P06 病历生成</w:t>
      </w:r>
    </w:p>
    <w:p>
      <w:r>
        <w:rPr>
          <w:rFonts w:ascii="KaiTi" w:hAnsi="KaiTi" w:eastAsia="楷体"/>
          <w:b/>
          <w:i w:val="0"/>
          <w:sz w:val="21"/>
        </w:rPr>
        <w:t>目标</w:t>
      </w:r>
      <w:r>
        <w:rPr>
          <w:rFonts w:ascii="KaiTi" w:hAnsi="KaiTi" w:eastAsia="楷体"/>
          <w:b w:val="0"/>
          <w:i w:val="0"/>
          <w:sz w:val="21"/>
        </w:rPr>
        <w:t>：按病历字段生成可编辑草稿，支持单字段回写、完整性检查和遗漏提示。</w:t>
      </w:r>
    </w:p>
    <w:p>
      <w:r>
        <w:rPr>
          <w:rFonts w:ascii="KaiTi" w:hAnsi="KaiTi" w:eastAsia="楷体"/>
          <w:b/>
          <w:i w:val="0"/>
          <w:sz w:val="21"/>
        </w:rPr>
        <w:t>界面内容</w:t>
      </w:r>
      <w:r>
        <w:rPr>
          <w:rFonts w:ascii="KaiTi" w:hAnsi="KaiTi" w:eastAsia="楷体"/>
          <w:b w:val="0"/>
          <w:i w:val="0"/>
          <w:sz w:val="21"/>
        </w:rPr>
        <w:t>：确认并回写、病历完整度、主诉/现病史/既往史/个人史/体检/辅助检查/初步诊断、风险与遗漏、质控评分。</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UX-F03-001</w:t>
      </w:r>
      <w:r>
        <w:rPr>
          <w:rFonts w:ascii="KaiTi" w:hAnsi="KaiTi" w:eastAsia="楷体"/>
          <w:b w:val="0"/>
          <w:i w:val="0"/>
          <w:sz w:val="21"/>
        </w:rPr>
        <w:t>～</w:t>
      </w:r>
      <w:r>
        <w:rPr>
          <w:rFonts w:ascii="KaiTi" w:hAnsi="KaiTi" w:eastAsia="楷体"/>
          <w:b/>
          <w:i w:val="0"/>
          <w:sz w:val="21"/>
        </w:rPr>
        <w:t>UX-F03-005</w:t>
      </w:r>
      <w:r>
        <w:rPr>
          <w:rFonts w:ascii="KaiTi" w:hAnsi="KaiTi" w:eastAsia="楷体"/>
          <w:b w:val="0"/>
          <w:i w:val="0"/>
          <w:sz w:val="21"/>
        </w:rPr>
        <w:t>、F03 全部业务与安全规则。</w:t>
      </w:r>
    </w:p>
    <w:p>
      <w:r>
        <w:rPr>
          <w:rFonts w:ascii="KaiTi" w:hAnsi="KaiTi" w:eastAsia="楷体"/>
          <w:b/>
          <w:i w:val="0"/>
          <w:sz w:val="21"/>
        </w:rPr>
        <w:t>原型补齐要求</w:t>
      </w:r>
      <w:r>
        <w:rPr>
          <w:rFonts w:ascii="KaiTi" w:hAnsi="KaiTi" w:eastAsia="楷体"/>
          <w:b w:val="0"/>
          <w:i w:val="0"/>
          <w:sz w:val="21"/>
        </w:rPr>
        <w:t>：按钮在一期必须显示“模拟写回”语义；医生编辑字段不得被重新生成覆盖；批量采纳跳过已编辑或有冲突字段。</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TC-F03-001</w:t>
      </w:r>
      <w:r>
        <w:rPr>
          <w:rFonts w:ascii="KaiTi" w:hAnsi="KaiTi" w:eastAsia="楷体"/>
          <w:b w:val="0"/>
          <w:i w:val="0"/>
          <w:sz w:val="21"/>
        </w:rPr>
        <w:t>～</w:t>
      </w:r>
      <w:r>
        <w:rPr>
          <w:rFonts w:ascii="KaiTi" w:hAnsi="KaiTi" w:eastAsia="楷体"/>
          <w:b/>
          <w:i w:val="0"/>
          <w:sz w:val="21"/>
        </w:rPr>
        <w:t>TC-F03-012</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P07 F05 诊断管理</w:t>
      </w:r>
    </w:p>
    <w:p>
      <w:pPr>
        <w:keepNext/>
        <w:jc w:val="center"/>
      </w:pPr>
      <w:r>
        <w:rPr>
          <w:rFonts w:ascii="KaiTi" w:hAnsi="KaiTi" w:eastAsia="楷体"/>
        </w:rPr>
        <w:drawing>
          <wp:inline xmlns:a="http://schemas.openxmlformats.org/drawingml/2006/main" xmlns:pic="http://schemas.openxmlformats.org/drawingml/2006/picture">
            <wp:extent cx="5897880" cy="3686175"/>
            <wp:docPr id="7" name="Picture 7"/>
            <wp:cNvGraphicFramePr>
              <a:graphicFrameLocks noChangeAspect="1"/>
            </wp:cNvGraphicFramePr>
            <a:graphic>
              <a:graphicData uri="http://schemas.openxmlformats.org/drawingml/2006/picture">
                <pic:pic>
                  <pic:nvPicPr>
                    <pic:cNvPr id="0" name="P07-F05-diagnosis-management.png"/>
                    <pic:cNvPicPr/>
                  </pic:nvPicPr>
                  <pic:blipFill>
                    <a:blip r:embed="rId17"/>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P07 诊断管理</w:t>
      </w:r>
    </w:p>
    <w:p>
      <w:r>
        <w:rPr>
          <w:rFonts w:ascii="KaiTi" w:hAnsi="KaiTi" w:eastAsia="楷体"/>
          <w:b/>
          <w:i w:val="0"/>
          <w:sz w:val="21"/>
        </w:rPr>
        <w:t>目标</w:t>
      </w:r>
      <w:r>
        <w:rPr>
          <w:rFonts w:ascii="KaiTi" w:hAnsi="KaiTi" w:eastAsia="楷体"/>
          <w:b w:val="0"/>
          <w:i w:val="0"/>
          <w:sz w:val="21"/>
        </w:rPr>
        <w:t>：医生从 AI 建议和手工输入中形成主诊断、次诊断与待排诊断，并进行模拟写回。</w:t>
      </w:r>
    </w:p>
    <w:p>
      <w:r>
        <w:rPr>
          <w:rFonts w:ascii="KaiTi" w:hAnsi="KaiTi" w:eastAsia="楷体"/>
          <w:b/>
          <w:i w:val="0"/>
          <w:sz w:val="21"/>
        </w:rPr>
        <w:t>界面内容</w:t>
      </w:r>
      <w:r>
        <w:rPr>
          <w:rFonts w:ascii="KaiTi" w:hAnsi="KaiTi" w:eastAsia="楷体"/>
          <w:b w:val="0"/>
          <w:i w:val="0"/>
          <w:sz w:val="21"/>
        </w:rPr>
        <w:t>：候选诊断、概率提示、ICD 编码、依据、勾选、设为主诊断、新增诊断、已选数量和确认写回。</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FR-F05-001</w:t>
      </w:r>
      <w:r>
        <w:rPr>
          <w:rFonts w:ascii="KaiTi" w:hAnsi="KaiTi" w:eastAsia="楷体"/>
          <w:b w:val="0"/>
          <w:i w:val="0"/>
          <w:sz w:val="21"/>
        </w:rPr>
        <w:t>～</w:t>
      </w:r>
      <w:r>
        <w:rPr>
          <w:rFonts w:ascii="KaiTi" w:hAnsi="KaiTi" w:eastAsia="楷体"/>
          <w:b/>
          <w:i w:val="0"/>
          <w:sz w:val="21"/>
        </w:rPr>
        <w:t>FR-F05-006</w:t>
      </w:r>
      <w:r>
        <w:rPr>
          <w:rFonts w:ascii="KaiTi" w:hAnsi="KaiTi" w:eastAsia="楷体"/>
          <w:b w:val="0"/>
          <w:i w:val="0"/>
          <w:sz w:val="21"/>
        </w:rPr>
        <w:t>、</w:t>
      </w:r>
      <w:r>
        <w:rPr>
          <w:rFonts w:ascii="KaiTi" w:hAnsi="KaiTi" w:eastAsia="楷体"/>
          <w:b/>
          <w:i w:val="0"/>
          <w:sz w:val="21"/>
        </w:rPr>
        <w:t>UX-F05-001</w:t>
      </w:r>
      <w:r>
        <w:rPr>
          <w:rFonts w:ascii="KaiTi" w:hAnsi="KaiTi" w:eastAsia="楷体"/>
          <w:b w:val="0"/>
          <w:i w:val="0"/>
          <w:sz w:val="21"/>
        </w:rPr>
        <w:t>～</w:t>
      </w:r>
      <w:r>
        <w:rPr>
          <w:rFonts w:ascii="KaiTi" w:hAnsi="KaiTi" w:eastAsia="楷体"/>
          <w:b/>
          <w:i w:val="0"/>
          <w:sz w:val="21"/>
        </w:rPr>
        <w:t>UX-F05-006</w:t>
      </w:r>
      <w:r>
        <w:rPr>
          <w:rFonts w:ascii="KaiTi" w:hAnsi="KaiTi" w:eastAsia="楷体"/>
          <w:b w:val="0"/>
          <w:i w:val="0"/>
          <w:sz w:val="21"/>
        </w:rPr>
        <w:t>、</w:t>
      </w:r>
      <w:r>
        <w:rPr>
          <w:rFonts w:ascii="KaiTi" w:hAnsi="KaiTi" w:eastAsia="楷体"/>
          <w:b/>
          <w:i w:val="0"/>
          <w:sz w:val="21"/>
        </w:rPr>
        <w:t>SAFE-F05-001</w:t>
      </w:r>
      <w:r>
        <w:rPr>
          <w:rFonts w:ascii="KaiTi" w:hAnsi="KaiTi" w:eastAsia="楷体"/>
          <w:b w:val="0"/>
          <w:i w:val="0"/>
          <w:sz w:val="21"/>
        </w:rPr>
        <w:t>～</w:t>
      </w:r>
      <w:r>
        <w:rPr>
          <w:rFonts w:ascii="KaiTi" w:hAnsi="KaiTi" w:eastAsia="楷体"/>
          <w:b/>
          <w:i w:val="0"/>
          <w:sz w:val="21"/>
        </w:rPr>
        <w:t>SAFE-F05-003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：按钮文案改为“提交模拟写回”；概率不代表确诊；删除、排除、冲突覆盖和主诊断变更必须留因。</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TC-F05-001</w:t>
      </w:r>
      <w:r>
        <w:rPr>
          <w:rFonts w:ascii="KaiTi" w:hAnsi="KaiTi" w:eastAsia="楷体"/>
          <w:b w:val="0"/>
          <w:i w:val="0"/>
          <w:sz w:val="21"/>
        </w:rPr>
        <w:t>～</w:t>
      </w:r>
      <w:r>
        <w:rPr>
          <w:rFonts w:ascii="KaiTi" w:hAnsi="KaiTi" w:eastAsia="楷体"/>
          <w:b/>
          <w:i w:val="0"/>
          <w:sz w:val="21"/>
        </w:rPr>
        <w:t>TC-F05-012</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P08 F07 共病管理</w:t>
      </w:r>
    </w:p>
    <w:p>
      <w:pPr>
        <w:keepNext/>
        <w:jc w:val="center"/>
      </w:pPr>
      <w:r>
        <w:rPr>
          <w:rFonts w:ascii="KaiTi" w:hAnsi="KaiTi" w:eastAsia="楷体"/>
        </w:rPr>
        <w:drawing>
          <wp:inline xmlns:a="http://schemas.openxmlformats.org/drawingml/2006/main" xmlns:pic="http://schemas.openxmlformats.org/drawingml/2006/picture">
            <wp:extent cx="5897880" cy="3686175"/>
            <wp:docPr id="8" name="Picture 8"/>
            <wp:cNvGraphicFramePr>
              <a:graphicFrameLocks noChangeAspect="1"/>
            </wp:cNvGraphicFramePr>
            <a:graphic>
              <a:graphicData uri="http://schemas.openxmlformats.org/drawingml/2006/picture">
                <pic:pic>
                  <pic:nvPicPr>
                    <pic:cNvPr id="0" name="P08-F07-comorbidity-management.png"/>
                    <pic:cNvPicPr/>
                  </pic:nvPicPr>
                  <pic:blipFill>
                    <a:blip r:embed="rId18"/>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P08 共病管理</w:t>
      </w:r>
    </w:p>
    <w:p>
      <w:r>
        <w:rPr>
          <w:rFonts w:ascii="KaiTi" w:hAnsi="KaiTi" w:eastAsia="楷体"/>
          <w:b/>
          <w:i w:val="0"/>
          <w:sz w:val="21"/>
        </w:rPr>
        <w:t>目标</w:t>
      </w:r>
      <w:r>
        <w:rPr>
          <w:rFonts w:ascii="KaiTi" w:hAnsi="KaiTi" w:eastAsia="楷体"/>
          <w:b w:val="0"/>
          <w:i w:val="0"/>
          <w:sz w:val="21"/>
        </w:rPr>
        <w:t>：识别与当前决策相关的共病、控制状态、相互影响、管理缺口和行动建议。</w:t>
      </w:r>
    </w:p>
    <w:p>
      <w:r>
        <w:rPr>
          <w:rFonts w:ascii="KaiTi" w:hAnsi="KaiTi" w:eastAsia="楷体"/>
          <w:b/>
          <w:i w:val="0"/>
          <w:sz w:val="21"/>
        </w:rPr>
        <w:t>界面内容</w:t>
      </w:r>
      <w:r>
        <w:rPr>
          <w:rFonts w:ascii="KaiTi" w:hAnsi="KaiTi" w:eastAsia="楷体"/>
          <w:b w:val="0"/>
          <w:i w:val="0"/>
          <w:sz w:val="21"/>
        </w:rPr>
        <w:t>：共病列表、营养风险、严重程度、病程、与本次诊疗的关系、推荐科室、提醒与会诊入口。</w:t>
      </w:r>
    </w:p>
    <w:p>
      <w:r>
        <w:rPr>
          <w:rFonts w:ascii="KaiTi" w:hAnsi="KaiTi" w:eastAsia="楷体"/>
          <w:b/>
          <w:i w:val="0"/>
          <w:sz w:val="21"/>
        </w:rPr>
        <w:t>关键规则</w:t>
      </w:r>
      <w:r>
        <w:rPr>
          <w:rFonts w:ascii="KaiTi" w:hAnsi="KaiTi" w:eastAsia="楷体"/>
          <w:b w:val="0"/>
          <w:i w:val="0"/>
          <w:sz w:val="21"/>
        </w:rPr>
        <w:t xml:space="preserve">：对应 </w:t>
      </w:r>
      <w:r>
        <w:rPr>
          <w:rFonts w:ascii="KaiTi" w:hAnsi="KaiTi" w:eastAsia="楷体"/>
          <w:b/>
          <w:i w:val="0"/>
          <w:sz w:val="21"/>
        </w:rPr>
        <w:t>FR-F07-001</w:t>
      </w:r>
      <w:r>
        <w:rPr>
          <w:rFonts w:ascii="KaiTi" w:hAnsi="KaiTi" w:eastAsia="楷体"/>
          <w:b w:val="0"/>
          <w:i w:val="0"/>
          <w:sz w:val="21"/>
        </w:rPr>
        <w:t>～</w:t>
      </w:r>
      <w:r>
        <w:rPr>
          <w:rFonts w:ascii="KaiTi" w:hAnsi="KaiTi" w:eastAsia="楷体"/>
          <w:b/>
          <w:i w:val="0"/>
          <w:sz w:val="21"/>
        </w:rPr>
        <w:t>FR-F07-006</w:t>
      </w:r>
      <w:r>
        <w:rPr>
          <w:rFonts w:ascii="KaiTi" w:hAnsi="KaiTi" w:eastAsia="楷体"/>
          <w:b w:val="0"/>
          <w:i w:val="0"/>
          <w:sz w:val="21"/>
        </w:rPr>
        <w:t>、</w:t>
      </w:r>
      <w:r>
        <w:rPr>
          <w:rFonts w:ascii="KaiTi" w:hAnsi="KaiTi" w:eastAsia="楷体"/>
          <w:b/>
          <w:i w:val="0"/>
          <w:sz w:val="21"/>
        </w:rPr>
        <w:t>UX-F07-001</w:t>
      </w:r>
      <w:r>
        <w:rPr>
          <w:rFonts w:ascii="KaiTi" w:hAnsi="KaiTi" w:eastAsia="楷体"/>
          <w:b w:val="0"/>
          <w:i w:val="0"/>
          <w:sz w:val="21"/>
        </w:rPr>
        <w:t>～</w:t>
      </w:r>
      <w:r>
        <w:rPr>
          <w:rFonts w:ascii="KaiTi" w:hAnsi="KaiTi" w:eastAsia="楷体"/>
          <w:b/>
          <w:i w:val="0"/>
          <w:sz w:val="21"/>
        </w:rPr>
        <w:t>UX-F07-006</w:t>
      </w:r>
      <w:r>
        <w:rPr>
          <w:rFonts w:ascii="KaiTi" w:hAnsi="KaiTi" w:eastAsia="楷体"/>
          <w:b w:val="0"/>
          <w:i w:val="0"/>
          <w:sz w:val="21"/>
        </w:rPr>
        <w:t>、</w:t>
      </w:r>
      <w:r>
        <w:rPr>
          <w:rFonts w:ascii="KaiTi" w:hAnsi="KaiTi" w:eastAsia="楷体"/>
          <w:b/>
          <w:i w:val="0"/>
          <w:sz w:val="21"/>
        </w:rPr>
        <w:t>SAFE-F07-001</w:t>
      </w:r>
      <w:r>
        <w:rPr>
          <w:rFonts w:ascii="KaiTi" w:hAnsi="KaiTi" w:eastAsia="楷体"/>
          <w:b w:val="0"/>
          <w:i w:val="0"/>
          <w:sz w:val="21"/>
        </w:rPr>
        <w:t>～</w:t>
      </w:r>
      <w:r>
        <w:rPr>
          <w:rFonts w:ascii="KaiTi" w:hAnsi="KaiTi" w:eastAsia="楷体"/>
          <w:b/>
          <w:i w:val="0"/>
          <w:sz w:val="21"/>
        </w:rPr>
        <w:t>SAFE-F07-003</w:t>
      </w:r>
      <w:r>
        <w:rPr>
          <w:rFonts w:ascii="KaiTi" w:hAnsi="KaiTi" w:eastAsia="楷体"/>
          <w:b w:val="0"/>
          <w:i w:val="0"/>
          <w:sz w:val="21"/>
        </w:rPr>
        <w:t>。</w:t>
      </w:r>
    </w:p>
    <w:p>
      <w:r>
        <w:rPr>
          <w:rFonts w:ascii="KaiTi" w:hAnsi="KaiTi" w:eastAsia="楷体"/>
          <w:b/>
          <w:i w:val="0"/>
          <w:sz w:val="21"/>
        </w:rPr>
        <w:t>原型补齐要求</w:t>
      </w:r>
      <w:r>
        <w:rPr>
          <w:rFonts w:ascii="KaiTi" w:hAnsi="KaiTi" w:eastAsia="楷体"/>
          <w:b w:val="0"/>
          <w:i w:val="0"/>
          <w:sz w:val="21"/>
        </w:rPr>
        <w:t>：提醒、会诊和随访动作均明确为草稿或模拟操作；不能显示为已经执行；与高风险有关的事项跳转 F06 权威风险项。</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TC-F07-001</w:t>
      </w:r>
      <w:r>
        <w:rPr>
          <w:rFonts w:ascii="KaiTi" w:hAnsi="KaiTi" w:eastAsia="楷体"/>
          <w:b w:val="0"/>
          <w:i w:val="0"/>
          <w:sz w:val="21"/>
        </w:rPr>
        <w:t>～</w:t>
      </w:r>
      <w:r>
        <w:rPr>
          <w:rFonts w:ascii="KaiTi" w:hAnsi="KaiTi" w:eastAsia="楷体"/>
          <w:b/>
          <w:i w:val="0"/>
          <w:sz w:val="21"/>
        </w:rPr>
        <w:t>TC-F07-010</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P09 F02 病情概况与 F04 鉴别诊断</w:t>
      </w:r>
    </w:p>
    <w:p>
      <w:pPr>
        <w:keepNext/>
        <w:jc w:val="center"/>
      </w:pPr>
      <w:r>
        <w:rPr>
          <w:rFonts w:ascii="KaiTi" w:hAnsi="KaiTi" w:eastAsia="楷体"/>
        </w:rPr>
        <w:drawing>
          <wp:inline xmlns:a="http://schemas.openxmlformats.org/drawingml/2006/main" xmlns:pic="http://schemas.openxmlformats.org/drawingml/2006/picture">
            <wp:extent cx="5897880" cy="3686175"/>
            <wp:docPr id="9" name="Picture 9"/>
            <wp:cNvGraphicFramePr>
              <a:graphicFrameLocks noChangeAspect="1"/>
            </wp:cNvGraphicFramePr>
            <a:graphic>
              <a:graphicData uri="http://schemas.openxmlformats.org/drawingml/2006/picture">
                <pic:pic>
                  <pic:nvPicPr>
                    <pic:cNvPr id="0" name="P09-F02-F04-summary-differential.png"/>
                    <pic:cNvPicPr/>
                  </pic:nvPicPr>
                  <pic:blipFill>
                    <a:blip r:embed="rId19"/>
                    <a:stretch>
                      <a:fillRect/>
                    </a:stretch>
                  </pic:blipFill>
                  <pic:spPr>
                    <a:xfrm>
                      <a:off x="0" y="0"/>
                      <a:ext cx="5897880" cy="3686175"/>
                    </a:xfrm>
                    <a:prstGeom prst="rect"/>
                  </pic:spPr>
                </pic:pic>
              </a:graphicData>
            </a:graphic>
          </wp:inline>
        </w:drawing>
      </w:r>
    </w:p>
    <w:p>
      <w:pPr>
        <w:pStyle w:val="Caption"/>
        <w:jc w:val="center"/>
      </w:pPr>
      <w:r>
        <w:rPr>
          <w:rFonts w:ascii="KaiTi" w:hAnsi="KaiTi" w:eastAsia="楷体"/>
          <w:b w:val="0"/>
          <w:i w:val="0"/>
          <w:color w:val="596370"/>
          <w:sz w:val="18"/>
        </w:rPr>
        <w:t>P09 病情概况与鉴别诊断</w:t>
      </w:r>
    </w:p>
    <w:p>
      <w:r>
        <w:rPr>
          <w:rFonts w:ascii="KaiTi" w:hAnsi="KaiTi" w:eastAsia="楷体"/>
          <w:b/>
          <w:i w:val="0"/>
          <w:sz w:val="21"/>
        </w:rPr>
        <w:t>目标</w:t>
      </w:r>
      <w:r>
        <w:rPr>
          <w:rFonts w:ascii="KaiTi" w:hAnsi="KaiTi" w:eastAsia="楷体"/>
          <w:b w:val="0"/>
          <w:i w:val="0"/>
          <w:sz w:val="21"/>
        </w:rPr>
        <w:t>：在“智慧诊疗”区域同时提供快速病情概况和可复核的候选诊断。</w:t>
      </w:r>
    </w:p>
    <w:p>
      <w:r>
        <w:rPr>
          <w:rFonts w:ascii="KaiTi" w:hAnsi="KaiTi" w:eastAsia="楷体"/>
          <w:b/>
          <w:i w:val="0"/>
          <w:sz w:val="21"/>
        </w:rPr>
        <w:t>病情概况</w:t>
      </w:r>
      <w:r>
        <w:rPr>
          <w:rFonts w:ascii="KaiTi" w:hAnsi="KaiTi" w:eastAsia="楷体"/>
          <w:b w:val="0"/>
          <w:i w:val="0"/>
          <w:sz w:val="21"/>
        </w:rPr>
        <w:t xml:space="preserve">：对应 </w:t>
      </w:r>
      <w:r>
        <w:rPr>
          <w:rFonts w:ascii="KaiTi" w:hAnsi="KaiTi" w:eastAsia="楷体"/>
          <w:b/>
          <w:i w:val="0"/>
          <w:sz w:val="21"/>
        </w:rPr>
        <w:t>FR-F02-001</w:t>
      </w:r>
      <w:r>
        <w:rPr>
          <w:rFonts w:ascii="KaiTi" w:hAnsi="KaiTi" w:eastAsia="楷体"/>
          <w:b w:val="0"/>
          <w:i w:val="0"/>
          <w:sz w:val="21"/>
        </w:rPr>
        <w:t>～</w:t>
      </w:r>
      <w:r>
        <w:rPr>
          <w:rFonts w:ascii="KaiTi" w:hAnsi="KaiTi" w:eastAsia="楷体"/>
          <w:b/>
          <w:i w:val="0"/>
          <w:sz w:val="21"/>
        </w:rPr>
        <w:t>FR-F02-004</w:t>
      </w:r>
      <w:r>
        <w:rPr>
          <w:rFonts w:ascii="KaiTi" w:hAnsi="KaiTi" w:eastAsia="楷体"/>
          <w:b w:val="0"/>
          <w:i w:val="0"/>
          <w:sz w:val="21"/>
        </w:rPr>
        <w:t>、</w:t>
      </w:r>
      <w:r>
        <w:rPr>
          <w:rFonts w:ascii="KaiTi" w:hAnsi="KaiTi" w:eastAsia="楷体"/>
          <w:b/>
          <w:i w:val="0"/>
          <w:sz w:val="21"/>
        </w:rPr>
        <w:t>UX-F02-001</w:t>
      </w:r>
      <w:r>
        <w:rPr>
          <w:rFonts w:ascii="KaiTi" w:hAnsi="KaiTi" w:eastAsia="楷体"/>
          <w:b w:val="0"/>
          <w:i w:val="0"/>
          <w:sz w:val="21"/>
        </w:rPr>
        <w:t>～</w:t>
      </w:r>
      <w:r>
        <w:rPr>
          <w:rFonts w:ascii="KaiTi" w:hAnsi="KaiTi" w:eastAsia="楷体"/>
          <w:b/>
          <w:i w:val="0"/>
          <w:sz w:val="21"/>
        </w:rPr>
        <w:t>UX-F02-005</w:t>
      </w:r>
      <w:r>
        <w:rPr>
          <w:rFonts w:ascii="KaiTi" w:hAnsi="KaiTi" w:eastAsia="楷体"/>
          <w:b w:val="0"/>
          <w:i w:val="0"/>
          <w:sz w:val="21"/>
        </w:rPr>
        <w:t>、</w:t>
      </w:r>
      <w:r>
        <w:rPr>
          <w:rFonts w:ascii="KaiTi" w:hAnsi="KaiTi" w:eastAsia="楷体"/>
          <w:b/>
          <w:i w:val="0"/>
          <w:sz w:val="21"/>
        </w:rPr>
        <w:t>SAFE-F02-001</w:t>
      </w:r>
      <w:r>
        <w:rPr>
          <w:rFonts w:ascii="KaiTi" w:hAnsi="KaiTi" w:eastAsia="楷体"/>
          <w:b w:val="0"/>
          <w:i w:val="0"/>
          <w:sz w:val="21"/>
        </w:rPr>
        <w:t>～</w:t>
      </w:r>
      <w:r>
        <w:rPr>
          <w:rFonts w:ascii="KaiTi" w:hAnsi="KaiTi" w:eastAsia="楷体"/>
          <w:b/>
          <w:i w:val="0"/>
          <w:sz w:val="21"/>
        </w:rPr>
        <w:t>SAFE-F02-002</w:t>
      </w:r>
      <w:r>
        <w:rPr>
          <w:rFonts w:ascii="KaiTi" w:hAnsi="KaiTi" w:eastAsia="楷体"/>
          <w:b w:val="0"/>
          <w:i w:val="0"/>
          <w:sz w:val="21"/>
        </w:rPr>
        <w:t>。</w:t>
      </w:r>
    </w:p>
    <w:p>
      <w:r>
        <w:rPr>
          <w:rFonts w:ascii="KaiTi" w:hAnsi="KaiTi" w:eastAsia="楷体"/>
          <w:b/>
          <w:i w:val="0"/>
          <w:sz w:val="21"/>
        </w:rPr>
        <w:t>鉴别诊断</w:t>
      </w:r>
      <w:r>
        <w:rPr>
          <w:rFonts w:ascii="KaiTi" w:hAnsi="KaiTi" w:eastAsia="楷体"/>
          <w:b w:val="0"/>
          <w:i w:val="0"/>
          <w:sz w:val="21"/>
        </w:rPr>
        <w:t>：对应 F04 的候选分组、证据、缺失、不能漏诊、安全门禁和审计要求。</w:t>
      </w:r>
    </w:p>
    <w:p>
      <w:r>
        <w:rPr>
          <w:rFonts w:ascii="KaiTi" w:hAnsi="KaiTi" w:eastAsia="楷体"/>
          <w:b/>
          <w:i w:val="0"/>
          <w:sz w:val="21"/>
        </w:rPr>
        <w:t>原型补齐要求</w:t>
      </w:r>
      <w:r>
        <w:rPr>
          <w:rFonts w:ascii="KaiTi" w:hAnsi="KaiTi" w:eastAsia="楷体"/>
          <w:b w:val="0"/>
          <w:i w:val="0"/>
          <w:sz w:val="21"/>
        </w:rPr>
        <w:t>：概况显示数据截止时间、来源、冲突和缺失；鉴别诊断区分支持证据、反对证据和待补信息，医生确认后才可送入 F05。</w:t>
      </w:r>
    </w:p>
    <w:p>
      <w:r>
        <w:rPr>
          <w:rFonts w:ascii="KaiTi" w:hAnsi="KaiTi" w:eastAsia="楷体"/>
          <w:b/>
          <w:i w:val="0"/>
          <w:sz w:val="21"/>
        </w:rPr>
        <w:t>对应测试</w:t>
      </w:r>
      <w:r>
        <w:rPr>
          <w:rFonts w:ascii="KaiTi" w:hAnsi="KaiTi" w:eastAsia="楷体"/>
          <w:b w:val="0"/>
          <w:i w:val="0"/>
          <w:sz w:val="21"/>
        </w:rPr>
        <w:t>：</w:t>
      </w:r>
      <w:r>
        <w:rPr>
          <w:rFonts w:ascii="KaiTi" w:hAnsi="KaiTi" w:eastAsia="楷体"/>
          <w:b/>
          <w:i w:val="0"/>
          <w:sz w:val="21"/>
        </w:rPr>
        <w:t>TC-F02-001</w:t>
      </w:r>
      <w:r>
        <w:rPr>
          <w:rFonts w:ascii="KaiTi" w:hAnsi="KaiTi" w:eastAsia="楷体"/>
          <w:b w:val="0"/>
          <w:i w:val="0"/>
          <w:sz w:val="21"/>
        </w:rPr>
        <w:t>～</w:t>
      </w:r>
      <w:r>
        <w:rPr>
          <w:rFonts w:ascii="KaiTi" w:hAnsi="KaiTi" w:eastAsia="楷体"/>
          <w:b/>
          <w:i w:val="0"/>
          <w:sz w:val="21"/>
        </w:rPr>
        <w:t>TC-F02-009</w:t>
      </w:r>
      <w:r>
        <w:rPr>
          <w:rFonts w:ascii="KaiTi" w:hAnsi="KaiTi" w:eastAsia="楷体"/>
          <w:b w:val="0"/>
          <w:i w:val="0"/>
          <w:sz w:val="21"/>
        </w:rPr>
        <w:t>、</w:t>
      </w:r>
      <w:r>
        <w:rPr>
          <w:rFonts w:ascii="KaiTi" w:hAnsi="KaiTi" w:eastAsia="楷体"/>
          <w:b/>
          <w:i w:val="0"/>
          <w:sz w:val="21"/>
        </w:rPr>
        <w:t>TC-F04-001</w:t>
      </w:r>
      <w:r>
        <w:rPr>
          <w:rFonts w:ascii="KaiTi" w:hAnsi="KaiTi" w:eastAsia="楷体"/>
          <w:b w:val="0"/>
          <w:i w:val="0"/>
          <w:sz w:val="21"/>
        </w:rPr>
        <w:t>～</w:t>
      </w:r>
      <w:r>
        <w:rPr>
          <w:rFonts w:ascii="KaiTi" w:hAnsi="KaiTi" w:eastAsia="楷体"/>
          <w:b/>
          <w:i w:val="0"/>
          <w:sz w:val="21"/>
        </w:rPr>
        <w:t>TC-F04-011</w:t>
      </w:r>
      <w:r>
        <w:rPr>
          <w:rFonts w:ascii="KaiTi" w:hAnsi="KaiTi" w:eastAsia="楷体"/>
          <w:b w:val="0"/>
          <w:i w:val="0"/>
          <w:sz w:val="21"/>
        </w:rPr>
        <w:t>。</w:t>
      </w:r>
    </w:p>
    <w:p>
      <w:pPr>
        <w:pStyle w:val="Heading2"/>
        <w:pageBreakBefore w:val="0"/>
        <w:numPr>
          <w:ilvl w:val="1"/>
          <w:numId w:val="102"/>
        </w:numPr>
      </w:pPr>
      <w:r>
        <w:rPr>
          <w:rFonts w:ascii="KaiTi" w:hAnsi="KaiTi" w:eastAsia="楷体"/>
          <w:b/>
          <w:i w:val="0"/>
          <w:color w:val="1F4D78"/>
          <w:sz w:val="26"/>
        </w:rPr>
        <w:t>七功能与六 Agent 对应</w:t>
      </w:r>
    </w:p>
    <w:tbl>
      <w:tblPr>
        <w:tblStyle w:val="TableGrid"/>
        <w:tblW w:type="dxa" w:w="9360"/>
        <w:jc w:val="left"/>
        <w:tblLayout w:type="fixed"/>
        <w:tblLook w:firstColumn="1" w:firstRow="1" w:lastColumn="0" w:lastRow="0" w:noHBand="0" w:noVBand="1" w:val="04A0"/>
        <w:tblInd w:type="dxa" w:w="120"/>
      </w:tblPr>
      <w:tblGrid>
        <w:gridCol w:w="1656"/>
        <w:gridCol w:w="2448"/>
        <w:gridCol w:w="3456"/>
        <w:gridCol w:w="1800"/>
      </w:tblGrid>
      <w:tr>
        <w:trPr>
          <w:tblHeader w:val="true"/>
          <w:cantSplit w:val="true"/>
        </w:trPr>
        <w:tc>
          <w:tcPr>
            <w:tcW w:type="dxa" w:w="16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产品功能</w:t>
            </w:r>
          </w:p>
        </w:tc>
        <w:tc>
          <w:tcPr>
            <w:tcW w:type="dxa" w:w="2448"/>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主要原界面区域</w:t>
            </w:r>
          </w:p>
        </w:tc>
        <w:tc>
          <w:tcPr>
            <w:tcW w:type="dxa" w:w="34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承载 Agent</w:t>
            </w:r>
          </w:p>
        </w:tc>
        <w:tc>
          <w:tcPr>
            <w:tcW w:type="dxa" w:w="180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主要输出</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语音问诊</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医生智能体对话区</w:t>
            </w:r>
          </w:p>
        </w:tc>
        <w:tc>
          <w:tcPr>
            <w:tcW w:type="dxa" w:w="34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voice_interview_agent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转写、结构化病史、澄清问题</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病情概况</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智慧诊疗/AI 病情概要</w:t>
            </w:r>
          </w:p>
        </w:tc>
        <w:tc>
          <w:tcPr>
            <w:tcW w:type="dxa" w:w="34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condition_summary_agent</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摘要、问题、趋势、冲突、缺失</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病历生成</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病历管理/智能笔记</w:t>
            </w:r>
          </w:p>
        </w:tc>
        <w:tc>
          <w:tcPr>
            <w:tcW w:type="dxa" w:w="34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record_generation_agent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分字段病历草稿、遗漏、质控</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鉴别诊断</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智慧诊疗/鉴别诊断</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diagnosis_agent</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候选诊断、依据、缺口</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诊断管理</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诊断管理</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diagnosis_agent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诊断管理建议、一致性问题</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风险管理</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预警评估/异常结果</w:t>
            </w:r>
          </w:p>
        </w:tc>
        <w:tc>
          <w:tcPr>
            <w:tcW w:type="dxa" w:w="34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risk_management_agent</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风险项、等级、证据、处置建议</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共病管理</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共病管理</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comorbidity_agent</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共病问题、相互影响、管理缺口</w:t>
            </w:r>
          </w:p>
        </w:tc>
      </w:tr>
    </w:tbl>
    <w:p>
      <w:pPr>
        <w:spacing w:after="40"/>
      </w:pPr>
    </w:p>
    <w:p>
      <w:pPr>
        <w:pStyle w:val="Heading2"/>
        <w:pageBreakBefore w:val="0"/>
        <w:numPr>
          <w:ilvl w:val="1"/>
          <w:numId w:val="102"/>
        </w:numPr>
      </w:pPr>
      <w:r>
        <w:rPr>
          <w:rFonts w:ascii="KaiTi" w:hAnsi="KaiTi" w:eastAsia="楷体"/>
          <w:b/>
          <w:i w:val="0"/>
          <w:color w:val="1F4D78"/>
          <w:sz w:val="26"/>
        </w:rPr>
        <w:t>通用 UI 状态</w:t>
      </w:r>
    </w:p>
    <w:tbl>
      <w:tblPr>
        <w:tblStyle w:val="TableGrid"/>
        <w:tblW w:type="dxa" w:w="9360"/>
        <w:jc w:val="left"/>
        <w:tblLayout w:type="fixed"/>
        <w:tblLook w:firstColumn="1" w:firstRow="1" w:lastColumn="0" w:lastRow="0" w:noHBand="0" w:noVBand="1" w:val="04A0"/>
        <w:tblInd w:type="dxa" w:w="120"/>
      </w:tblPr>
      <w:tblGrid>
        <w:gridCol w:w="1656"/>
        <w:gridCol w:w="2448"/>
        <w:gridCol w:w="3456"/>
        <w:gridCol w:w="1800"/>
      </w:tblGrid>
      <w:tr>
        <w:trPr>
          <w:tblHeader w:val="true"/>
          <w:cantSplit w:val="true"/>
        </w:trPr>
        <w:tc>
          <w:tcPr>
            <w:tcW w:type="dxa" w:w="16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状态</w:t>
            </w:r>
          </w:p>
        </w:tc>
        <w:tc>
          <w:tcPr>
            <w:tcW w:type="dxa" w:w="2448"/>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原界面中的表现</w:t>
            </w:r>
          </w:p>
        </w:tc>
        <w:tc>
          <w:tcPr>
            <w:tcW w:type="dxa" w:w="34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用户动作</w:t>
            </w:r>
          </w:p>
        </w:tc>
        <w:tc>
          <w:tcPr>
            <w:tcW w:type="dxa" w:w="180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测试重点</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idle</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未调用/空内容</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发起调用</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不展示伪结果</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unavailable</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禁用并说明患者、权限或数据缺失</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绑定患者/补齐条件</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未选择患者不调用 Agent</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preparing</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复用原加载样式，说明准备的数据</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取消/继续编辑</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不显示虚假进度</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running</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复用加载或进行中状态</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取消/继续工作</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医生输入不被锁死</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needs_clarification</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在医生智能体对话区追问</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回答/跳过非阻断项</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阻断项不能无因跳过</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ready</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在对应原功能区域显示结果</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查看、编辑、采纳、拒绝</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来源、时间、版本齐全</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stale</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原结果保留并标记已过期</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刷新/继续查看旧版</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不静默覆盖</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failed</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原提示/消息样式显示失败</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重试/转人工</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医生输入保留</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degraded</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标明规则/模板降级</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查看限制/继续人工</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不冒充完整 Agent 结果</w:t>
            </w:r>
          </w:p>
        </w:tc>
      </w:tr>
      <w:tr>
        <w:trPr>
          <w:cantSplit w:val="true"/>
        </w:trPr>
        <w:tc>
          <w:tcPr>
            <w:tcW w:type="dxa" w:w="16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accepted/edited/rejected</w:t>
            </w:r>
          </w:p>
        </w:tc>
        <w:tc>
          <w:tcPr>
            <w:tcW w:type="dxa" w:w="244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原按钮、标签和状态样式</w:t>
            </w:r>
          </w:p>
        </w:tc>
        <w:tc>
          <w:tcPr>
            <w:tcW w:type="dxa" w:w="34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撤销/保存/反馈</w:t>
            </w:r>
          </w:p>
        </w:tc>
        <w:tc>
          <w:tcPr>
            <w:tcW w:type="dxa" w:w="180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动作审计完整</w:t>
            </w:r>
          </w:p>
        </w:tc>
      </w:tr>
      <w:tr>
        <w:trPr>
          <w:cantSplit w:val="true"/>
        </w:trPr>
        <w:tc>
          <w:tcPr>
            <w:tcW w:type="dxa" w:w="16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written_back</w:t>
            </w:r>
          </w:p>
        </w:tc>
        <w:tc>
          <w:tcPr>
            <w:tcW w:type="dxa" w:w="244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模拟回执</w:t>
            </w:r>
          </w:p>
        </w:tc>
        <w:tc>
          <w:tcPr>
            <w:tcW w:type="dxa" w:w="34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查看回执</w:t>
            </w:r>
          </w:p>
        </w:tc>
        <w:tc>
          <w:tcPr>
            <w:tcW w:type="dxa" w:w="180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必须显示 mode=mock</w:t>
            </w:r>
          </w:p>
        </w:tc>
      </w:tr>
    </w:tbl>
    <w:p>
      <w:pPr>
        <w:spacing w:after="40"/>
      </w:pPr>
    </w:p>
    <w:p>
      <w:pPr>
        <w:pStyle w:val="Heading2"/>
        <w:pageBreakBefore w:val="0"/>
        <w:numPr>
          <w:ilvl w:val="1"/>
          <w:numId w:val="102"/>
        </w:numPr>
      </w:pPr>
      <w:r>
        <w:rPr>
          <w:rFonts w:ascii="KaiTi" w:hAnsi="KaiTi" w:eastAsia="楷体"/>
          <w:b/>
          <w:i w:val="0"/>
          <w:color w:val="1F4D78"/>
          <w:sz w:val="26"/>
        </w:rPr>
        <w:t>需求—界面—测试追踪矩阵</w:t>
      </w:r>
    </w:p>
    <w:tbl>
      <w:tblPr>
        <w:tblStyle w:val="TableGrid"/>
        <w:tblW w:type="dxa" w:w="9360"/>
        <w:jc w:val="left"/>
        <w:tblLayout w:type="fixed"/>
        <w:tblLook w:firstColumn="1" w:firstRow="1" w:lastColumn="0" w:lastRow="0" w:noHBand="0" w:noVBand="1" w:val="04A0"/>
        <w:tblInd w:type="dxa" w:w="120"/>
      </w:tblPr>
      <w:tblGrid>
        <w:gridCol w:w="1440"/>
        <w:gridCol w:w="2016"/>
        <w:gridCol w:w="1944"/>
        <w:gridCol w:w="2088"/>
        <w:gridCol w:w="1872"/>
      </w:tblGrid>
      <w:tr>
        <w:trPr>
          <w:tblHeader w:val="true"/>
          <w:cantSplit w:val="true"/>
        </w:trPr>
        <w:tc>
          <w:tcPr>
            <w:tcW w:type="dxa" w:w="144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UI ID</w:t>
            </w:r>
          </w:p>
        </w:tc>
        <w:tc>
          <w:tcPr>
            <w:tcW w:type="dxa" w:w="201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页面</w:t>
            </w:r>
          </w:p>
        </w:tc>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c>
          <w:tcPr>
            <w:tcW w:type="dxa" w:w="2088"/>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Agent/系统</w:t>
            </w:r>
          </w:p>
        </w:tc>
        <w:tc>
          <w:tcPr>
            <w:tcW w:type="dxa" w:w="18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主要测试</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UI-G-001～UI-G-004</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P01</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登录直达、去“惠每”</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身份系统</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TC-UI-001～004</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UI-G-005～UI-G-008</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P02</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未选择患者、患者绑定</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产品层/患者检索</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TC-UI-005～009</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UI-G-009～UI-G-012</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P03</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上下文、切换隔离、版本</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Context Gateway</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TC-UI-010～014</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UX-F01-*</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P04</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全部需求</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语音问诊 Agent</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P05</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全部需求</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风险管理 Agent/规则</w:t>
            </w:r>
          </w:p>
        </w:tc>
        <w:tc>
          <w:tcPr>
            <w:tcW w:type="dxa" w:w="18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TC-F06-*、TC-SAFE-01*</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P06</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全部需求</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病历生成 Agent</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UX-F05-*</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P07</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全部需求</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 Agent</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w:t>
            </w:r>
          </w:p>
        </w:tc>
      </w:tr>
      <w:tr>
        <w:trPr>
          <w:cantSplit w:val="true"/>
        </w:trPr>
        <w:tc>
          <w:tcPr>
            <w:tcW w:type="dxa" w:w="144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UX-F07-*</w:t>
            </w:r>
          </w:p>
        </w:tc>
        <w:tc>
          <w:tcPr>
            <w:tcW w:type="dxa" w:w="201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P08</w:t>
            </w:r>
          </w:p>
        </w:tc>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全部需求</w:t>
            </w:r>
          </w:p>
        </w:tc>
        <w:tc>
          <w:tcPr>
            <w:tcW w:type="dxa" w:w="2088"/>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 Agent</w:t>
            </w:r>
          </w:p>
        </w:tc>
        <w:tc>
          <w:tcPr>
            <w:tcW w:type="dxa" w:w="18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w:t>
            </w:r>
          </w:p>
        </w:tc>
      </w:tr>
      <w:tr>
        <w:trPr>
          <w:cantSplit w:val="true"/>
        </w:trPr>
        <w:tc>
          <w:tcPr>
            <w:tcW w:type="dxa" w:w="144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UX-F02-*、UX-F04-*</w:t>
            </w:r>
          </w:p>
        </w:tc>
        <w:tc>
          <w:tcPr>
            <w:tcW w:type="dxa" w:w="201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P09</w:t>
            </w:r>
          </w:p>
        </w:tc>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F02、F04 全部需求</w:t>
            </w:r>
          </w:p>
        </w:tc>
        <w:tc>
          <w:tcPr>
            <w:tcW w:type="dxa" w:w="2088"/>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概况/诊断 Agent</w:t>
            </w:r>
          </w:p>
        </w:tc>
        <w:tc>
          <w:tcPr>
            <w:tcW w:type="dxa" w:w="18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TC-F02-*、TC-F04-*</w:t>
            </w:r>
          </w:p>
        </w:tc>
      </w:tr>
    </w:tbl>
    <w:p>
      <w:pPr>
        <w:spacing w:after="40"/>
      </w:pPr>
    </w:p>
    <w:p>
      <w:pPr>
        <w:pStyle w:val="Heading2"/>
        <w:pageBreakBefore w:val="0"/>
        <w:numPr>
          <w:ilvl w:val="1"/>
          <w:numId w:val="102"/>
        </w:numPr>
      </w:pPr>
      <w:r>
        <w:rPr>
          <w:rFonts w:ascii="KaiTi" w:hAnsi="KaiTi" w:eastAsia="楷体"/>
          <w:b/>
          <w:i w:val="0"/>
          <w:color w:val="1F4D78"/>
          <w:sz w:val="26"/>
        </w:rPr>
        <w:t>原型验收清单</w:t>
      </w:r>
    </w:p>
    <w:p>
      <w:pPr>
        <w:numPr>
          <w:ilvl w:val="0"/>
          <w:numId w:val="108"/>
        </w:numPr>
        <w:spacing w:after="160" w:line="280" w:lineRule="auto"/>
      </w:pPr>
      <w:r>
        <w:rPr>
          <w:rFonts w:ascii="KaiTi" w:hAnsi="KaiTi" w:eastAsia="楷体"/>
          <w:b w:val="0"/>
          <w:i w:val="0"/>
          <w:sz w:val="21"/>
        </w:rPr>
        <w:t>登录后不经过患者选择页，直接进入医生智能体。</w:t>
      </w:r>
    </w:p>
    <w:p>
      <w:pPr>
        <w:numPr>
          <w:ilvl w:val="0"/>
          <w:numId w:val="108"/>
        </w:numPr>
        <w:spacing w:after="160" w:line="280" w:lineRule="auto"/>
      </w:pPr>
      <w:r>
        <w:rPr>
          <w:rFonts w:ascii="KaiTi" w:hAnsi="KaiTi" w:eastAsia="楷体"/>
          <w:b w:val="0"/>
          <w:i w:val="0"/>
          <w:sz w:val="21"/>
        </w:rPr>
        <w:t>未选择患者时不展示旧患者结果，也不调用临床 Agent。</w:t>
      </w:r>
    </w:p>
    <w:p>
      <w:pPr>
        <w:numPr>
          <w:ilvl w:val="0"/>
          <w:numId w:val="108"/>
        </w:numPr>
        <w:spacing w:after="160" w:line="280" w:lineRule="auto"/>
      </w:pPr>
      <w:r>
        <w:rPr>
          <w:rFonts w:ascii="KaiTi" w:hAnsi="KaiTi" w:eastAsia="楷体"/>
          <w:b w:val="0"/>
          <w:i w:val="0"/>
          <w:sz w:val="21"/>
        </w:rPr>
        <w:t>绑定患者后，患者身份、就诊、科室、过敏和风险与所有结果一致。</w:t>
      </w:r>
    </w:p>
    <w:p>
      <w:pPr>
        <w:numPr>
          <w:ilvl w:val="0"/>
          <w:numId w:val="108"/>
        </w:numPr>
        <w:spacing w:after="160" w:line="280" w:lineRule="auto"/>
      </w:pPr>
      <w:r>
        <w:rPr>
          <w:rFonts w:ascii="KaiTi" w:hAnsi="KaiTi" w:eastAsia="楷体"/>
          <w:b w:val="0"/>
          <w:i w:val="0"/>
          <w:sz w:val="21"/>
        </w:rPr>
        <w:t>七个功能均能在原 HTML 的既有区域找到，不新增整体布局。</w:t>
      </w:r>
    </w:p>
    <w:p>
      <w:pPr>
        <w:numPr>
          <w:ilvl w:val="0"/>
          <w:numId w:val="108"/>
        </w:numPr>
        <w:spacing w:after="160" w:line="280" w:lineRule="auto"/>
      </w:pPr>
      <w:r>
        <w:rPr>
          <w:rFonts w:ascii="KaiTi" w:hAnsi="KaiTi" w:eastAsia="楷体"/>
          <w:b w:val="0"/>
          <w:i w:val="0"/>
          <w:sz w:val="21"/>
        </w:rPr>
        <w:t>Agent 结果可显示加载、澄清、成功、过期、失败和降级状态。</w:t>
      </w:r>
    </w:p>
    <w:p>
      <w:pPr>
        <w:numPr>
          <w:ilvl w:val="0"/>
          <w:numId w:val="108"/>
        </w:numPr>
        <w:spacing w:after="160" w:line="280" w:lineRule="auto"/>
      </w:pPr>
      <w:r>
        <w:rPr>
          <w:rFonts w:ascii="KaiTi" w:hAnsi="KaiTi" w:eastAsia="楷体"/>
          <w:b w:val="0"/>
          <w:i w:val="0"/>
          <w:sz w:val="21"/>
        </w:rPr>
        <w:t>医生可以编辑、采纳、拒绝和查看依据；任何 AI 结果不得直接确诊、开嘱或正式写回。</w:t>
      </w:r>
    </w:p>
    <w:p>
      <w:pPr>
        <w:numPr>
          <w:ilvl w:val="0"/>
          <w:numId w:val="108"/>
        </w:numPr>
        <w:spacing w:after="160" w:line="280" w:lineRule="auto"/>
      </w:pPr>
      <w:r>
        <w:rPr>
          <w:rFonts w:ascii="KaiTi" w:hAnsi="KaiTi" w:eastAsia="楷体"/>
          <w:b w:val="0"/>
          <w:i w:val="0"/>
          <w:sz w:val="21"/>
        </w:rPr>
        <w:t>所有写回在一期均明确为模拟写回。</w:t>
      </w:r>
    </w:p>
    <w:p>
      <w:pPr>
        <w:numPr>
          <w:ilvl w:val="0"/>
          <w:numId w:val="108"/>
        </w:numPr>
        <w:spacing w:after="160" w:line="280" w:lineRule="auto"/>
      </w:pPr>
      <w:r>
        <w:rPr>
          <w:rFonts w:ascii="KaiTi" w:hAnsi="KaiTi" w:eastAsia="楷体"/>
          <w:b w:val="0"/>
          <w:i w:val="0"/>
          <w:sz w:val="21"/>
        </w:rPr>
        <w:t>页面、浏览器标题和提示中不出现“惠每”。</w:t>
      </w:r>
    </w:p>
    <w:p>
      <w:pPr>
        <w:numPr>
          <w:ilvl w:val="0"/>
          <w:numId w:val="108"/>
        </w:numPr>
        <w:spacing w:after="160" w:line="280" w:lineRule="auto"/>
      </w:pPr>
      <w:r>
        <w:rPr>
          <w:rFonts w:ascii="KaiTi" w:hAnsi="KaiTi" w:eastAsia="楷体"/>
          <w:b w:val="0"/>
          <w:i w:val="0"/>
          <w:sz w:val="21"/>
        </w:rPr>
        <w:t>患者切换、迟到响应和版本冲突不造成跨患者数据展示。</w:t>
      </w:r>
    </w:p>
    <w:p>
      <w:pPr>
        <w:numPr>
          <w:ilvl w:val="0"/>
          <w:numId w:val="108"/>
        </w:numPr>
        <w:spacing w:after="160" w:line="280" w:lineRule="auto"/>
      </w:pPr>
      <w:r>
        <w:rPr>
          <w:rFonts w:ascii="KaiTi" w:hAnsi="KaiTi" w:eastAsia="楷体"/>
          <w:b w:val="0"/>
          <w:i w:val="0"/>
          <w:sz w:val="21"/>
        </w:rPr>
        <w:t>三专科测试数据均能在相同 UI 中运行，不通过修改布局实现专科差异。</w:t>
      </w:r>
    </w:p>
    <w:p>
      <w:pPr>
        <w:pStyle w:val="Heading2"/>
        <w:pageBreakBefore w:val="0"/>
        <w:numPr>
          <w:ilvl w:val="1"/>
          <w:numId w:val="102"/>
        </w:numPr>
      </w:pPr>
      <w:r>
        <w:rPr>
          <w:rFonts w:ascii="KaiTi" w:hAnsi="KaiTi" w:eastAsia="楷体"/>
          <w:b/>
          <w:i w:val="0"/>
          <w:color w:val="1F4D78"/>
          <w:sz w:val="26"/>
        </w:rPr>
        <w:t>待确认事项</w:t>
      </w:r>
    </w:p>
    <w:p>
      <w:pPr>
        <w:numPr>
          <w:ilvl w:val="0"/>
          <w:numId w:val="100"/>
        </w:numPr>
        <w:spacing w:after="160" w:line="280" w:lineRule="auto"/>
      </w:pPr>
      <w:r>
        <w:rPr>
          <w:rFonts w:ascii="KaiTi" w:hAnsi="KaiTi" w:eastAsia="楷体"/>
          <w:b w:val="0"/>
          <w:i w:val="0"/>
          <w:sz w:val="21"/>
        </w:rPr>
        <w:t>正式机构名称、产品名称、Logo 和院方品牌组合方式。</w:t>
      </w:r>
    </w:p>
    <w:p>
      <w:pPr>
        <w:numPr>
          <w:ilvl w:val="0"/>
          <w:numId w:val="100"/>
        </w:numPr>
        <w:spacing w:after="160" w:line="280" w:lineRule="auto"/>
      </w:pPr>
      <w:r>
        <w:rPr>
          <w:rFonts w:ascii="KaiTi" w:hAnsi="KaiTi" w:eastAsia="楷体"/>
          <w:b w:val="0"/>
          <w:i w:val="0"/>
          <w:sz w:val="21"/>
        </w:rPr>
        <w:t>医院正式登录/单点登录方式及账号错误文案。</w:t>
      </w:r>
    </w:p>
    <w:p>
      <w:pPr>
        <w:numPr>
          <w:ilvl w:val="0"/>
          <w:numId w:val="100"/>
        </w:numPr>
        <w:spacing w:after="160" w:line="280" w:lineRule="auto"/>
      </w:pPr>
      <w:r>
        <w:rPr>
          <w:rFonts w:ascii="KaiTi" w:hAnsi="KaiTi" w:eastAsia="楷体"/>
          <w:b w:val="0"/>
          <w:i w:val="0"/>
          <w:sz w:val="21"/>
        </w:rPr>
        <w:t>患者语音查找的唯一匹配、同名患者确认和紧急接诊规则。</w:t>
      </w:r>
    </w:p>
    <w:p>
      <w:pPr>
        <w:numPr>
          <w:ilvl w:val="0"/>
          <w:numId w:val="100"/>
        </w:numPr>
        <w:spacing w:after="160" w:line="280" w:lineRule="auto"/>
      </w:pPr>
      <w:r>
        <w:rPr>
          <w:rFonts w:ascii="KaiTi" w:hAnsi="KaiTi" w:eastAsia="楷体"/>
          <w:b w:val="0"/>
          <w:i w:val="0"/>
          <w:sz w:val="21"/>
        </w:rPr>
        <w:t>原 HTML 中“确认并回写 HIS”等文案统一改为“模拟写回”的具体清单。</w:t>
      </w:r>
    </w:p>
    <w:p>
      <w:pPr>
        <w:numPr>
          <w:ilvl w:val="0"/>
          <w:numId w:val="100"/>
        </w:numPr>
        <w:spacing w:after="160" w:line="280" w:lineRule="auto"/>
      </w:pPr>
      <w:r>
        <w:rPr>
          <w:rFonts w:ascii="KaiTi" w:hAnsi="KaiTi" w:eastAsia="楷体"/>
          <w:b w:val="0"/>
          <w:i w:val="0"/>
          <w:sz w:val="21"/>
        </w:rPr>
        <w:t>各专科风险阈值、不能漏诊目录和临床签字人。</w:t>
      </w:r>
    </w:p>
    <w:p>
      <w:pPr>
        <w:pStyle w:val="Heading1"/>
        <w:pageBreakBefore/>
        <w:numPr>
          <w:ilvl w:val="0"/>
          <w:numId w:val="102"/>
        </w:numPr>
      </w:pPr>
      <w:r>
        <w:rPr>
          <w:rFonts w:ascii="KaiTi" w:hAnsi="KaiTi" w:eastAsia="楷体"/>
          <w:b/>
          <w:i w:val="0"/>
          <w:color w:val="1F4D78"/>
          <w:sz w:val="32"/>
        </w:rPr>
        <w:t>F01–F07 逐功能详细需求</w:t>
      </w:r>
    </w:p>
    <w:p>
      <w:r>
        <w:rPr>
          <w:rFonts w:ascii="KaiTi" w:hAnsi="KaiTi" w:eastAsia="楷体"/>
          <w:b w:val="0"/>
          <w:i w:val="0"/>
          <w:color w:val="596370"/>
          <w:sz w:val="21"/>
        </w:rPr>
        <w:t>本章按 4.1–4.7 对七项产品功能统一编号；每项功能下按目标、流程、交互、规则、降级和验收等层级继续编号。</w:t>
      </w:r>
    </w:p>
    <w:p>
      <w:pPr>
        <w:pStyle w:val="Heading2"/>
        <w:pageBreakBefore w:val="0"/>
        <w:numPr>
          <w:ilvl w:val="1"/>
          <w:numId w:val="102"/>
        </w:numPr>
      </w:pPr>
      <w:r>
        <w:rPr>
          <w:rFonts w:ascii="KaiTi" w:hAnsi="KaiTi" w:eastAsia="楷体"/>
          <w:b/>
          <w:i w:val="0"/>
          <w:color w:val="1F4D78"/>
          <w:sz w:val="26"/>
        </w:rPr>
        <w:t>F01 语音问诊功能规格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主责：产品功能开发条线 集成任务：</w:t>
      </w:r>
      <w:r>
        <w:rPr>
          <w:rFonts w:ascii="KaiTi" w:hAnsi="KaiTi" w:eastAsia="楷体"/>
          <w:b/>
          <w:i w:val="0"/>
          <w:color w:val="596370"/>
          <w:sz w:val="19"/>
        </w:rPr>
        <w:t>voice_interview</w:t>
      </w:r>
      <w:r>
        <w:rPr>
          <w:rFonts w:ascii="KaiTi" w:hAnsi="KaiTi" w:eastAsia="楷体"/>
          <w:b w:val="0"/>
          <w:i w:val="0"/>
          <w:color w:val="596370"/>
          <w:sz w:val="19"/>
        </w:rPr>
        <w:t xml:space="preserve"> 结果类型：</w:t>
      </w:r>
      <w:r>
        <w:rPr>
          <w:rFonts w:ascii="KaiTi" w:hAnsi="KaiTi" w:eastAsia="楷体"/>
          <w:b/>
          <w:i w:val="0"/>
          <w:color w:val="596370"/>
          <w:sz w:val="19"/>
        </w:rPr>
        <w:t>interview_note</w:t>
      </w:r>
      <w:r>
        <w:rPr>
          <w:rFonts w:ascii="KaiTi" w:hAnsi="KaiTi" w:eastAsia="楷体"/>
          <w:b w:val="0"/>
          <w:i w:val="0"/>
          <w:color w:val="596370"/>
          <w:sz w:val="19"/>
        </w:rPr>
        <w:t xml:space="preserve"> / </w:t>
      </w:r>
      <w:r>
        <w:rPr>
          <w:rFonts w:ascii="KaiTi" w:hAnsi="KaiTi" w:eastAsia="楷体"/>
          <w:b/>
          <w:i w:val="0"/>
          <w:color w:val="596370"/>
          <w:sz w:val="19"/>
        </w:rPr>
        <w:t>clarification_request</w:t>
      </w:r>
    </w:p>
    <w:p>
      <w:pPr>
        <w:pStyle w:val="Heading3"/>
        <w:pageBreakBefore w:val="0"/>
        <w:numPr>
          <w:ilvl w:val="2"/>
          <w:numId w:val="102"/>
        </w:numPr>
      </w:pPr>
      <w:r>
        <w:rPr>
          <w:rFonts w:ascii="KaiTi" w:hAnsi="KaiTi" w:eastAsia="楷体"/>
          <w:b/>
          <w:i w:val="0"/>
          <w:color w:val="1F4D78"/>
          <w:sz w:val="24"/>
        </w:rPr>
        <w:t>目标与非目标</w:t>
      </w:r>
    </w:p>
    <w:p>
      <w:r>
        <w:rPr>
          <w:rFonts w:ascii="KaiTi" w:hAnsi="KaiTi" w:eastAsia="楷体"/>
          <w:b w:val="0"/>
          <w:i w:val="0"/>
          <w:sz w:val="21"/>
        </w:rPr>
        <w:t>目标是在医生明确开始录音后，将医患对话转为可复核的逐句转写和结构化病史，并对会影响安全或后续功能的缺口提出最少必要追问。</w:t>
      </w:r>
    </w:p>
    <w:p>
      <w:r>
        <w:rPr>
          <w:rFonts w:ascii="KaiTi" w:hAnsi="KaiTi" w:eastAsia="楷体"/>
          <w:b w:val="0"/>
          <w:i w:val="0"/>
          <w:sz w:val="21"/>
        </w:rPr>
        <w:t>非目标：后台常开录音、患者声纹识别、自动确认病史、自动写入正式病历、以大模型代替专业 ASR 服务。</w:t>
      </w:r>
    </w:p>
    <w:p>
      <w:pPr>
        <w:pStyle w:val="Heading3"/>
        <w:pageBreakBefore w:val="0"/>
        <w:numPr>
          <w:ilvl w:val="2"/>
          <w:numId w:val="102"/>
        </w:numPr>
      </w:pPr>
      <w:r>
        <w:rPr>
          <w:rFonts w:ascii="KaiTi" w:hAnsi="KaiTi" w:eastAsia="楷体"/>
          <w:b/>
          <w:i w:val="0"/>
          <w:color w:val="1F4D78"/>
          <w:sz w:val="24"/>
        </w:rPr>
        <w:t>用户、前置与数据</w:t>
      </w:r>
    </w:p>
    <w:p>
      <w:pPr>
        <w:numPr>
          <w:ilvl w:val="0"/>
          <w:numId w:val="100"/>
        </w:numPr>
        <w:spacing w:after="160" w:line="280" w:lineRule="auto"/>
      </w:pPr>
      <w:r>
        <w:rPr>
          <w:rFonts w:ascii="KaiTi" w:hAnsi="KaiTi" w:eastAsia="楷体"/>
          <w:b w:val="0"/>
          <w:i w:val="0"/>
          <w:sz w:val="21"/>
        </w:rPr>
        <w:t>可执行角色：当前就诊授权医生。</w:t>
      </w:r>
    </w:p>
    <w:p>
      <w:pPr>
        <w:numPr>
          <w:ilvl w:val="0"/>
          <w:numId w:val="100"/>
        </w:numPr>
        <w:spacing w:after="160" w:line="280" w:lineRule="auto"/>
      </w:pPr>
      <w:r>
        <w:rPr>
          <w:rFonts w:ascii="KaiTi" w:hAnsi="KaiTi" w:eastAsia="楷体"/>
          <w:b w:val="0"/>
          <w:i w:val="0"/>
          <w:sz w:val="21"/>
        </w:rPr>
        <w:t>前置：医生已登录，</w:t>
      </w:r>
      <w:r>
        <w:rPr>
          <w:rFonts w:ascii="KaiTi" w:hAnsi="KaiTi" w:eastAsia="楷体"/>
          <w:b/>
          <w:i w:val="0"/>
          <w:sz w:val="21"/>
        </w:rPr>
        <w:t>patient_id</w:t>
      </w:r>
      <w:r>
        <w:rPr>
          <w:rFonts w:ascii="KaiTi" w:hAnsi="KaiTi" w:eastAsia="楷体"/>
          <w:b w:val="0"/>
          <w:i w:val="0"/>
          <w:sz w:val="21"/>
        </w:rPr>
        <w:t xml:space="preserve"> 与 </w:t>
      </w:r>
      <w:r>
        <w:rPr>
          <w:rFonts w:ascii="KaiTi" w:hAnsi="KaiTi" w:eastAsia="楷体"/>
          <w:b/>
          <w:i w:val="0"/>
          <w:sz w:val="21"/>
        </w:rPr>
        <w:t>encounter_id</w:t>
      </w:r>
      <w:r>
        <w:rPr>
          <w:rFonts w:ascii="KaiTi" w:hAnsi="KaiTi" w:eastAsia="楷体"/>
          <w:b w:val="0"/>
          <w:i w:val="0"/>
          <w:sz w:val="21"/>
        </w:rPr>
        <w:t xml:space="preserve"> 已锁定，麦克风权限可用。</w:t>
      </w:r>
    </w:p>
    <w:p>
      <w:pPr>
        <w:numPr>
          <w:ilvl w:val="0"/>
          <w:numId w:val="100"/>
        </w:numPr>
        <w:spacing w:after="160" w:line="280" w:lineRule="auto"/>
      </w:pPr>
      <w:r>
        <w:rPr>
          <w:rFonts w:ascii="KaiTi" w:hAnsi="KaiTi" w:eastAsia="楷体"/>
          <w:b w:val="0"/>
          <w:i w:val="0"/>
          <w:sz w:val="21"/>
        </w:rPr>
        <w:t>必需上下文：科室/专科包、已知主诉、过敏、长期用药、特殊状态、问诊模板版本。</w:t>
      </w:r>
    </w:p>
    <w:p>
      <w:pPr>
        <w:numPr>
          <w:ilvl w:val="0"/>
          <w:numId w:val="100"/>
        </w:numPr>
        <w:spacing w:after="160" w:line="280" w:lineRule="auto"/>
      </w:pPr>
      <w:r>
        <w:rPr>
          <w:rFonts w:ascii="KaiTi" w:hAnsi="KaiTi" w:eastAsia="楷体"/>
          <w:b w:val="0"/>
          <w:i w:val="0"/>
          <w:sz w:val="21"/>
        </w:rPr>
        <w:t>音频保存、留存时间和是否进入评测集必须依医院规则配置，默认不进入训练集。</w:t>
      </w:r>
    </w:p>
    <w:p>
      <w:pPr>
        <w:pStyle w:val="Heading3"/>
        <w:pageBreakBefore w:val="0"/>
        <w:numPr>
          <w:ilvl w:val="2"/>
          <w:numId w:val="102"/>
        </w:numPr>
      </w:pPr>
      <w:r>
        <w:rPr>
          <w:rFonts w:ascii="KaiTi" w:hAnsi="KaiTi" w:eastAsia="楷体"/>
          <w:b/>
          <w:i w:val="0"/>
          <w:color w:val="1F4D78"/>
          <w:sz w:val="24"/>
        </w:rPr>
        <w:t>主流程</w:t>
      </w:r>
    </w:p>
    <w:p>
      <w:pPr>
        <w:numPr>
          <w:ilvl w:val="0"/>
          <w:numId w:val="109"/>
        </w:numPr>
        <w:spacing w:after="160" w:line="280" w:lineRule="auto"/>
      </w:pPr>
      <w:r>
        <w:rPr>
          <w:rFonts w:ascii="KaiTi" w:hAnsi="KaiTi" w:eastAsia="楷体"/>
          <w:b w:val="0"/>
          <w:i w:val="0"/>
          <w:sz w:val="21"/>
        </w:rPr>
        <w:t>医生点击“语音问诊”，页面显示录音用途、设备和当前患者。</w:t>
      </w:r>
    </w:p>
    <w:p>
      <w:pPr>
        <w:numPr>
          <w:ilvl w:val="0"/>
          <w:numId w:val="109"/>
        </w:numPr>
        <w:spacing w:after="160" w:line="280" w:lineRule="auto"/>
      </w:pPr>
      <w:r>
        <w:rPr>
          <w:rFonts w:ascii="KaiTi" w:hAnsi="KaiTi" w:eastAsia="楷体"/>
          <w:b w:val="0"/>
          <w:i w:val="0"/>
          <w:sz w:val="21"/>
        </w:rPr>
        <w:t xml:space="preserve">医生开始录音，系统生成 </w:t>
      </w:r>
      <w:r>
        <w:rPr>
          <w:rFonts w:ascii="KaiTi" w:hAnsi="KaiTi" w:eastAsia="楷体"/>
          <w:b/>
          <w:i w:val="0"/>
          <w:sz w:val="21"/>
        </w:rPr>
        <w:t>session_id</w:t>
      </w:r>
      <w:r>
        <w:rPr>
          <w:rFonts w:ascii="KaiTi" w:hAnsi="KaiTi" w:eastAsia="楷体"/>
          <w:b w:val="0"/>
          <w:i w:val="0"/>
          <w:sz w:val="21"/>
        </w:rPr>
        <w:t>，持续显示红色录音指示和时长。</w:t>
      </w:r>
    </w:p>
    <w:p>
      <w:pPr>
        <w:numPr>
          <w:ilvl w:val="0"/>
          <w:numId w:val="109"/>
        </w:numPr>
        <w:spacing w:after="160" w:line="280" w:lineRule="auto"/>
      </w:pPr>
      <w:r>
        <w:rPr>
          <w:rFonts w:ascii="KaiTi" w:hAnsi="KaiTi" w:eastAsia="楷体"/>
          <w:b w:val="0"/>
          <w:i w:val="0"/>
          <w:sz w:val="21"/>
        </w:rPr>
        <w:t>转写流返回后，按医生/患者/家属/未知主体分段，附时间戳与置信标记。</w:t>
      </w:r>
    </w:p>
    <w:p>
      <w:pPr>
        <w:numPr>
          <w:ilvl w:val="0"/>
          <w:numId w:val="109"/>
        </w:numPr>
        <w:spacing w:after="160" w:line="280" w:lineRule="auto"/>
      </w:pPr>
      <w:r>
        <w:rPr>
          <w:rFonts w:ascii="KaiTi" w:hAnsi="KaiTi" w:eastAsia="楷体"/>
          <w:b w:val="0"/>
          <w:i w:val="0"/>
          <w:sz w:val="21"/>
        </w:rPr>
        <w:t>医生可暂停、继续、纠错、删除本段或结束；所有修改保留原文和操作日志。</w:t>
      </w:r>
    </w:p>
    <w:p>
      <w:pPr>
        <w:numPr>
          <w:ilvl w:val="0"/>
          <w:numId w:val="109"/>
        </w:numPr>
        <w:spacing w:after="160" w:line="280" w:lineRule="auto"/>
      </w:pPr>
      <w:r>
        <w:rPr>
          <w:rFonts w:ascii="KaiTi" w:hAnsi="KaiTi" w:eastAsia="楷体"/>
          <w:b w:val="0"/>
          <w:i w:val="0"/>
          <w:sz w:val="21"/>
        </w:rPr>
        <w:t>结构化提取同步更新，不替代原始转写；关键缺口进入澄清区。</w:t>
      </w:r>
    </w:p>
    <w:p>
      <w:pPr>
        <w:numPr>
          <w:ilvl w:val="0"/>
          <w:numId w:val="109"/>
        </w:numPr>
        <w:spacing w:after="160" w:line="280" w:lineRule="auto"/>
      </w:pPr>
      <w:r>
        <w:rPr>
          <w:rFonts w:ascii="KaiTi" w:hAnsi="KaiTi" w:eastAsia="楷体"/>
          <w:b w:val="0"/>
          <w:i w:val="0"/>
          <w:sz w:val="21"/>
        </w:rPr>
        <w:t>医生结束后确认结构化结果，才可发布为已确认问诊上下文，供 F02/F03 调用。</w:t>
      </w:r>
    </w:p>
    <w:p>
      <w:pPr>
        <w:pStyle w:val="Heading3"/>
        <w:pageBreakBefore w:val="0"/>
        <w:numPr>
          <w:ilvl w:val="2"/>
          <w:numId w:val="102"/>
        </w:numPr>
      </w:pPr>
      <w:r>
        <w:rPr>
          <w:rFonts w:ascii="KaiTi" w:hAnsi="KaiTi" w:eastAsia="楷体"/>
          <w:b/>
          <w:i w:val="0"/>
          <w:color w:val="1F4D78"/>
          <w:sz w:val="24"/>
        </w:rPr>
        <w:t>界面与交互需求</w:t>
      </w:r>
    </w:p>
    <w:p>
      <w:pPr>
        <w:numPr>
          <w:ilvl w:val="0"/>
          <w:numId w:val="100"/>
        </w:numPr>
        <w:spacing w:after="160" w:line="280" w:lineRule="auto"/>
      </w:pPr>
      <w:r>
        <w:rPr>
          <w:rFonts w:ascii="KaiTi" w:hAnsi="KaiTi" w:eastAsia="楷体"/>
          <w:b/>
          <w:i w:val="0"/>
          <w:sz w:val="21"/>
        </w:rPr>
        <w:t>UX-F01-001</w:t>
      </w:r>
      <w:r>
        <w:rPr>
          <w:rFonts w:ascii="KaiTi" w:hAnsi="KaiTi" w:eastAsia="楷体"/>
          <w:b w:val="0"/>
          <w:i w:val="0"/>
          <w:sz w:val="21"/>
        </w:rPr>
        <w:t xml:space="preserve"> 录音状态在抽屉关闭后仍必须在顶部安全条可见，防止误录。</w:t>
      </w:r>
    </w:p>
    <w:p>
      <w:pPr>
        <w:numPr>
          <w:ilvl w:val="0"/>
          <w:numId w:val="100"/>
        </w:numPr>
        <w:spacing w:after="160" w:line="280" w:lineRule="auto"/>
      </w:pPr>
      <w:r>
        <w:rPr>
          <w:rFonts w:ascii="KaiTi" w:hAnsi="KaiTi" w:eastAsia="楷体"/>
          <w:b/>
          <w:i w:val="0"/>
          <w:sz w:val="21"/>
        </w:rPr>
        <w:t>UX-F01-002</w:t>
      </w:r>
      <w:r>
        <w:rPr>
          <w:rFonts w:ascii="KaiTi" w:hAnsi="KaiTi" w:eastAsia="楷体"/>
          <w:b w:val="0"/>
          <w:i w:val="0"/>
          <w:sz w:val="21"/>
        </w:rPr>
        <w:t xml:space="preserve"> 逐句转写必须显示说话主体、时间戳、原文、低置信标记和纠错入口。</w:t>
      </w:r>
    </w:p>
    <w:p>
      <w:pPr>
        <w:numPr>
          <w:ilvl w:val="0"/>
          <w:numId w:val="100"/>
        </w:numPr>
        <w:spacing w:after="160" w:line="280" w:lineRule="auto"/>
      </w:pPr>
      <w:r>
        <w:rPr>
          <w:rFonts w:ascii="KaiTi" w:hAnsi="KaiTi" w:eastAsia="楷体"/>
          <w:b/>
          <w:i w:val="0"/>
          <w:sz w:val="21"/>
        </w:rPr>
        <w:t>UX-F01-003</w:t>
      </w:r>
      <w:r>
        <w:rPr>
          <w:rFonts w:ascii="KaiTi" w:hAnsi="KaiTi" w:eastAsia="楷体"/>
          <w:b w:val="0"/>
          <w:i w:val="0"/>
          <w:sz w:val="21"/>
        </w:rPr>
        <w:t xml:space="preserve"> 结构化区按主诉、现病史、既往史、用药、过敏、家族史和专科字段分组，标记来源段落。</w:t>
      </w:r>
    </w:p>
    <w:p>
      <w:pPr>
        <w:numPr>
          <w:ilvl w:val="0"/>
          <w:numId w:val="100"/>
        </w:numPr>
        <w:spacing w:after="160" w:line="280" w:lineRule="auto"/>
      </w:pPr>
      <w:r>
        <w:rPr>
          <w:rFonts w:ascii="KaiTi" w:hAnsi="KaiTi" w:eastAsia="楷体"/>
          <w:b/>
          <w:i w:val="0"/>
          <w:sz w:val="21"/>
        </w:rPr>
        <w:t>UX-F01-004</w:t>
      </w:r>
      <w:r>
        <w:rPr>
          <w:rFonts w:ascii="KaiTi" w:hAnsi="KaiTi" w:eastAsia="楷体"/>
          <w:b w:val="0"/>
          <w:i w:val="0"/>
          <w:sz w:val="21"/>
        </w:rPr>
        <w:t xml:space="preserve"> 阻断问题与建议问题分区显示；记录跳过建议问题的操作，阻断问题不可无理由跳过。</w:t>
      </w:r>
    </w:p>
    <w:p>
      <w:pPr>
        <w:numPr>
          <w:ilvl w:val="0"/>
          <w:numId w:val="100"/>
        </w:numPr>
        <w:spacing w:after="160" w:line="280" w:lineRule="auto"/>
      </w:pPr>
      <w:r>
        <w:rPr>
          <w:rFonts w:ascii="KaiTi" w:hAnsi="KaiTi" w:eastAsia="楷体"/>
          <w:b/>
          <w:i w:val="0"/>
          <w:sz w:val="21"/>
        </w:rPr>
        <w:t>UX-F01-005</w:t>
      </w:r>
      <w:r>
        <w:rPr>
          <w:rFonts w:ascii="KaiTi" w:hAnsi="KaiTi" w:eastAsia="楷体"/>
          <w:b w:val="0"/>
          <w:i w:val="0"/>
          <w:sz w:val="21"/>
        </w:rPr>
        <w:t xml:space="preserve"> 转写和结构化区各自有空、加载、中断、重连和结束状态。</w:t>
      </w:r>
    </w:p>
    <w:p>
      <w:pPr>
        <w:pStyle w:val="Heading3"/>
        <w:pageBreakBefore w:val="0"/>
        <w:numPr>
          <w:ilvl w:val="2"/>
          <w:numId w:val="102"/>
        </w:numPr>
      </w:pPr>
      <w:r>
        <w:rPr>
          <w:rFonts w:ascii="KaiTi" w:hAnsi="KaiTi" w:eastAsia="楷体"/>
          <w:b/>
          <w:i w:val="0"/>
          <w:color w:val="1F4D78"/>
          <w:sz w:val="24"/>
        </w:rPr>
        <w:t>字段与业务规则</w:t>
      </w:r>
    </w:p>
    <w:p>
      <w:pPr>
        <w:numPr>
          <w:ilvl w:val="0"/>
          <w:numId w:val="100"/>
        </w:numPr>
        <w:spacing w:after="160" w:line="280" w:lineRule="auto"/>
      </w:pPr>
      <w:r>
        <w:rPr>
          <w:rFonts w:ascii="KaiTi" w:hAnsi="KaiTi" w:eastAsia="楷体"/>
          <w:b/>
          <w:i w:val="0"/>
          <w:sz w:val="21"/>
        </w:rPr>
        <w:t>BR-F01-001</w:t>
      </w:r>
      <w:r>
        <w:rPr>
          <w:rFonts w:ascii="KaiTi" w:hAnsi="KaiTi" w:eastAsia="楷体"/>
          <w:b w:val="0"/>
          <w:i w:val="0"/>
          <w:sz w:val="21"/>
        </w:rPr>
        <w:t xml:space="preserve"> 未提及的内容不得生成“否认”、“无”或阴性病史。</w:t>
      </w:r>
    </w:p>
    <w:p>
      <w:pPr>
        <w:numPr>
          <w:ilvl w:val="0"/>
          <w:numId w:val="100"/>
        </w:numPr>
        <w:spacing w:after="160" w:line="280" w:lineRule="auto"/>
      </w:pPr>
      <w:r>
        <w:rPr>
          <w:rFonts w:ascii="KaiTi" w:hAnsi="KaiTi" w:eastAsia="楷体"/>
          <w:b/>
          <w:i w:val="0"/>
          <w:sz w:val="21"/>
        </w:rPr>
        <w:t>BR-F01-002</w:t>
      </w:r>
      <w:r>
        <w:rPr>
          <w:rFonts w:ascii="KaiTi" w:hAnsi="KaiTi" w:eastAsia="楷体"/>
          <w:b w:val="0"/>
          <w:i w:val="0"/>
          <w:sz w:val="21"/>
        </w:rPr>
        <w:t xml:space="preserve"> 否定、时间、程度、解剖部位、陈述主体必须作为独立结构化属性，不只保存为文本。</w:t>
      </w:r>
    </w:p>
    <w:p>
      <w:pPr>
        <w:numPr>
          <w:ilvl w:val="0"/>
          <w:numId w:val="100"/>
        </w:numPr>
        <w:spacing w:after="160" w:line="280" w:lineRule="auto"/>
      </w:pPr>
      <w:r>
        <w:rPr>
          <w:rFonts w:ascii="KaiTi" w:hAnsi="KaiTi" w:eastAsia="楷体"/>
          <w:b/>
          <w:i w:val="0"/>
          <w:sz w:val="21"/>
        </w:rPr>
        <w:t>BR-F01-003</w:t>
      </w:r>
      <w:r>
        <w:rPr>
          <w:rFonts w:ascii="KaiTi" w:hAnsi="KaiTi" w:eastAsia="楷体"/>
          <w:b w:val="0"/>
          <w:i w:val="0"/>
          <w:sz w:val="21"/>
        </w:rPr>
        <w:t xml:space="preserve"> 低置信片段默认不能进入已确认病历字段；医生纠错后可解锁。</w:t>
      </w:r>
    </w:p>
    <w:p>
      <w:pPr>
        <w:numPr>
          <w:ilvl w:val="0"/>
          <w:numId w:val="100"/>
        </w:numPr>
        <w:spacing w:after="160" w:line="280" w:lineRule="auto"/>
      </w:pPr>
      <w:r>
        <w:rPr>
          <w:rFonts w:ascii="KaiTi" w:hAnsi="KaiTi" w:eastAsia="楷体"/>
          <w:b/>
          <w:i w:val="0"/>
          <w:sz w:val="21"/>
        </w:rPr>
        <w:t>BR-F01-004</w:t>
      </w:r>
      <w:r>
        <w:rPr>
          <w:rFonts w:ascii="KaiTi" w:hAnsi="KaiTi" w:eastAsia="楷体"/>
          <w:b w:val="0"/>
          <w:i w:val="0"/>
          <w:sz w:val="21"/>
        </w:rPr>
        <w:t xml:space="preserve"> 患者切换时立即停止录音，将未确认会话标记为待处理，不得迁移到新就诊。</w:t>
      </w:r>
    </w:p>
    <w:p>
      <w:pPr>
        <w:numPr>
          <w:ilvl w:val="0"/>
          <w:numId w:val="100"/>
        </w:numPr>
        <w:spacing w:after="160" w:line="280" w:lineRule="auto"/>
      </w:pPr>
      <w:r>
        <w:rPr>
          <w:rFonts w:ascii="KaiTi" w:hAnsi="KaiTi" w:eastAsia="楷体"/>
          <w:b/>
          <w:i w:val="0"/>
          <w:sz w:val="21"/>
        </w:rPr>
        <w:t>BR-F01-005</w:t>
      </w:r>
      <w:r>
        <w:rPr>
          <w:rFonts w:ascii="KaiTi" w:hAnsi="KaiTi" w:eastAsia="楷体"/>
          <w:b w:val="0"/>
          <w:i w:val="0"/>
          <w:sz w:val="21"/>
        </w:rPr>
        <w:t xml:space="preserve"> 方言、噪声或说话人分离能力不足时，必须显示能力限制并允许人工录入。</w:t>
      </w:r>
    </w:p>
    <w:p>
      <w:pPr>
        <w:pStyle w:val="Heading3"/>
        <w:pageBreakBefore w:val="0"/>
        <w:numPr>
          <w:ilvl w:val="2"/>
          <w:numId w:val="102"/>
        </w:numPr>
      </w:pPr>
      <w:r>
        <w:rPr>
          <w:rFonts w:ascii="KaiTi" w:hAnsi="KaiTi" w:eastAsia="楷体"/>
          <w:b/>
          <w:i w:val="0"/>
          <w:color w:val="1F4D78"/>
          <w:sz w:val="24"/>
        </w:rPr>
        <w:t>安全、权限和审计</w:t>
      </w:r>
    </w:p>
    <w:p>
      <w:pPr>
        <w:numPr>
          <w:ilvl w:val="0"/>
          <w:numId w:val="100"/>
        </w:numPr>
        <w:spacing w:after="160" w:line="280" w:lineRule="auto"/>
      </w:pPr>
      <w:r>
        <w:rPr>
          <w:rFonts w:ascii="KaiTi" w:hAnsi="KaiTi" w:eastAsia="楷体"/>
          <w:b/>
          <w:i w:val="0"/>
          <w:sz w:val="21"/>
        </w:rPr>
        <w:t>SAFE-F01-001</w:t>
      </w:r>
      <w:r>
        <w:rPr>
          <w:rFonts w:ascii="KaiTi" w:hAnsi="KaiTi" w:eastAsia="楷体"/>
          <w:b w:val="0"/>
          <w:i w:val="0"/>
          <w:sz w:val="21"/>
        </w:rPr>
        <w:t xml:space="preserve"> 过敏、姊娠状态、意识/呼吸/胸痛/神经功能等专科包设定的关键缺口必须阻断发布“已完整问诊”。</w:t>
      </w:r>
    </w:p>
    <w:p>
      <w:pPr>
        <w:numPr>
          <w:ilvl w:val="0"/>
          <w:numId w:val="100"/>
        </w:numPr>
        <w:spacing w:after="160" w:line="280" w:lineRule="auto"/>
      </w:pPr>
      <w:r>
        <w:rPr>
          <w:rFonts w:ascii="KaiTi" w:hAnsi="KaiTi" w:eastAsia="楷体"/>
          <w:b/>
          <w:i w:val="0"/>
          <w:sz w:val="21"/>
        </w:rPr>
        <w:t>SAFE-F01-002</w:t>
      </w:r>
      <w:r>
        <w:rPr>
          <w:rFonts w:ascii="KaiTi" w:hAnsi="KaiTi" w:eastAsia="楷体"/>
          <w:b w:val="0"/>
          <w:i w:val="0"/>
          <w:sz w:val="21"/>
        </w:rPr>
        <w:t xml:space="preserve"> 录音必须有显式开始/结束操作、可见指示和会话级审计。</w:t>
      </w:r>
    </w:p>
    <w:p>
      <w:pPr>
        <w:numPr>
          <w:ilvl w:val="0"/>
          <w:numId w:val="100"/>
        </w:numPr>
        <w:spacing w:after="160" w:line="280" w:lineRule="auto"/>
      </w:pPr>
      <w:r>
        <w:rPr>
          <w:rFonts w:ascii="KaiTi" w:hAnsi="KaiTi" w:eastAsia="楷体"/>
          <w:b/>
          <w:i w:val="0"/>
          <w:sz w:val="21"/>
        </w:rPr>
        <w:t>SAFE-F01-003</w:t>
      </w:r>
      <w:r>
        <w:rPr>
          <w:rFonts w:ascii="KaiTi" w:hAnsi="KaiTi" w:eastAsia="楷体"/>
          <w:b w:val="0"/>
          <w:i w:val="0"/>
          <w:sz w:val="21"/>
        </w:rPr>
        <w:t xml:space="preserve"> 任何未确认转写不得直接改变正式诊断、医嘱或风险处置。</w:t>
      </w:r>
    </w:p>
    <w:p>
      <w:pPr>
        <w:numPr>
          <w:ilvl w:val="0"/>
          <w:numId w:val="100"/>
        </w:numPr>
        <w:spacing w:after="160" w:line="280" w:lineRule="auto"/>
      </w:pPr>
      <w:r>
        <w:rPr>
          <w:rFonts w:ascii="KaiTi" w:hAnsi="KaiTi" w:eastAsia="楷体"/>
          <w:b w:val="0"/>
          <w:i w:val="0"/>
          <w:sz w:val="21"/>
        </w:rPr>
        <w:t>审计事件：</w:t>
      </w:r>
      <w:r>
        <w:rPr>
          <w:rFonts w:ascii="KaiTi" w:hAnsi="KaiTi" w:eastAsia="楷体"/>
          <w:b/>
          <w:i w:val="0"/>
          <w:sz w:val="21"/>
        </w:rPr>
        <w:t>recording_started/paused/resumed/stopped</w:t>
      </w:r>
      <w:r>
        <w:rPr>
          <w:rFonts w:ascii="KaiTi" w:hAnsi="KaiTi" w:eastAsia="楷体"/>
          <w:b w:val="0"/>
          <w:i w:val="0"/>
          <w:sz w:val="21"/>
        </w:rPr>
        <w:t>、</w:t>
      </w:r>
      <w:r>
        <w:rPr>
          <w:rFonts w:ascii="KaiTi" w:hAnsi="KaiTi" w:eastAsia="楷体"/>
          <w:b/>
          <w:i w:val="0"/>
          <w:sz w:val="21"/>
        </w:rPr>
        <w:t>segment_corrected/deleted</w:t>
      </w:r>
      <w:r>
        <w:rPr>
          <w:rFonts w:ascii="KaiTi" w:hAnsi="KaiTi" w:eastAsia="楷体"/>
          <w:b w:val="0"/>
          <w:i w:val="0"/>
          <w:sz w:val="21"/>
        </w:rPr>
        <w:t>、</w:t>
      </w:r>
      <w:r>
        <w:rPr>
          <w:rFonts w:ascii="KaiTi" w:hAnsi="KaiTi" w:eastAsia="楷体"/>
          <w:b/>
          <w:i w:val="0"/>
          <w:sz w:val="21"/>
        </w:rPr>
        <w:t>clarification_answered/skipped</w:t>
      </w:r>
      <w:r>
        <w:rPr>
          <w:rFonts w:ascii="KaiTi" w:hAnsi="KaiTi" w:eastAsia="楷体"/>
          <w:b w:val="0"/>
          <w:i w:val="0"/>
          <w:sz w:val="21"/>
        </w:rPr>
        <w:t>、</w:t>
      </w:r>
      <w:r>
        <w:rPr>
          <w:rFonts w:ascii="KaiTi" w:hAnsi="KaiTi" w:eastAsia="楷体"/>
          <w:b/>
          <w:i w:val="0"/>
          <w:sz w:val="21"/>
        </w:rPr>
        <w:t>interview_confirmed</w:t>
      </w:r>
      <w:r>
        <w:rPr>
          <w:rFonts w:ascii="KaiTi" w:hAnsi="KaiTi" w:eastAsia="楷体"/>
          <w:b w:val="0"/>
          <w:i w:val="0"/>
          <w:sz w:val="21"/>
        </w:rPr>
        <w:t>。</w:t>
      </w:r>
    </w:p>
    <w:p>
      <w:pPr>
        <w:pStyle w:val="Heading3"/>
        <w:pageBreakBefore w:val="0"/>
        <w:numPr>
          <w:ilvl w:val="2"/>
          <w:numId w:val="102"/>
        </w:numPr>
      </w:pPr>
      <w:r>
        <w:rPr>
          <w:rFonts w:ascii="KaiTi" w:hAnsi="KaiTi" w:eastAsia="楷体"/>
          <w:b/>
          <w:i w:val="0"/>
          <w:color w:val="1F4D78"/>
          <w:sz w:val="24"/>
        </w:rPr>
        <w:t>失败与降级</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情况</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产品行为</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无麦克风权限</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说明开启方式，保留人工录入和固定音频 Mock 入口</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ASR 网络中断</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暂停发送，保留本地已取得段落；重连后不重复段落</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说话人无法分离</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标记“主体待确认”，禁止结构化字段自动确认</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超时</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转写仍可使用，结构化与追问降级为人工模板</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 Schema 非法</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不展示结构化内容，保留原转写与医生修改</w:t>
            </w:r>
          </w:p>
        </w:tc>
      </w:tr>
    </w:tbl>
    <w:p>
      <w:pPr>
        <w:spacing w:after="40"/>
      </w:pPr>
    </w:p>
    <w:p>
      <w:pPr>
        <w:pStyle w:val="Heading3"/>
        <w:pageBreakBefore w:val="0"/>
        <w:numPr>
          <w:ilvl w:val="2"/>
          <w:numId w:val="102"/>
        </w:numPr>
      </w:pPr>
      <w:r>
        <w:rPr>
          <w:rFonts w:ascii="KaiTi" w:hAnsi="KaiTi" w:eastAsia="楷体"/>
          <w:b/>
          <w:i w:val="0"/>
          <w:color w:val="1F4D78"/>
          <w:sz w:val="24"/>
        </w:rPr>
        <w:t>验收标准</w:t>
      </w:r>
    </w:p>
    <w:p>
      <w:pPr>
        <w:numPr>
          <w:ilvl w:val="0"/>
          <w:numId w:val="100"/>
        </w:numPr>
        <w:spacing w:after="160" w:line="280" w:lineRule="auto"/>
      </w:pPr>
      <w:r>
        <w:rPr>
          <w:rFonts w:ascii="KaiTi" w:hAnsi="KaiTi" w:eastAsia="楷体"/>
          <w:b/>
          <w:i w:val="0"/>
          <w:sz w:val="21"/>
        </w:rPr>
        <w:t>AC-F01-001</w:t>
      </w:r>
      <w:r>
        <w:rPr>
          <w:rFonts w:ascii="KaiTi" w:hAnsi="KaiTi" w:eastAsia="楷体"/>
          <w:b w:val="0"/>
          <w:i w:val="0"/>
          <w:sz w:val="21"/>
        </w:rPr>
        <w:t xml:space="preserve"> 开始、暂停、继续、结束与重新录制均有可见状态且不丢已保存段落。</w:t>
      </w:r>
    </w:p>
    <w:p>
      <w:pPr>
        <w:numPr>
          <w:ilvl w:val="0"/>
          <w:numId w:val="100"/>
        </w:numPr>
        <w:spacing w:after="160" w:line="280" w:lineRule="auto"/>
      </w:pPr>
      <w:r>
        <w:rPr>
          <w:rFonts w:ascii="KaiTi" w:hAnsi="KaiTi" w:eastAsia="楷体"/>
          <w:b/>
          <w:i w:val="0"/>
          <w:sz w:val="21"/>
        </w:rPr>
        <w:t>AC-F01-002</w:t>
      </w:r>
      <w:r>
        <w:rPr>
          <w:rFonts w:ascii="KaiTi" w:hAnsi="KaiTi" w:eastAsia="楷体"/>
          <w:b w:val="0"/>
          <w:i w:val="0"/>
          <w:sz w:val="21"/>
        </w:rPr>
        <w:t xml:space="preserve"> 医生可逐句纠错，查看原文、修改值、修改人和时间。</w:t>
      </w:r>
    </w:p>
    <w:p>
      <w:pPr>
        <w:numPr>
          <w:ilvl w:val="0"/>
          <w:numId w:val="100"/>
        </w:numPr>
        <w:spacing w:after="160" w:line="280" w:lineRule="auto"/>
      </w:pPr>
      <w:r>
        <w:rPr>
          <w:rFonts w:ascii="KaiTi" w:hAnsi="KaiTi" w:eastAsia="楷体"/>
          <w:b/>
          <w:i w:val="0"/>
          <w:sz w:val="21"/>
        </w:rPr>
        <w:t>AC-F01-003</w:t>
      </w:r>
      <w:r>
        <w:rPr>
          <w:rFonts w:ascii="KaiTi" w:hAnsi="KaiTi" w:eastAsia="楷体"/>
          <w:b w:val="0"/>
          <w:i w:val="0"/>
          <w:sz w:val="21"/>
        </w:rPr>
        <w:t xml:space="preserve"> 未提及病史的测试对话不生成任何虚构阴性事实。</w:t>
      </w:r>
    </w:p>
    <w:p>
      <w:pPr>
        <w:numPr>
          <w:ilvl w:val="0"/>
          <w:numId w:val="100"/>
        </w:numPr>
        <w:spacing w:after="160" w:line="280" w:lineRule="auto"/>
      </w:pPr>
      <w:r>
        <w:rPr>
          <w:rFonts w:ascii="KaiTi" w:hAnsi="KaiTi" w:eastAsia="楷体"/>
          <w:b/>
          <w:i w:val="0"/>
          <w:sz w:val="21"/>
        </w:rPr>
        <w:t>AC-F01-004</w:t>
      </w:r>
      <w:r>
        <w:rPr>
          <w:rFonts w:ascii="KaiTi" w:hAnsi="KaiTi" w:eastAsia="楷体"/>
          <w:b w:val="0"/>
          <w:i w:val="0"/>
          <w:sz w:val="21"/>
        </w:rPr>
        <w:t xml:space="preserve"> 关键缺口使结果进入 </w:t>
      </w:r>
      <w:r>
        <w:rPr>
          <w:rFonts w:ascii="KaiTi" w:hAnsi="KaiTi" w:eastAsia="楷体"/>
          <w:b/>
          <w:i w:val="0"/>
          <w:sz w:val="21"/>
        </w:rPr>
        <w:t>needs_clarification</w:t>
      </w:r>
      <w:r>
        <w:rPr>
          <w:rFonts w:ascii="KaiTi" w:hAnsi="KaiTi" w:eastAsia="楷体"/>
          <w:b w:val="0"/>
          <w:i w:val="0"/>
          <w:sz w:val="21"/>
        </w:rPr>
        <w:t>，补充后使用新结果版本继续。</w:t>
      </w:r>
    </w:p>
    <w:p>
      <w:pPr>
        <w:numPr>
          <w:ilvl w:val="0"/>
          <w:numId w:val="100"/>
        </w:numPr>
        <w:spacing w:after="160" w:line="280" w:lineRule="auto"/>
      </w:pPr>
      <w:r>
        <w:rPr>
          <w:rFonts w:ascii="KaiTi" w:hAnsi="KaiTi" w:eastAsia="楷体"/>
          <w:b/>
          <w:i w:val="0"/>
          <w:sz w:val="21"/>
        </w:rPr>
        <w:t>AC-F01-005</w:t>
      </w:r>
      <w:r>
        <w:rPr>
          <w:rFonts w:ascii="KaiTi" w:hAnsi="KaiTi" w:eastAsia="楷体"/>
          <w:b w:val="0"/>
          <w:i w:val="0"/>
          <w:sz w:val="21"/>
        </w:rPr>
        <w:t xml:space="preserve"> 设备、网络、超时、非法 Schema 与患者切换用例均不丢失医生已录入内容。</w:t>
      </w:r>
    </w:p>
    <w:p>
      <w:pPr>
        <w:pStyle w:val="Heading3"/>
        <w:pageBreakBefore w:val="0"/>
        <w:numPr>
          <w:ilvl w:val="2"/>
          <w:numId w:val="102"/>
        </w:numPr>
      </w:pPr>
      <w:r>
        <w:rPr>
          <w:rFonts w:ascii="KaiTi" w:hAnsi="KaiTi" w:eastAsia="楷体"/>
          <w:b/>
          <w:i w:val="0"/>
          <w:color w:val="1F4D78"/>
          <w:sz w:val="24"/>
        </w:rPr>
        <w:t>待确认</w:t>
      </w:r>
    </w:p>
    <w:p>
      <w:pPr>
        <w:numPr>
          <w:ilvl w:val="0"/>
          <w:numId w:val="100"/>
        </w:numPr>
        <w:spacing w:after="160" w:line="280" w:lineRule="auto"/>
      </w:pPr>
      <w:r>
        <w:rPr>
          <w:rFonts w:ascii="KaiTi" w:hAnsi="KaiTi" w:eastAsia="楷体"/>
          <w:b w:val="0"/>
          <w:i w:val="0"/>
          <w:sz w:val="21"/>
        </w:rPr>
        <w:t>医院录音告知方式、音频留存周期、设备类型和方言覆盖目标。</w:t>
      </w:r>
    </w:p>
    <w:p>
      <w:pPr>
        <w:numPr>
          <w:ilvl w:val="0"/>
          <w:numId w:val="100"/>
        </w:numPr>
        <w:spacing w:after="160" w:line="280" w:lineRule="auto"/>
      </w:pPr>
      <w:r>
        <w:rPr>
          <w:rFonts w:ascii="KaiTi" w:hAnsi="KaiTi" w:eastAsia="楷体"/>
          <w:b w:val="0"/>
          <w:i w:val="0"/>
          <w:sz w:val="21"/>
        </w:rPr>
        <w:t>三个专科包的阻断问题清单与临床签字人。</w:t>
      </w:r>
    </w:p>
    <w:p>
      <w:pPr>
        <w:pStyle w:val="Heading2"/>
        <w:pageBreakBefore w:val="0"/>
        <w:numPr>
          <w:ilvl w:val="1"/>
          <w:numId w:val="102"/>
        </w:numPr>
      </w:pPr>
      <w:r>
        <w:rPr>
          <w:rFonts w:ascii="KaiTi" w:hAnsi="KaiTi" w:eastAsia="楷体"/>
          <w:b/>
          <w:i w:val="0"/>
          <w:color w:val="1F4D78"/>
          <w:sz w:val="26"/>
        </w:rPr>
        <w:t>F02 病情概况功能规格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condition_summary</w:t>
      </w:r>
      <w:r>
        <w:rPr>
          <w:rFonts w:ascii="KaiTi" w:hAnsi="KaiTi" w:eastAsia="楷体"/>
          <w:b w:val="0"/>
          <w:i w:val="0"/>
          <w:color w:val="596370"/>
          <w:sz w:val="19"/>
        </w:rPr>
        <w:t xml:space="preserve"> 结果类型：</w:t>
      </w:r>
      <w:r>
        <w:rPr>
          <w:rFonts w:ascii="KaiTi" w:hAnsi="KaiTi" w:eastAsia="楷体"/>
          <w:b/>
          <w:i w:val="0"/>
          <w:color w:val="596370"/>
          <w:sz w:val="19"/>
        </w:rPr>
        <w:t>condition_summary</w:t>
      </w:r>
    </w:p>
    <w:p>
      <w:pPr>
        <w:pStyle w:val="Heading3"/>
        <w:pageBreakBefore w:val="0"/>
        <w:numPr>
          <w:ilvl w:val="2"/>
          <w:numId w:val="102"/>
        </w:numPr>
      </w:pPr>
      <w:r>
        <w:rPr>
          <w:rFonts w:ascii="KaiTi" w:hAnsi="KaiTi" w:eastAsia="楷体"/>
          <w:b/>
          <w:i w:val="0"/>
          <w:color w:val="1F4D78"/>
          <w:sz w:val="24"/>
        </w:rPr>
        <w:t>目标与边界</w:t>
      </w:r>
    </w:p>
    <w:p>
      <w:r>
        <w:rPr>
          <w:rFonts w:ascii="KaiTi" w:hAnsi="KaiTi" w:eastAsia="楷体"/>
          <w:b w:val="0"/>
          <w:i w:val="0"/>
          <w:sz w:val="21"/>
        </w:rPr>
        <w:t>在不替代医生阅读原始病历的前提下，以问题为导向汇总本次问诊与历史数据，突出主要问题、近期变化、关键证据、数据冲突和缺失。概况是快速导航和问题清单，不是完整健康档案或自动诊断。</w:t>
      </w:r>
    </w:p>
    <w:p>
      <w:pPr>
        <w:pStyle w:val="Heading3"/>
        <w:pageBreakBefore w:val="0"/>
        <w:numPr>
          <w:ilvl w:val="2"/>
          <w:numId w:val="102"/>
        </w:numPr>
      </w:pPr>
      <w:r>
        <w:rPr>
          <w:rFonts w:ascii="KaiTi" w:hAnsi="KaiTi" w:eastAsia="楷体"/>
          <w:b/>
          <w:i w:val="0"/>
          <w:color w:val="1F4D78"/>
          <w:sz w:val="24"/>
        </w:rPr>
        <w:t>触发与刷新</w:t>
      </w:r>
    </w:p>
    <w:p>
      <w:pPr>
        <w:numPr>
          <w:ilvl w:val="0"/>
          <w:numId w:val="100"/>
        </w:numPr>
        <w:spacing w:after="160" w:line="280" w:lineRule="auto"/>
      </w:pPr>
      <w:r>
        <w:rPr>
          <w:rFonts w:ascii="KaiTi" w:hAnsi="KaiTi" w:eastAsia="楷体"/>
          <w:b/>
          <w:i w:val="0"/>
          <w:sz w:val="21"/>
        </w:rPr>
        <w:t>FR-F02-001</w:t>
      </w:r>
      <w:r>
        <w:rPr>
          <w:rFonts w:ascii="KaiTi" w:hAnsi="KaiTi" w:eastAsia="楷体"/>
          <w:b w:val="0"/>
          <w:i w:val="0"/>
          <w:sz w:val="21"/>
        </w:rPr>
        <w:t xml:space="preserve"> 进入工作站且患者/就诊绑定完成后自动准备，不阻塞病历编辑；未选择患者时不调用 Agent。</w:t>
      </w:r>
    </w:p>
    <w:p>
      <w:pPr>
        <w:numPr>
          <w:ilvl w:val="0"/>
          <w:numId w:val="100"/>
        </w:numPr>
        <w:spacing w:after="160" w:line="280" w:lineRule="auto"/>
      </w:pPr>
      <w:r>
        <w:rPr>
          <w:rFonts w:ascii="KaiTi" w:hAnsi="KaiTi" w:eastAsia="楷体"/>
          <w:b/>
          <w:i w:val="0"/>
          <w:sz w:val="21"/>
        </w:rPr>
        <w:t>FR-F02-002</w:t>
      </w:r>
      <w:r>
        <w:rPr>
          <w:rFonts w:ascii="KaiTi" w:hAnsi="KaiTi" w:eastAsia="楷体"/>
          <w:b w:val="0"/>
          <w:i w:val="0"/>
          <w:sz w:val="21"/>
        </w:rPr>
        <w:t xml:space="preserve"> 问诊确认、关键检验检查到达、诊断或用药变更时，标记“可刷新”，不静默覆盖旧版。</w:t>
      </w:r>
    </w:p>
    <w:p>
      <w:pPr>
        <w:numPr>
          <w:ilvl w:val="0"/>
          <w:numId w:val="100"/>
        </w:numPr>
        <w:spacing w:after="160" w:line="280" w:lineRule="auto"/>
      </w:pPr>
      <w:r>
        <w:rPr>
          <w:rFonts w:ascii="KaiTi" w:hAnsi="KaiTi" w:eastAsia="楷体"/>
          <w:b/>
          <w:i w:val="0"/>
          <w:sz w:val="21"/>
        </w:rPr>
        <w:t>FR-F02-003</w:t>
      </w:r>
      <w:r>
        <w:rPr>
          <w:rFonts w:ascii="KaiTi" w:hAnsi="KaiTi" w:eastAsia="楷体"/>
          <w:b w:val="0"/>
          <w:i w:val="0"/>
          <w:sz w:val="21"/>
        </w:rPr>
        <w:t xml:space="preserve"> 医生可手动刷新，界面使用 </w:t>
      </w:r>
      <w:r>
        <w:rPr>
          <w:rFonts w:ascii="KaiTi" w:hAnsi="KaiTi" w:eastAsia="楷体"/>
          <w:b/>
          <w:i w:val="0"/>
          <w:sz w:val="21"/>
        </w:rPr>
        <w:t>context_version</w:t>
      </w:r>
      <w:r>
        <w:rPr>
          <w:rFonts w:ascii="KaiTi" w:hAnsi="KaiTi" w:eastAsia="楷体"/>
          <w:b w:val="0"/>
          <w:i w:val="0"/>
          <w:sz w:val="21"/>
        </w:rPr>
        <w:t xml:space="preserve"> 生成幂等键。</w:t>
      </w:r>
    </w:p>
    <w:p>
      <w:pPr>
        <w:numPr>
          <w:ilvl w:val="0"/>
          <w:numId w:val="100"/>
        </w:numPr>
        <w:spacing w:after="160" w:line="280" w:lineRule="auto"/>
      </w:pPr>
      <w:r>
        <w:rPr>
          <w:rFonts w:ascii="KaiTi" w:hAnsi="KaiTi" w:eastAsia="楷体"/>
          <w:b/>
          <w:i w:val="0"/>
          <w:sz w:val="21"/>
        </w:rPr>
        <w:t>FR-F02-004</w:t>
      </w:r>
      <w:r>
        <w:rPr>
          <w:rFonts w:ascii="KaiTi" w:hAnsi="KaiTi" w:eastAsia="楷体"/>
          <w:b w:val="0"/>
          <w:i w:val="0"/>
          <w:sz w:val="21"/>
        </w:rPr>
        <w:t xml:space="preserve"> 正在处理概况时，新上下文到达应将旧任务标记为过期，不并行展示两个“最新”。</w:t>
      </w:r>
    </w:p>
    <w:p>
      <w:pPr>
        <w:pStyle w:val="Heading3"/>
        <w:pageBreakBefore w:val="0"/>
        <w:numPr>
          <w:ilvl w:val="2"/>
          <w:numId w:val="102"/>
        </w:numPr>
      </w:pPr>
      <w:r>
        <w:rPr>
          <w:rFonts w:ascii="KaiTi" w:hAnsi="KaiTi" w:eastAsia="楷体"/>
          <w:b/>
          <w:i w:val="0"/>
          <w:color w:val="1F4D78"/>
          <w:sz w:val="24"/>
        </w:rPr>
        <w:t>输入与卡片字段</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区域</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必需内容</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规则</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一句话摘要</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当前主问题、时间和重要背景</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默认 80–120 个汉字，不以治疗建议收尾</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问题清单</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问题名、状态、优先级、本次相关性</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默认展示 3–5 项，可展开</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变化与趋势</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与可比较历史数据的变化</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必须显示比较时点和单位</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关键证据</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数值/文本、来源、时间、状态</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可跳转原始数据</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冲突字段、各来源值、时间</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不选择“更合理”的值隐藏冲突</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缺失字段、影响和获取方式</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区分阻断与非阻断</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元数据</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数据截至时间、上下文版本、Agent/Mock 版本</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始终可见</w:t>
            </w:r>
          </w:p>
        </w:tc>
      </w:tr>
    </w:tbl>
    <w:p>
      <w:pPr>
        <w:spacing w:after="40"/>
      </w:pPr>
    </w:p>
    <w:p>
      <w:pPr>
        <w:pStyle w:val="Heading3"/>
        <w:pageBreakBefore w:val="0"/>
        <w:numPr>
          <w:ilvl w:val="2"/>
          <w:numId w:val="102"/>
        </w:numPr>
      </w:pPr>
      <w:r>
        <w:rPr>
          <w:rFonts w:ascii="KaiTi" w:hAnsi="KaiTi" w:eastAsia="楷体"/>
          <w:b/>
          <w:i w:val="0"/>
          <w:color w:val="1F4D78"/>
          <w:sz w:val="24"/>
        </w:rPr>
        <w:t>交互需求</w:t>
      </w:r>
    </w:p>
    <w:p>
      <w:pPr>
        <w:numPr>
          <w:ilvl w:val="0"/>
          <w:numId w:val="100"/>
        </w:numPr>
        <w:spacing w:after="160" w:line="280" w:lineRule="auto"/>
      </w:pPr>
      <w:r>
        <w:rPr>
          <w:rFonts w:ascii="KaiTi" w:hAnsi="KaiTi" w:eastAsia="楷体"/>
          <w:b/>
          <w:i w:val="0"/>
          <w:sz w:val="21"/>
        </w:rPr>
        <w:t>UX-F02-001</w:t>
      </w:r>
      <w:r>
        <w:rPr>
          <w:rFonts w:ascii="KaiTi" w:hAnsi="KaiTi" w:eastAsia="楷体"/>
          <w:b w:val="0"/>
          <w:i w:val="0"/>
          <w:sz w:val="21"/>
        </w:rPr>
        <w:t xml:space="preserve"> 总览态只显示摘要、主要问题、最高风险、缺失/冲突数，满足“一页看完”。</w:t>
      </w:r>
    </w:p>
    <w:p>
      <w:pPr>
        <w:numPr>
          <w:ilvl w:val="0"/>
          <w:numId w:val="100"/>
        </w:numPr>
        <w:spacing w:after="160" w:line="280" w:lineRule="auto"/>
      </w:pPr>
      <w:r>
        <w:rPr>
          <w:rFonts w:ascii="KaiTi" w:hAnsi="KaiTi" w:eastAsia="楷体"/>
          <w:b/>
          <w:i w:val="0"/>
          <w:sz w:val="21"/>
        </w:rPr>
        <w:t>UX-F02-002</w:t>
      </w:r>
      <w:r>
        <w:rPr>
          <w:rFonts w:ascii="KaiTi" w:hAnsi="KaiTi" w:eastAsia="楷体"/>
          <w:b w:val="0"/>
          <w:i w:val="0"/>
          <w:sz w:val="21"/>
        </w:rPr>
        <w:t xml:space="preserve"> 点击证据在右侧抽屉显示来源摘要、时间和原文定位，不强制跳离当前患者。</w:t>
      </w:r>
    </w:p>
    <w:p>
      <w:pPr>
        <w:numPr>
          <w:ilvl w:val="0"/>
          <w:numId w:val="100"/>
        </w:numPr>
        <w:spacing w:after="160" w:line="280" w:lineRule="auto"/>
      </w:pPr>
      <w:r>
        <w:rPr>
          <w:rFonts w:ascii="KaiTi" w:hAnsi="KaiTi" w:eastAsia="楷体"/>
          <w:b/>
          <w:i w:val="0"/>
          <w:sz w:val="21"/>
        </w:rPr>
        <w:t>UX-F02-003</w:t>
      </w:r>
      <w:r>
        <w:rPr>
          <w:rFonts w:ascii="KaiTi" w:hAnsi="KaiTi" w:eastAsia="楷体"/>
          <w:b w:val="0"/>
          <w:i w:val="0"/>
          <w:sz w:val="21"/>
        </w:rPr>
        <w:t xml:space="preserve"> 新旧版本可显示问题新增/移除、数值变化、证据更新和冲突变化。</w:t>
      </w:r>
    </w:p>
    <w:p>
      <w:pPr>
        <w:numPr>
          <w:ilvl w:val="0"/>
          <w:numId w:val="100"/>
        </w:numPr>
        <w:spacing w:after="160" w:line="280" w:lineRule="auto"/>
      </w:pPr>
      <w:r>
        <w:rPr>
          <w:rFonts w:ascii="KaiTi" w:hAnsi="KaiTi" w:eastAsia="楷体"/>
          <w:b/>
          <w:i w:val="0"/>
          <w:sz w:val="21"/>
        </w:rPr>
        <w:t>UX-F02-004</w:t>
      </w:r>
      <w:r>
        <w:rPr>
          <w:rFonts w:ascii="KaiTi" w:hAnsi="KaiTi" w:eastAsia="楷体"/>
          <w:b w:val="0"/>
          <w:i w:val="0"/>
          <w:sz w:val="21"/>
        </w:rPr>
        <w:t xml:space="preserve"> 医生可标记“与本次无关”、“数据错误”、“需补充”，这些反馈不修改原始数据。</w:t>
      </w:r>
    </w:p>
    <w:p>
      <w:pPr>
        <w:numPr>
          <w:ilvl w:val="0"/>
          <w:numId w:val="100"/>
        </w:numPr>
        <w:spacing w:after="160" w:line="280" w:lineRule="auto"/>
      </w:pPr>
      <w:r>
        <w:rPr>
          <w:rFonts w:ascii="KaiTi" w:hAnsi="KaiTi" w:eastAsia="楷体"/>
          <w:b/>
          <w:i w:val="0"/>
          <w:sz w:val="21"/>
        </w:rPr>
        <w:t>UX-F02-005</w:t>
      </w:r>
      <w:r>
        <w:rPr>
          <w:rFonts w:ascii="KaiTi" w:hAnsi="KaiTi" w:eastAsia="楷体"/>
          <w:b w:val="0"/>
          <w:i w:val="0"/>
          <w:sz w:val="21"/>
        </w:rPr>
        <w:t xml:space="preserve"> 概况不提供“一键确诊”或“一键开嘱”。</w:t>
      </w:r>
    </w:p>
    <w:p>
      <w:pPr>
        <w:pStyle w:val="Heading3"/>
        <w:pageBreakBefore w:val="0"/>
        <w:numPr>
          <w:ilvl w:val="2"/>
          <w:numId w:val="102"/>
        </w:numPr>
      </w:pPr>
      <w:r>
        <w:rPr>
          <w:rFonts w:ascii="KaiTi" w:hAnsi="KaiTi" w:eastAsia="楷体"/>
          <w:b/>
          <w:i w:val="0"/>
          <w:color w:val="1F4D78"/>
          <w:sz w:val="24"/>
        </w:rPr>
        <w:t>业务与安全规则</w:t>
      </w:r>
    </w:p>
    <w:p>
      <w:pPr>
        <w:numPr>
          <w:ilvl w:val="0"/>
          <w:numId w:val="100"/>
        </w:numPr>
        <w:spacing w:after="160" w:line="280" w:lineRule="auto"/>
      </w:pPr>
      <w:r>
        <w:rPr>
          <w:rFonts w:ascii="KaiTi" w:hAnsi="KaiTi" w:eastAsia="楷体"/>
          <w:b/>
          <w:i w:val="0"/>
          <w:sz w:val="21"/>
        </w:rPr>
        <w:t>BR-F02-001</w:t>
      </w:r>
      <w:r>
        <w:rPr>
          <w:rFonts w:ascii="KaiTi" w:hAnsi="KaiTi" w:eastAsia="楷体"/>
          <w:b w:val="0"/>
          <w:i w:val="0"/>
          <w:sz w:val="21"/>
        </w:rPr>
        <w:t xml:space="preserve"> 只有时间、单位和检测方法可比的数据才能生成趋势。</w:t>
      </w:r>
    </w:p>
    <w:p>
      <w:pPr>
        <w:numPr>
          <w:ilvl w:val="0"/>
          <w:numId w:val="100"/>
        </w:numPr>
        <w:spacing w:after="160" w:line="280" w:lineRule="auto"/>
      </w:pPr>
      <w:r>
        <w:rPr>
          <w:rFonts w:ascii="KaiTi" w:hAnsi="KaiTi" w:eastAsia="楷体"/>
          <w:b/>
          <w:i w:val="0"/>
          <w:sz w:val="21"/>
        </w:rPr>
        <w:t>BR-F02-002</w:t>
      </w:r>
      <w:r>
        <w:rPr>
          <w:rFonts w:ascii="KaiTi" w:hAnsi="KaiTi" w:eastAsia="楷体"/>
          <w:b w:val="0"/>
          <w:i w:val="0"/>
          <w:sz w:val="21"/>
        </w:rPr>
        <w:t xml:space="preserve"> 历史诊断、既往异常和本次活动问题必须使用不同状态。</w:t>
      </w:r>
    </w:p>
    <w:p>
      <w:pPr>
        <w:numPr>
          <w:ilvl w:val="0"/>
          <w:numId w:val="100"/>
        </w:numPr>
        <w:spacing w:after="160" w:line="280" w:lineRule="auto"/>
      </w:pPr>
      <w:r>
        <w:rPr>
          <w:rFonts w:ascii="KaiTi" w:hAnsi="KaiTi" w:eastAsia="楷体"/>
          <w:b/>
          <w:i w:val="0"/>
          <w:sz w:val="21"/>
        </w:rPr>
        <w:t>BR-F02-003</w:t>
      </w:r>
      <w:r>
        <w:rPr>
          <w:rFonts w:ascii="KaiTi" w:hAnsi="KaiTi" w:eastAsia="楷体"/>
          <w:b w:val="0"/>
          <w:i w:val="0"/>
          <w:sz w:val="21"/>
        </w:rPr>
        <w:t xml:space="preserve"> 证据引用不存在、越权或过期时，对应结论必须降级为不可采信或不展示。</w:t>
      </w:r>
    </w:p>
    <w:p>
      <w:pPr>
        <w:numPr>
          <w:ilvl w:val="0"/>
          <w:numId w:val="100"/>
        </w:numPr>
        <w:spacing w:after="160" w:line="280" w:lineRule="auto"/>
      </w:pPr>
      <w:r>
        <w:rPr>
          <w:rFonts w:ascii="KaiTi" w:hAnsi="KaiTi" w:eastAsia="楷体"/>
          <w:b/>
          <w:i w:val="0"/>
          <w:sz w:val="21"/>
        </w:rPr>
        <w:t>SAFE-F02-001</w:t>
      </w:r>
      <w:r>
        <w:rPr>
          <w:rFonts w:ascii="KaiTi" w:hAnsi="KaiTi" w:eastAsia="楷体"/>
          <w:b w:val="0"/>
          <w:i w:val="0"/>
          <w:sz w:val="21"/>
        </w:rPr>
        <w:t xml:space="preserve"> 患者/就诊不匹配、数据时间未知、核心证据无来源时，概况不能进入 </w:t>
      </w:r>
      <w:r>
        <w:rPr>
          <w:rFonts w:ascii="KaiTi" w:hAnsi="KaiTi" w:eastAsia="楷体"/>
          <w:b/>
          <w:i w:val="0"/>
          <w:sz w:val="21"/>
        </w:rPr>
        <w:t>ready</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SAFE-F02-002</w:t>
      </w:r>
      <w:r>
        <w:rPr>
          <w:rFonts w:ascii="KaiTi" w:hAnsi="KaiTi" w:eastAsia="楷体"/>
          <w:b w:val="0"/>
          <w:i w:val="0"/>
          <w:sz w:val="21"/>
        </w:rPr>
        <w:t xml:space="preserve"> 新概况不得覆盖医生正在编辑的病历，只能发布为新的 AI 结果版本。</w:t>
      </w:r>
    </w:p>
    <w:p>
      <w:pPr>
        <w:pStyle w:val="Heading3"/>
        <w:pageBreakBefore w:val="0"/>
        <w:numPr>
          <w:ilvl w:val="2"/>
          <w:numId w:val="102"/>
        </w:numPr>
      </w:pPr>
      <w:r>
        <w:rPr>
          <w:rFonts w:ascii="KaiTi" w:hAnsi="KaiTi" w:eastAsia="楷体"/>
          <w:b/>
          <w:i w:val="0"/>
          <w:color w:val="1F4D78"/>
          <w:sz w:val="24"/>
        </w:rPr>
        <w:t>失败与降级</w:t>
      </w:r>
    </w:p>
    <w:p>
      <w:pPr>
        <w:numPr>
          <w:ilvl w:val="0"/>
          <w:numId w:val="100"/>
        </w:numPr>
        <w:spacing w:after="160" w:line="280" w:lineRule="auto"/>
      </w:pPr>
      <w:r>
        <w:rPr>
          <w:rFonts w:ascii="KaiTi" w:hAnsi="KaiTi" w:eastAsia="楷体"/>
          <w:b w:val="0"/>
          <w:i w:val="0"/>
          <w:sz w:val="21"/>
        </w:rPr>
        <w:t>历史数据不可用：仅基于本次就诊生成，永久显示“未包含历史资料”。</w:t>
      </w:r>
    </w:p>
    <w:p>
      <w:pPr>
        <w:numPr>
          <w:ilvl w:val="0"/>
          <w:numId w:val="100"/>
        </w:numPr>
        <w:spacing w:after="160" w:line="280" w:lineRule="auto"/>
      </w:pPr>
      <w:r>
        <w:rPr>
          <w:rFonts w:ascii="KaiTi" w:hAnsi="KaiTi" w:eastAsia="楷体"/>
          <w:b w:val="0"/>
          <w:i w:val="0"/>
          <w:sz w:val="21"/>
        </w:rPr>
        <w:t>部分数据源超时：不等待非关键源，在缺失清单中标识；关键源超时则澄清或失败。</w:t>
      </w:r>
    </w:p>
    <w:p>
      <w:pPr>
        <w:numPr>
          <w:ilvl w:val="0"/>
          <w:numId w:val="100"/>
        </w:numPr>
        <w:spacing w:after="160" w:line="280" w:lineRule="auto"/>
      </w:pPr>
      <w:r>
        <w:rPr>
          <w:rFonts w:ascii="KaiTi" w:hAnsi="KaiTi" w:eastAsia="楷体"/>
          <w:b w:val="0"/>
          <w:i w:val="0"/>
          <w:sz w:val="21"/>
        </w:rPr>
        <w:t>Agent 失败：展示可阅读的原始资料导航，不伪造静态 AI 摘要。</w:t>
      </w:r>
    </w:p>
    <w:p>
      <w:pPr>
        <w:numPr>
          <w:ilvl w:val="0"/>
          <w:numId w:val="100"/>
        </w:numPr>
        <w:spacing w:after="160" w:line="280" w:lineRule="auto"/>
      </w:pPr>
      <w:r>
        <w:rPr>
          <w:rFonts w:ascii="KaiTi" w:hAnsi="KaiTi" w:eastAsia="楷体"/>
          <w:b w:val="0"/>
          <w:i w:val="0"/>
          <w:sz w:val="21"/>
        </w:rPr>
        <w:t>非法 Schema：不展示临床内容，只显示安全错误和重试/人工路径。</w:t>
      </w:r>
    </w:p>
    <w:p>
      <w:pPr>
        <w:pStyle w:val="Heading3"/>
        <w:pageBreakBefore w:val="0"/>
        <w:numPr>
          <w:ilvl w:val="2"/>
          <w:numId w:val="102"/>
        </w:numPr>
      </w:pPr>
      <w:r>
        <w:rPr>
          <w:rFonts w:ascii="KaiTi" w:hAnsi="KaiTi" w:eastAsia="楷体"/>
          <w:b/>
          <w:i w:val="0"/>
          <w:color w:val="1F4D78"/>
          <w:sz w:val="24"/>
        </w:rPr>
        <w:t>验收标准</w:t>
      </w:r>
    </w:p>
    <w:p>
      <w:pPr>
        <w:numPr>
          <w:ilvl w:val="0"/>
          <w:numId w:val="100"/>
        </w:numPr>
        <w:spacing w:after="160" w:line="280" w:lineRule="auto"/>
      </w:pPr>
      <w:r>
        <w:rPr>
          <w:rFonts w:ascii="KaiTi" w:hAnsi="KaiTi" w:eastAsia="楷体"/>
          <w:b/>
          <w:i w:val="0"/>
          <w:sz w:val="21"/>
        </w:rPr>
        <w:t>AC-F02-001</w:t>
      </w:r>
      <w:r>
        <w:rPr>
          <w:rFonts w:ascii="KaiTi" w:hAnsi="KaiTi" w:eastAsia="楷体"/>
          <w:b w:val="0"/>
          <w:i w:val="0"/>
          <w:sz w:val="21"/>
        </w:rPr>
        <w:t xml:space="preserve"> 每个关键事实可定位到来源类型、时间和原始记录。</w:t>
      </w:r>
    </w:p>
    <w:p>
      <w:pPr>
        <w:numPr>
          <w:ilvl w:val="0"/>
          <w:numId w:val="100"/>
        </w:numPr>
        <w:spacing w:after="160" w:line="280" w:lineRule="auto"/>
      </w:pPr>
      <w:r>
        <w:rPr>
          <w:rFonts w:ascii="KaiTi" w:hAnsi="KaiTi" w:eastAsia="楷体"/>
          <w:b/>
          <w:i w:val="0"/>
          <w:sz w:val="21"/>
        </w:rPr>
        <w:t>AC-F02-002</w:t>
      </w:r>
      <w:r>
        <w:rPr>
          <w:rFonts w:ascii="KaiTi" w:hAnsi="KaiTi" w:eastAsia="楷体"/>
          <w:b w:val="0"/>
          <w:i w:val="0"/>
          <w:sz w:val="21"/>
        </w:rPr>
        <w:t xml:space="preserve"> 冲突 Fixture 同时展示两个值及来源，不静默选择其一。</w:t>
      </w:r>
    </w:p>
    <w:p>
      <w:pPr>
        <w:numPr>
          <w:ilvl w:val="0"/>
          <w:numId w:val="100"/>
        </w:numPr>
        <w:spacing w:after="160" w:line="280" w:lineRule="auto"/>
      </w:pPr>
      <w:r>
        <w:rPr>
          <w:rFonts w:ascii="KaiTi" w:hAnsi="KaiTi" w:eastAsia="楷体"/>
          <w:b/>
          <w:i w:val="0"/>
          <w:sz w:val="21"/>
        </w:rPr>
        <w:t>AC-F02-003</w:t>
      </w:r>
      <w:r>
        <w:rPr>
          <w:rFonts w:ascii="KaiTi" w:hAnsi="KaiTi" w:eastAsia="楷体"/>
          <w:b w:val="0"/>
          <w:i w:val="0"/>
          <w:sz w:val="21"/>
        </w:rPr>
        <w:t xml:space="preserve"> 刷新时旧版可回看，并能查看最小变化摘要。</w:t>
      </w:r>
    </w:p>
    <w:p>
      <w:pPr>
        <w:numPr>
          <w:ilvl w:val="0"/>
          <w:numId w:val="100"/>
        </w:numPr>
        <w:spacing w:after="160" w:line="280" w:lineRule="auto"/>
      </w:pPr>
      <w:r>
        <w:rPr>
          <w:rFonts w:ascii="KaiTi" w:hAnsi="KaiTi" w:eastAsia="楷体"/>
          <w:b/>
          <w:i w:val="0"/>
          <w:sz w:val="21"/>
        </w:rPr>
        <w:t>AC-F02-004</w:t>
      </w:r>
      <w:r>
        <w:rPr>
          <w:rFonts w:ascii="KaiTi" w:hAnsi="KaiTi" w:eastAsia="楷体"/>
          <w:b w:val="0"/>
          <w:i w:val="0"/>
          <w:sz w:val="21"/>
        </w:rPr>
        <w:t xml:space="preserve"> 在原 HTML 默认桌面工作台中，不进入二级详情即可看到摘要、主问题、最高风险和缺失/冲突；不得为满足本条改变原布局。</w:t>
      </w:r>
    </w:p>
    <w:p>
      <w:pPr>
        <w:numPr>
          <w:ilvl w:val="0"/>
          <w:numId w:val="100"/>
        </w:numPr>
        <w:spacing w:after="160" w:line="280" w:lineRule="auto"/>
      </w:pPr>
      <w:r>
        <w:rPr>
          <w:rFonts w:ascii="KaiTi" w:hAnsi="KaiTi" w:eastAsia="楷体"/>
          <w:b/>
          <w:i w:val="0"/>
          <w:sz w:val="21"/>
        </w:rPr>
        <w:t>AC-F02-005</w:t>
      </w:r>
      <w:r>
        <w:rPr>
          <w:rFonts w:ascii="KaiTi" w:hAnsi="KaiTi" w:eastAsia="楷体"/>
          <w:b w:val="0"/>
          <w:i w:val="0"/>
          <w:sz w:val="21"/>
        </w:rPr>
        <w:t xml:space="preserve"> 患者切换后，前一患者延迟返回的概况被 API 层与 UI 层同时拒绝。</w:t>
      </w:r>
    </w:p>
    <w:p>
      <w:pPr>
        <w:pStyle w:val="Heading3"/>
        <w:pageBreakBefore w:val="0"/>
        <w:numPr>
          <w:ilvl w:val="2"/>
          <w:numId w:val="102"/>
        </w:numPr>
      </w:pPr>
      <w:r>
        <w:rPr>
          <w:rFonts w:ascii="KaiTi" w:hAnsi="KaiTi" w:eastAsia="楷体"/>
          <w:b/>
          <w:i w:val="0"/>
          <w:color w:val="1F4D78"/>
          <w:sz w:val="24"/>
        </w:rPr>
        <w:t>专科包差异</w:t>
      </w:r>
    </w:p>
    <w:p>
      <w:pPr>
        <w:numPr>
          <w:ilvl w:val="0"/>
          <w:numId w:val="100"/>
        </w:numPr>
        <w:spacing w:after="160" w:line="280" w:lineRule="auto"/>
      </w:pPr>
      <w:r>
        <w:rPr>
          <w:rFonts w:ascii="KaiTi" w:hAnsi="KaiTi" w:eastAsia="楷体"/>
          <w:b w:val="0"/>
          <w:i w:val="0"/>
          <w:sz w:val="21"/>
        </w:rPr>
        <w:t>内分泌代谢：突出血糖趋势、低血糖、并发症筛查、血压/血脂/肾功能。</w:t>
      </w:r>
    </w:p>
    <w:p>
      <w:pPr>
        <w:numPr>
          <w:ilvl w:val="0"/>
          <w:numId w:val="100"/>
        </w:numPr>
        <w:spacing w:after="160" w:line="280" w:lineRule="auto"/>
      </w:pPr>
      <w:r>
        <w:rPr>
          <w:rFonts w:ascii="KaiTi" w:hAnsi="KaiTi" w:eastAsia="楷体"/>
          <w:b w:val="0"/>
          <w:i w:val="0"/>
          <w:sz w:val="21"/>
        </w:rPr>
        <w:t>骨科：突出疼痛部位、功能影响、神经学表现、外伤和红旗征象。</w:t>
      </w:r>
    </w:p>
    <w:p>
      <w:pPr>
        <w:numPr>
          <w:ilvl w:val="0"/>
          <w:numId w:val="100"/>
        </w:numPr>
        <w:spacing w:after="160" w:line="280" w:lineRule="auto"/>
      </w:pPr>
      <w:r>
        <w:rPr>
          <w:rFonts w:ascii="KaiTi" w:hAnsi="KaiTi" w:eastAsia="楷体"/>
          <w:b w:val="0"/>
          <w:i w:val="0"/>
          <w:sz w:val="21"/>
        </w:rPr>
        <w:t>妇科：突出年龄/绝经状态、姊娠可能、出血模式、筛查与病理/检查跟踪。</w:t>
      </w:r>
    </w:p>
    <w:p>
      <w:r>
        <w:rPr>
          <w:rFonts w:ascii="KaiTi" w:hAnsi="KaiTi" w:eastAsia="楷体"/>
          <w:b w:val="0"/>
          <w:i w:val="0"/>
          <w:sz w:val="21"/>
        </w:rPr>
        <w:t>上述专科规则只是产品字段与 Mock 覆盖范围，临床阈值与阻断规则待专科医生签字。</w:t>
      </w:r>
    </w:p>
    <w:p>
      <w:pPr>
        <w:pStyle w:val="Heading2"/>
        <w:pageBreakBefore/>
        <w:numPr>
          <w:ilvl w:val="1"/>
          <w:numId w:val="102"/>
        </w:numPr>
      </w:pPr>
      <w:r>
        <w:rPr>
          <w:rFonts w:ascii="KaiTi" w:hAnsi="KaiTi" w:eastAsia="楷体"/>
          <w:b/>
          <w:i w:val="0"/>
          <w:color w:val="1F4D78"/>
          <w:sz w:val="26"/>
        </w:rPr>
        <w:t>F03 病历生成功能规格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record_generation</w:t>
      </w:r>
      <w:r>
        <w:rPr>
          <w:rFonts w:ascii="KaiTi" w:hAnsi="KaiTi" w:eastAsia="楷体"/>
          <w:b w:val="0"/>
          <w:i w:val="0"/>
          <w:color w:val="596370"/>
          <w:sz w:val="19"/>
        </w:rPr>
        <w:t xml:space="preserve"> 结果类型：</w:t>
      </w:r>
      <w:r>
        <w:rPr>
          <w:rFonts w:ascii="KaiTi" w:hAnsi="KaiTi" w:eastAsia="楷体"/>
          <w:b/>
          <w:i w:val="0"/>
          <w:color w:val="596370"/>
          <w:sz w:val="19"/>
        </w:rPr>
        <w:t>record_draft</w:t>
      </w:r>
    </w:p>
    <w:p>
      <w:pPr>
        <w:pStyle w:val="Heading3"/>
        <w:pageBreakBefore w:val="0"/>
        <w:numPr>
          <w:ilvl w:val="2"/>
          <w:numId w:val="102"/>
        </w:numPr>
      </w:pPr>
      <w:r>
        <w:rPr>
          <w:rFonts w:ascii="KaiTi" w:hAnsi="KaiTi" w:eastAsia="楷体"/>
          <w:b/>
          <w:i w:val="0"/>
          <w:color w:val="1F4D78"/>
          <w:sz w:val="24"/>
        </w:rPr>
        <w:t>目标与边界</w:t>
      </w:r>
    </w:p>
    <w:p>
      <w:r>
        <w:rPr>
          <w:rFonts w:ascii="KaiTi" w:hAnsi="KaiTi" w:eastAsia="楷体"/>
          <w:b w:val="0"/>
          <w:i w:val="0"/>
          <w:sz w:val="21"/>
        </w:rPr>
        <w:t>将已确认的问诊信息和可追溯临床事实，按医院与专科模板组织为可编辑的门诊病历草稿，减少书写时间并保留医生最终决定权。</w:t>
      </w:r>
    </w:p>
    <w:p>
      <w:r>
        <w:rPr>
          <w:rFonts w:ascii="KaiTi" w:hAnsi="KaiTi" w:eastAsia="楷体"/>
          <w:b w:val="0"/>
          <w:i w:val="0"/>
          <w:sz w:val="21"/>
        </w:rPr>
        <w:t>不自动签名、不自动写回、不生成未确认阳性/阴性事实、不将待排诊断表述为确诊。一期处理建议只是病历草稿文本，不生成医嘱或处方。</w:t>
      </w:r>
    </w:p>
    <w:p>
      <w:pPr>
        <w:pStyle w:val="Heading3"/>
        <w:pageBreakBefore w:val="0"/>
        <w:numPr>
          <w:ilvl w:val="2"/>
          <w:numId w:val="102"/>
        </w:numPr>
      </w:pPr>
      <w:r>
        <w:rPr>
          <w:rFonts w:ascii="KaiTi" w:hAnsi="KaiTi" w:eastAsia="楷体"/>
          <w:b/>
          <w:i w:val="0"/>
          <w:color w:val="1F4D78"/>
          <w:sz w:val="24"/>
        </w:rPr>
        <w:t>模板和字段</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字段组</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一期必需能力</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主诉</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症状/问题 + 主要时间，支持医生直接编辑</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现病史</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起病、演变、伴随症状、诊疗经过、重要阴性病史（仅限已确认）</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既往/个人/家族/过敏史</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来源与主体明确，不将历史无记录当作“无”</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专科字段</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妇科月经/婚育/姊娠状态，骨科疼痛/神经功能，内分泌用药/低血糖/并发症等</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体征与体格检查</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只使用本次已记录值或医生确认文本</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辅助检查</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带时间、单位、来源；历史结果不写成本次结果</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初步诊断/处理意见草稿</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明确确诊/待排、医生确认前不得写回</w:t>
            </w:r>
          </w:p>
        </w:tc>
      </w:tr>
    </w:tbl>
    <w:p>
      <w:pPr>
        <w:spacing w:after="40"/>
      </w:pPr>
    </w:p>
    <w:p>
      <w:r>
        <w:rPr>
          <w:rFonts w:ascii="KaiTi" w:hAnsi="KaiTi" w:eastAsia="楷体"/>
          <w:b/>
          <w:i w:val="0"/>
          <w:sz w:val="21"/>
        </w:rPr>
        <w:t>template_id</w:t>
      </w:r>
      <w:r>
        <w:rPr>
          <w:rFonts w:ascii="KaiTi" w:hAnsi="KaiTi" w:eastAsia="楷体"/>
          <w:b w:val="0"/>
          <w:i w:val="0"/>
          <w:sz w:val="21"/>
        </w:rPr>
        <w:t>、</w:t>
      </w:r>
      <w:r>
        <w:rPr>
          <w:rFonts w:ascii="KaiTi" w:hAnsi="KaiTi" w:eastAsia="楷体"/>
          <w:b/>
          <w:i w:val="0"/>
          <w:sz w:val="21"/>
        </w:rPr>
        <w:t>template_version</w:t>
      </w:r>
      <w:r>
        <w:rPr>
          <w:rFonts w:ascii="KaiTi" w:hAnsi="KaiTi" w:eastAsia="楷体"/>
          <w:b w:val="0"/>
          <w:i w:val="0"/>
          <w:sz w:val="21"/>
        </w:rPr>
        <w:t>、</w:t>
      </w:r>
      <w:r>
        <w:rPr>
          <w:rFonts w:ascii="KaiTi" w:hAnsi="KaiTi" w:eastAsia="楷体"/>
          <w:b/>
          <w:i w:val="0"/>
          <w:sz w:val="21"/>
        </w:rPr>
        <w:t>specialty_package_id</w:t>
      </w:r>
      <w:r>
        <w:rPr>
          <w:rFonts w:ascii="KaiTi" w:hAnsi="KaiTi" w:eastAsia="楷体"/>
          <w:b w:val="0"/>
          <w:i w:val="0"/>
          <w:sz w:val="21"/>
        </w:rPr>
        <w:t xml:space="preserve"> 和每个字段的必填性必须进入任务上下文和审计。</w:t>
      </w:r>
    </w:p>
    <w:p>
      <w:pPr>
        <w:pStyle w:val="Heading3"/>
        <w:pageBreakBefore w:val="0"/>
        <w:numPr>
          <w:ilvl w:val="2"/>
          <w:numId w:val="102"/>
        </w:numPr>
      </w:pPr>
      <w:r>
        <w:rPr>
          <w:rFonts w:ascii="KaiTi" w:hAnsi="KaiTi" w:eastAsia="楷体"/>
          <w:b/>
          <w:i w:val="0"/>
          <w:color w:val="1F4D78"/>
          <w:sz w:val="24"/>
        </w:rPr>
        <w:t>交互流程</w:t>
      </w:r>
    </w:p>
    <w:p>
      <w:pPr>
        <w:numPr>
          <w:ilvl w:val="0"/>
          <w:numId w:val="110"/>
        </w:numPr>
        <w:spacing w:after="160" w:line="280" w:lineRule="auto"/>
      </w:pPr>
      <w:r>
        <w:rPr>
          <w:rFonts w:ascii="KaiTi" w:hAnsi="KaiTi" w:eastAsia="楷体"/>
          <w:b w:val="0"/>
          <w:i w:val="0"/>
          <w:sz w:val="21"/>
        </w:rPr>
        <w:t>医生选择整份生成或按段生成；默认保留已编辑正式草稿。</w:t>
      </w:r>
    </w:p>
    <w:p>
      <w:pPr>
        <w:numPr>
          <w:ilvl w:val="0"/>
          <w:numId w:val="110"/>
        </w:numPr>
        <w:spacing w:after="160" w:line="280" w:lineRule="auto"/>
      </w:pPr>
      <w:r>
        <w:rPr>
          <w:rFonts w:ascii="KaiTi" w:hAnsi="KaiTi" w:eastAsia="楷体"/>
          <w:b w:val="0"/>
          <w:i w:val="0"/>
          <w:sz w:val="21"/>
        </w:rPr>
        <w:t>AI 结果进入段落级草稿层，显示来源、缺失、不确定性和校验状态。</w:t>
      </w:r>
    </w:p>
    <w:p>
      <w:pPr>
        <w:numPr>
          <w:ilvl w:val="0"/>
          <w:numId w:val="110"/>
        </w:numPr>
        <w:spacing w:after="160" w:line="280" w:lineRule="auto"/>
      </w:pPr>
      <w:r>
        <w:rPr>
          <w:rFonts w:ascii="KaiTi" w:hAnsi="KaiTi" w:eastAsia="楷体"/>
          <w:b w:val="0"/>
          <w:i w:val="0"/>
          <w:sz w:val="21"/>
        </w:rPr>
        <w:t>医生可对单段执行采纳、合并、编辑、拒绝或重新生成。</w:t>
      </w:r>
    </w:p>
    <w:p>
      <w:pPr>
        <w:numPr>
          <w:ilvl w:val="0"/>
          <w:numId w:val="110"/>
        </w:numPr>
        <w:spacing w:after="160" w:line="280" w:lineRule="auto"/>
      </w:pPr>
      <w:r>
        <w:rPr>
          <w:rFonts w:ascii="KaiTi" w:hAnsi="KaiTi" w:eastAsia="楷体"/>
          <w:b w:val="0"/>
          <w:i w:val="0"/>
          <w:sz w:val="21"/>
        </w:rPr>
        <w:t>采纳后内容进入医生草稿，保留 AI 原文与医生最终文本的差异。</w:t>
      </w:r>
    </w:p>
    <w:p>
      <w:pPr>
        <w:numPr>
          <w:ilvl w:val="0"/>
          <w:numId w:val="110"/>
        </w:numPr>
        <w:spacing w:after="160" w:line="280" w:lineRule="auto"/>
      </w:pPr>
      <w:r>
        <w:rPr>
          <w:rFonts w:ascii="KaiTi" w:hAnsi="KaiTi" w:eastAsia="楷体"/>
          <w:b w:val="0"/>
          <w:i w:val="0"/>
          <w:sz w:val="21"/>
        </w:rPr>
        <w:t>提交前执行必填、事实一致、数据时间、未处理红/黄风险、待澄清项和患者身份校验。</w:t>
      </w:r>
    </w:p>
    <w:p>
      <w:pPr>
        <w:numPr>
          <w:ilvl w:val="0"/>
          <w:numId w:val="110"/>
        </w:numPr>
        <w:spacing w:after="160" w:line="280" w:lineRule="auto"/>
      </w:pPr>
      <w:r>
        <w:rPr>
          <w:rFonts w:ascii="KaiTi" w:hAnsi="KaiTi" w:eastAsia="楷体"/>
          <w:b w:val="0"/>
          <w:i w:val="0"/>
          <w:sz w:val="21"/>
        </w:rPr>
        <w:t>一期生成模拟写回回执，完整记录字段版本与医生确认。</w:t>
      </w:r>
    </w:p>
    <w:p>
      <w:pPr>
        <w:pStyle w:val="Heading3"/>
        <w:pageBreakBefore w:val="0"/>
        <w:numPr>
          <w:ilvl w:val="2"/>
          <w:numId w:val="102"/>
        </w:numPr>
      </w:pPr>
      <w:r>
        <w:rPr>
          <w:rFonts w:ascii="KaiTi" w:hAnsi="KaiTi" w:eastAsia="楷体"/>
          <w:b/>
          <w:i w:val="0"/>
          <w:color w:val="1F4D78"/>
          <w:sz w:val="24"/>
        </w:rPr>
        <w:t>UI/UX 要求</w:t>
      </w:r>
    </w:p>
    <w:p>
      <w:pPr>
        <w:numPr>
          <w:ilvl w:val="0"/>
          <w:numId w:val="100"/>
        </w:numPr>
        <w:spacing w:after="160" w:line="280" w:lineRule="auto"/>
      </w:pPr>
      <w:r>
        <w:rPr>
          <w:rFonts w:ascii="KaiTi" w:hAnsi="KaiTi" w:eastAsia="楷体"/>
          <w:b/>
          <w:i w:val="0"/>
          <w:sz w:val="21"/>
        </w:rPr>
        <w:t>UX-F03-001</w:t>
      </w:r>
      <w:r>
        <w:rPr>
          <w:rFonts w:ascii="KaiTi" w:hAnsi="KaiTi" w:eastAsia="楷体"/>
          <w:b w:val="0"/>
          <w:i w:val="0"/>
          <w:sz w:val="21"/>
        </w:rPr>
        <w:t xml:space="preserve"> 主体始终是医生病历草稿；AI 草稿使用侧边栏或行内建议，不占用第二套完整病历表单。</w:t>
      </w:r>
    </w:p>
    <w:p>
      <w:pPr>
        <w:numPr>
          <w:ilvl w:val="0"/>
          <w:numId w:val="100"/>
        </w:numPr>
        <w:spacing w:after="160" w:line="280" w:lineRule="auto"/>
      </w:pPr>
      <w:r>
        <w:rPr>
          <w:rFonts w:ascii="KaiTi" w:hAnsi="KaiTi" w:eastAsia="楷体"/>
          <w:b/>
          <w:i w:val="0"/>
          <w:sz w:val="21"/>
        </w:rPr>
        <w:t>UX-F03-002</w:t>
      </w:r>
      <w:r>
        <w:rPr>
          <w:rFonts w:ascii="KaiTi" w:hAnsi="KaiTi" w:eastAsia="楷体"/>
          <w:b w:val="0"/>
          <w:i w:val="0"/>
          <w:sz w:val="21"/>
        </w:rPr>
        <w:t xml:space="preserve"> 每段展示“已生成/已编辑/已采纳/已拒绝/需补充”状态。</w:t>
      </w:r>
    </w:p>
    <w:p>
      <w:pPr>
        <w:numPr>
          <w:ilvl w:val="0"/>
          <w:numId w:val="100"/>
        </w:numPr>
        <w:spacing w:after="160" w:line="280" w:lineRule="auto"/>
      </w:pPr>
      <w:r>
        <w:rPr>
          <w:rFonts w:ascii="KaiTi" w:hAnsi="KaiTi" w:eastAsia="楷体"/>
          <w:b/>
          <w:i w:val="0"/>
          <w:sz w:val="21"/>
        </w:rPr>
        <w:t>UX-F03-003</w:t>
      </w:r>
      <w:r>
        <w:rPr>
          <w:rFonts w:ascii="KaiTi" w:hAnsi="KaiTi" w:eastAsia="楷体"/>
          <w:b w:val="0"/>
          <w:i w:val="0"/>
          <w:sz w:val="21"/>
        </w:rPr>
        <w:t xml:space="preserve"> 差异视图区分 AI 原文、医生新增、医生删除和字段来源，不用风险红色表示普通文本删除。</w:t>
      </w:r>
    </w:p>
    <w:p>
      <w:pPr>
        <w:numPr>
          <w:ilvl w:val="0"/>
          <w:numId w:val="100"/>
        </w:numPr>
        <w:spacing w:after="160" w:line="280" w:lineRule="auto"/>
      </w:pPr>
      <w:r>
        <w:rPr>
          <w:rFonts w:ascii="KaiTi" w:hAnsi="KaiTi" w:eastAsia="楷体"/>
          <w:b/>
          <w:i w:val="0"/>
          <w:sz w:val="21"/>
        </w:rPr>
        <w:t>UX-F03-004</w:t>
      </w:r>
      <w:r>
        <w:rPr>
          <w:rFonts w:ascii="KaiTi" w:hAnsi="KaiTi" w:eastAsia="楷体"/>
          <w:b w:val="0"/>
          <w:i w:val="0"/>
          <w:sz w:val="21"/>
        </w:rPr>
        <w:t xml:space="preserve"> “全部采纳”只处理未编辑字段；如将覆盖医生内容，按字段列出并二次确认。</w:t>
      </w:r>
    </w:p>
    <w:p>
      <w:pPr>
        <w:numPr>
          <w:ilvl w:val="0"/>
          <w:numId w:val="100"/>
        </w:numPr>
        <w:spacing w:after="160" w:line="280" w:lineRule="auto"/>
      </w:pPr>
      <w:r>
        <w:rPr>
          <w:rFonts w:ascii="KaiTi" w:hAnsi="KaiTi" w:eastAsia="楷体"/>
          <w:b/>
          <w:i w:val="0"/>
          <w:sz w:val="21"/>
        </w:rPr>
        <w:t>UX-F03-005</w:t>
      </w:r>
      <w:r>
        <w:rPr>
          <w:rFonts w:ascii="KaiTi" w:hAnsi="KaiTi" w:eastAsia="楷体"/>
          <w:b w:val="0"/>
          <w:i w:val="0"/>
          <w:sz w:val="21"/>
        </w:rPr>
        <w:t xml:space="preserve"> 未保存编辑在离开患者、关闭页面和重新生成前必须明确提示。</w:t>
      </w:r>
    </w:p>
    <w:p>
      <w:pPr>
        <w:pStyle w:val="Heading3"/>
        <w:pageBreakBefore w:val="0"/>
        <w:numPr>
          <w:ilvl w:val="2"/>
          <w:numId w:val="102"/>
        </w:numPr>
      </w:pPr>
      <w:r>
        <w:rPr>
          <w:rFonts w:ascii="KaiTi" w:hAnsi="KaiTi" w:eastAsia="楷体"/>
          <w:b/>
          <w:i w:val="0"/>
          <w:color w:val="1F4D78"/>
          <w:sz w:val="24"/>
        </w:rPr>
        <w:t>业务和安全规则</w:t>
      </w:r>
    </w:p>
    <w:p>
      <w:pPr>
        <w:numPr>
          <w:ilvl w:val="0"/>
          <w:numId w:val="100"/>
        </w:numPr>
        <w:spacing w:after="160" w:line="280" w:lineRule="auto"/>
      </w:pPr>
      <w:r>
        <w:rPr>
          <w:rFonts w:ascii="KaiTi" w:hAnsi="KaiTi" w:eastAsia="楷体"/>
          <w:b/>
          <w:i w:val="0"/>
          <w:sz w:val="21"/>
        </w:rPr>
        <w:t>BR-F03-001</w:t>
      </w:r>
      <w:r>
        <w:rPr>
          <w:rFonts w:ascii="KaiTi" w:hAnsi="KaiTi" w:eastAsia="楷体"/>
          <w:b w:val="0"/>
          <w:i w:val="0"/>
          <w:sz w:val="21"/>
        </w:rPr>
        <w:t xml:space="preserve"> 每个 AI 生成字段必须包含 </w:t>
      </w:r>
      <w:r>
        <w:rPr>
          <w:rFonts w:ascii="KaiTi" w:hAnsi="KaiTi" w:eastAsia="楷体"/>
          <w:b/>
          <w:i w:val="0"/>
          <w:sz w:val="21"/>
        </w:rPr>
        <w:t>source_refs</w:t>
      </w:r>
      <w:r>
        <w:rPr>
          <w:rFonts w:ascii="KaiTi" w:hAnsi="KaiTi" w:eastAsia="楷体"/>
          <w:b w:val="0"/>
          <w:i w:val="0"/>
          <w:sz w:val="21"/>
        </w:rPr>
        <w:t>；无来源的格式连接词可例外，临床事实不例外。</w:t>
      </w:r>
    </w:p>
    <w:p>
      <w:pPr>
        <w:numPr>
          <w:ilvl w:val="0"/>
          <w:numId w:val="100"/>
        </w:numPr>
        <w:spacing w:after="160" w:line="280" w:lineRule="auto"/>
      </w:pPr>
      <w:r>
        <w:rPr>
          <w:rFonts w:ascii="KaiTi" w:hAnsi="KaiTi" w:eastAsia="楷体"/>
          <w:b/>
          <w:i w:val="0"/>
          <w:sz w:val="21"/>
        </w:rPr>
        <w:t>BR-F03-002</w:t>
      </w:r>
      <w:r>
        <w:rPr>
          <w:rFonts w:ascii="KaiTi" w:hAnsi="KaiTi" w:eastAsia="楷体"/>
          <w:b w:val="0"/>
          <w:i w:val="0"/>
          <w:sz w:val="21"/>
        </w:rPr>
        <w:t xml:space="preserve"> 同一字段的新 AI 结果不能自动替换医生编辑版本。</w:t>
      </w:r>
    </w:p>
    <w:p>
      <w:pPr>
        <w:numPr>
          <w:ilvl w:val="0"/>
          <w:numId w:val="100"/>
        </w:numPr>
        <w:spacing w:after="160" w:line="280" w:lineRule="auto"/>
      </w:pPr>
      <w:r>
        <w:rPr>
          <w:rFonts w:ascii="KaiTi" w:hAnsi="KaiTi" w:eastAsia="楷体"/>
          <w:b/>
          <w:i w:val="0"/>
          <w:sz w:val="21"/>
        </w:rPr>
        <w:t>BR-F03-003</w:t>
      </w:r>
      <w:r>
        <w:rPr>
          <w:rFonts w:ascii="KaiTi" w:hAnsi="KaiTi" w:eastAsia="楷体"/>
          <w:b w:val="0"/>
          <w:i w:val="0"/>
          <w:sz w:val="21"/>
        </w:rPr>
        <w:t xml:space="preserve"> 过期、作废、预备或其他就诊数据在生成文本中必须显式说明时间语义。</w:t>
      </w:r>
    </w:p>
    <w:p>
      <w:pPr>
        <w:numPr>
          <w:ilvl w:val="0"/>
          <w:numId w:val="100"/>
        </w:numPr>
        <w:spacing w:after="160" w:line="280" w:lineRule="auto"/>
      </w:pPr>
      <w:r>
        <w:rPr>
          <w:rFonts w:ascii="KaiTi" w:hAnsi="KaiTi" w:eastAsia="楷体"/>
          <w:b/>
          <w:i w:val="0"/>
          <w:sz w:val="21"/>
        </w:rPr>
        <w:t>SAFE-F03-001</w:t>
      </w:r>
      <w:r>
        <w:rPr>
          <w:rFonts w:ascii="KaiTi" w:hAnsi="KaiTi" w:eastAsia="楷体"/>
          <w:b w:val="0"/>
          <w:i w:val="0"/>
          <w:sz w:val="21"/>
        </w:rPr>
        <w:t xml:space="preserve"> 幻觉临床事实、过敏错误、患者串用、未确认写回为零容忍门禁。</w:t>
      </w:r>
    </w:p>
    <w:p>
      <w:pPr>
        <w:numPr>
          <w:ilvl w:val="0"/>
          <w:numId w:val="100"/>
        </w:numPr>
        <w:spacing w:after="160" w:line="280" w:lineRule="auto"/>
      </w:pPr>
      <w:r>
        <w:rPr>
          <w:rFonts w:ascii="KaiTi" w:hAnsi="KaiTi" w:eastAsia="楷体"/>
          <w:b/>
          <w:i w:val="0"/>
          <w:sz w:val="21"/>
        </w:rPr>
        <w:t>SAFE-F03-002</w:t>
      </w:r>
      <w:r>
        <w:rPr>
          <w:rFonts w:ascii="KaiTi" w:hAnsi="KaiTi" w:eastAsia="楷体"/>
          <w:b w:val="0"/>
          <w:i w:val="0"/>
          <w:sz w:val="21"/>
        </w:rPr>
        <w:t xml:space="preserve"> 红色风险未处置或阻断澄清未完成时，禁止“提交病历”，但允许继续编辑和暂存。</w:t>
      </w:r>
    </w:p>
    <w:p>
      <w:pPr>
        <w:pStyle w:val="Heading3"/>
        <w:pageBreakBefore w:val="0"/>
        <w:numPr>
          <w:ilvl w:val="2"/>
          <w:numId w:val="102"/>
        </w:numPr>
      </w:pPr>
      <w:r>
        <w:rPr>
          <w:rFonts w:ascii="KaiTi" w:hAnsi="KaiTi" w:eastAsia="楷体"/>
          <w:b/>
          <w:i w:val="0"/>
          <w:color w:val="1F4D78"/>
          <w:sz w:val="24"/>
        </w:rPr>
        <w:t>并发、版本和恢复</w:t>
      </w:r>
    </w:p>
    <w:p>
      <w:pPr>
        <w:numPr>
          <w:ilvl w:val="0"/>
          <w:numId w:val="100"/>
        </w:numPr>
        <w:spacing w:after="160" w:line="280" w:lineRule="auto"/>
      </w:pPr>
      <w:r>
        <w:rPr>
          <w:rFonts w:ascii="KaiTi" w:hAnsi="KaiTi" w:eastAsia="楷体"/>
          <w:b w:val="0"/>
          <w:i w:val="0"/>
          <w:sz w:val="21"/>
        </w:rPr>
        <w:t xml:space="preserve">草稿使用 </w:t>
      </w:r>
      <w:r>
        <w:rPr>
          <w:rFonts w:ascii="KaiTi" w:hAnsi="KaiTi" w:eastAsia="楷体"/>
          <w:b/>
          <w:i w:val="0"/>
          <w:sz w:val="21"/>
        </w:rPr>
        <w:t>record_version</w:t>
      </w:r>
      <w:r>
        <w:rPr>
          <w:rFonts w:ascii="KaiTi" w:hAnsi="KaiTi" w:eastAsia="楷体"/>
          <w:b w:val="0"/>
          <w:i w:val="0"/>
          <w:sz w:val="21"/>
        </w:rPr>
        <w:t xml:space="preserve"> 乐观锁；过期提交返回差异，不盲目覆盖。</w:t>
      </w:r>
    </w:p>
    <w:p>
      <w:pPr>
        <w:numPr>
          <w:ilvl w:val="0"/>
          <w:numId w:val="100"/>
        </w:numPr>
        <w:spacing w:after="160" w:line="280" w:lineRule="auto"/>
      </w:pPr>
      <w:r>
        <w:rPr>
          <w:rFonts w:ascii="KaiTi" w:hAnsi="KaiTi" w:eastAsia="楷体"/>
          <w:b w:val="0"/>
          <w:i w:val="0"/>
          <w:sz w:val="21"/>
        </w:rPr>
        <w:t>自动暂存与手动暂存共用幂等键，显示最后成功保存时间。</w:t>
      </w:r>
    </w:p>
    <w:p>
      <w:pPr>
        <w:numPr>
          <w:ilvl w:val="0"/>
          <w:numId w:val="100"/>
        </w:numPr>
        <w:spacing w:after="160" w:line="280" w:lineRule="auto"/>
      </w:pPr>
      <w:r>
        <w:rPr>
          <w:rFonts w:ascii="KaiTi" w:hAnsi="KaiTi" w:eastAsia="楷体"/>
          <w:b w:val="0"/>
          <w:i w:val="0"/>
          <w:sz w:val="21"/>
        </w:rPr>
        <w:t>Agent 失败或取消不回滚医生草稿。</w:t>
      </w:r>
    </w:p>
    <w:p>
      <w:pPr>
        <w:numPr>
          <w:ilvl w:val="0"/>
          <w:numId w:val="100"/>
        </w:numPr>
        <w:spacing w:after="160" w:line="280" w:lineRule="auto"/>
      </w:pPr>
      <w:r>
        <w:rPr>
          <w:rFonts w:ascii="KaiTi" w:hAnsi="KaiTi" w:eastAsia="楷体"/>
          <w:b w:val="0"/>
          <w:i w:val="0"/>
          <w:sz w:val="21"/>
        </w:rPr>
        <w:t>浏览器异常关闭后，允许恢复最后服务端草稿；未上传的本地文本是否恢复待隐私规则确认。</w:t>
      </w:r>
    </w:p>
    <w:p>
      <w:pPr>
        <w:pStyle w:val="Heading3"/>
        <w:pageBreakBefore w:val="0"/>
        <w:numPr>
          <w:ilvl w:val="2"/>
          <w:numId w:val="102"/>
        </w:numPr>
      </w:pPr>
      <w:r>
        <w:rPr>
          <w:rFonts w:ascii="KaiTi" w:hAnsi="KaiTi" w:eastAsia="楷体"/>
          <w:b/>
          <w:i w:val="0"/>
          <w:color w:val="1F4D78"/>
          <w:sz w:val="24"/>
        </w:rPr>
        <w:t>验收标准</w:t>
      </w:r>
    </w:p>
    <w:p>
      <w:pPr>
        <w:numPr>
          <w:ilvl w:val="0"/>
          <w:numId w:val="100"/>
        </w:numPr>
        <w:spacing w:after="160" w:line="280" w:lineRule="auto"/>
      </w:pPr>
      <w:r>
        <w:rPr>
          <w:rFonts w:ascii="KaiTi" w:hAnsi="KaiTi" w:eastAsia="楷体"/>
          <w:b/>
          <w:i w:val="0"/>
          <w:sz w:val="21"/>
        </w:rPr>
        <w:t>AC-F03-001</w:t>
      </w:r>
      <w:r>
        <w:rPr>
          <w:rFonts w:ascii="KaiTi" w:hAnsi="KaiTi" w:eastAsia="楷体"/>
          <w:b w:val="0"/>
          <w:i w:val="0"/>
          <w:sz w:val="21"/>
        </w:rPr>
        <w:t xml:space="preserve"> 整份与单段生成均可用，且不改变其他段落。</w:t>
      </w:r>
    </w:p>
    <w:p>
      <w:pPr>
        <w:numPr>
          <w:ilvl w:val="0"/>
          <w:numId w:val="100"/>
        </w:numPr>
        <w:spacing w:after="160" w:line="280" w:lineRule="auto"/>
      </w:pPr>
      <w:r>
        <w:rPr>
          <w:rFonts w:ascii="KaiTi" w:hAnsi="KaiTi" w:eastAsia="楷体"/>
          <w:b/>
          <w:i w:val="0"/>
          <w:sz w:val="21"/>
        </w:rPr>
        <w:t>AC-F03-002</w:t>
      </w:r>
      <w:r>
        <w:rPr>
          <w:rFonts w:ascii="KaiTi" w:hAnsi="KaiTi" w:eastAsia="楷体"/>
          <w:b w:val="0"/>
          <w:i w:val="0"/>
          <w:sz w:val="21"/>
        </w:rPr>
        <w:t xml:space="preserve"> 采纳、部分采纳、编辑、拒绝、恢复 AI 原文均有差异和审计记录。</w:t>
      </w:r>
    </w:p>
    <w:p>
      <w:pPr>
        <w:numPr>
          <w:ilvl w:val="0"/>
          <w:numId w:val="100"/>
        </w:numPr>
        <w:spacing w:after="160" w:line="280" w:lineRule="auto"/>
      </w:pPr>
      <w:r>
        <w:rPr>
          <w:rFonts w:ascii="KaiTi" w:hAnsi="KaiTi" w:eastAsia="楷体"/>
          <w:b/>
          <w:i w:val="0"/>
          <w:sz w:val="21"/>
        </w:rPr>
        <w:t>AC-F03-003</w:t>
      </w:r>
      <w:r>
        <w:rPr>
          <w:rFonts w:ascii="KaiTi" w:hAnsi="KaiTi" w:eastAsia="楷体"/>
          <w:b w:val="0"/>
          <w:i w:val="0"/>
          <w:sz w:val="21"/>
        </w:rPr>
        <w:t xml:space="preserve"> 虚构体征、未提及阴性病史和过期检验冒充本次的 Fixture 均被校验阻止。</w:t>
      </w:r>
    </w:p>
    <w:p>
      <w:pPr>
        <w:numPr>
          <w:ilvl w:val="0"/>
          <w:numId w:val="100"/>
        </w:numPr>
        <w:spacing w:after="160" w:line="280" w:lineRule="auto"/>
      </w:pPr>
      <w:r>
        <w:rPr>
          <w:rFonts w:ascii="KaiTi" w:hAnsi="KaiTi" w:eastAsia="楷体"/>
          <w:b/>
          <w:i w:val="0"/>
          <w:sz w:val="21"/>
        </w:rPr>
        <w:t>AC-F03-004</w:t>
      </w:r>
      <w:r>
        <w:rPr>
          <w:rFonts w:ascii="KaiTi" w:hAnsi="KaiTi" w:eastAsia="楷体"/>
          <w:b w:val="0"/>
          <w:i w:val="0"/>
          <w:sz w:val="21"/>
        </w:rPr>
        <w:t xml:space="preserve"> 刷新、超时、取消、重试和患者切换不丢失已暂存医生内容。</w:t>
      </w:r>
    </w:p>
    <w:p>
      <w:pPr>
        <w:numPr>
          <w:ilvl w:val="0"/>
          <w:numId w:val="100"/>
        </w:numPr>
        <w:spacing w:after="160" w:line="280" w:lineRule="auto"/>
      </w:pPr>
      <w:r>
        <w:rPr>
          <w:rFonts w:ascii="KaiTi" w:hAnsi="KaiTi" w:eastAsia="楷体"/>
          <w:b/>
          <w:i w:val="0"/>
          <w:sz w:val="21"/>
        </w:rPr>
        <w:t>AC-F03-005</w:t>
      </w:r>
      <w:r>
        <w:rPr>
          <w:rFonts w:ascii="KaiTi" w:hAnsi="KaiTi" w:eastAsia="楷体"/>
          <w:b w:val="0"/>
          <w:i w:val="0"/>
          <w:sz w:val="21"/>
        </w:rPr>
        <w:t xml:space="preserve"> 提交只产生 </w:t>
      </w:r>
      <w:r>
        <w:rPr>
          <w:rFonts w:ascii="KaiTi" w:hAnsi="KaiTi" w:eastAsia="楷体"/>
          <w:b/>
          <w:i w:val="0"/>
          <w:sz w:val="21"/>
        </w:rPr>
        <w:t>mode=mock</w:t>
      </w:r>
      <w:r>
        <w:rPr>
          <w:rFonts w:ascii="KaiTi" w:hAnsi="KaiTi" w:eastAsia="楷体"/>
          <w:b w:val="0"/>
          <w:i w:val="0"/>
          <w:sz w:val="21"/>
        </w:rPr>
        <w:t xml:space="preserve"> 回执，回执显示目标系统、模式、版本、时间与结果。</w:t>
      </w:r>
    </w:p>
    <w:p>
      <w:pPr>
        <w:pStyle w:val="Heading3"/>
        <w:pageBreakBefore w:val="0"/>
        <w:numPr>
          <w:ilvl w:val="2"/>
          <w:numId w:val="102"/>
        </w:numPr>
      </w:pPr>
      <w:r>
        <w:rPr>
          <w:rFonts w:ascii="KaiTi" w:hAnsi="KaiTi" w:eastAsia="楷体"/>
          <w:b/>
          <w:i w:val="0"/>
          <w:color w:val="1F4D78"/>
          <w:sz w:val="24"/>
        </w:rPr>
        <w:t>待确认</w:t>
      </w:r>
    </w:p>
    <w:p>
      <w:pPr>
        <w:numPr>
          <w:ilvl w:val="0"/>
          <w:numId w:val="100"/>
        </w:numPr>
        <w:spacing w:after="160" w:line="280" w:lineRule="auto"/>
      </w:pPr>
      <w:r>
        <w:rPr>
          <w:rFonts w:ascii="KaiTi" w:hAnsi="KaiTi" w:eastAsia="楷体"/>
          <w:b w:val="0"/>
          <w:i w:val="0"/>
          <w:sz w:val="21"/>
        </w:rPr>
        <w:t>国际医院门诊病历模板、必填规则、电子签名和模拟写回的字段对照。</w:t>
      </w:r>
    </w:p>
    <w:p>
      <w:pPr>
        <w:numPr>
          <w:ilvl w:val="0"/>
          <w:numId w:val="100"/>
        </w:numPr>
        <w:spacing w:after="160" w:line="280" w:lineRule="auto"/>
      </w:pPr>
      <w:r>
        <w:rPr>
          <w:rFonts w:ascii="KaiTi" w:hAnsi="KaiTi" w:eastAsia="楷体"/>
          <w:b w:val="0"/>
          <w:i w:val="0"/>
          <w:sz w:val="21"/>
        </w:rPr>
        <w:t>医生对自动暂存、全部采纳和差异查看的 UAT 偏好。</w:t>
      </w:r>
    </w:p>
    <w:p>
      <w:pPr>
        <w:pStyle w:val="Heading2"/>
        <w:pageBreakBefore/>
        <w:numPr>
          <w:ilvl w:val="1"/>
          <w:numId w:val="102"/>
        </w:numPr>
      </w:pPr>
      <w:r>
        <w:rPr>
          <w:rFonts w:ascii="KaiTi" w:hAnsi="KaiTi" w:eastAsia="楷体"/>
          <w:b/>
          <w:i w:val="0"/>
          <w:color w:val="1F4D78"/>
          <w:sz w:val="26"/>
        </w:rPr>
        <w:t>F04 鉴别诊断功能规格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differential_diagnosis</w:t>
      </w:r>
      <w:r>
        <w:rPr>
          <w:rFonts w:ascii="KaiTi" w:hAnsi="KaiTi" w:eastAsia="楷体"/>
          <w:b w:val="0"/>
          <w:i w:val="0"/>
          <w:color w:val="596370"/>
          <w:sz w:val="19"/>
        </w:rPr>
        <w:t xml:space="preserve"> 结果类型：</w:t>
      </w:r>
      <w:r>
        <w:rPr>
          <w:rFonts w:ascii="KaiTi" w:hAnsi="KaiTi" w:eastAsia="楷体"/>
          <w:b/>
          <w:i w:val="0"/>
          <w:color w:val="596370"/>
          <w:sz w:val="19"/>
        </w:rPr>
        <w:t>diagnosis_suggestions</w:t>
      </w:r>
      <w:r>
        <w:rPr>
          <w:rFonts w:ascii="KaiTi" w:hAnsi="KaiTi" w:eastAsia="楷体"/>
          <w:b w:val="0"/>
          <w:i w:val="0"/>
          <w:color w:val="596370"/>
          <w:sz w:val="19"/>
        </w:rPr>
        <w:t xml:space="preserve"> 承载 Agent：</w:t>
      </w:r>
      <w:r>
        <w:rPr>
          <w:rFonts w:ascii="KaiTi" w:hAnsi="KaiTi" w:eastAsia="楷体"/>
          <w:b/>
          <w:i w:val="0"/>
          <w:color w:val="596370"/>
          <w:sz w:val="19"/>
        </w:rPr>
        <w:t>diagnosis_agent</w:t>
      </w:r>
    </w:p>
    <w:p>
      <w:pPr>
        <w:pStyle w:val="Heading3"/>
        <w:pageBreakBefore w:val="0"/>
        <w:numPr>
          <w:ilvl w:val="2"/>
          <w:numId w:val="102"/>
        </w:numPr>
      </w:pPr>
      <w:r>
        <w:rPr>
          <w:rFonts w:ascii="KaiTi" w:hAnsi="KaiTi" w:eastAsia="楷体"/>
          <w:b/>
          <w:i w:val="0"/>
          <w:color w:val="1F4D78"/>
          <w:sz w:val="24"/>
        </w:rPr>
        <w:t>目标与边界</w:t>
      </w:r>
    </w:p>
    <w:p>
      <w:r>
        <w:rPr>
          <w:rFonts w:ascii="KaiTi" w:hAnsi="KaiTi" w:eastAsia="楷体"/>
          <w:b w:val="0"/>
          <w:i w:val="0"/>
          <w:sz w:val="21"/>
        </w:rPr>
        <w:t>围绕本次就诊问题形成按优先级排序的候选诊断，呈现支持证据、反对证据、缺失信息、风险关联和下一步核实建议，帮助医生拓展并收敛诊断思路。</w:t>
      </w:r>
    </w:p>
    <w:p>
      <w:r>
        <w:rPr>
          <w:rFonts w:ascii="KaiTi" w:hAnsi="KaiTi" w:eastAsia="楷体"/>
          <w:b w:val="0"/>
          <w:i w:val="0"/>
          <w:sz w:val="21"/>
        </w:rPr>
        <w:t>本功能只生成鉴别诊断建议，不替代医生下诊断，不直接写入正式诊断，不自动开具检查、检验、药物或治疗医嘱。候选项必须由医生显式确认后，才可进入 F05 诊断管理。</w:t>
      </w:r>
    </w:p>
    <w:p>
      <w:pPr>
        <w:pStyle w:val="Heading3"/>
        <w:pageBreakBefore w:val="0"/>
        <w:numPr>
          <w:ilvl w:val="2"/>
          <w:numId w:val="102"/>
        </w:numPr>
      </w:pPr>
      <w:r>
        <w:rPr>
          <w:rFonts w:ascii="KaiTi" w:hAnsi="KaiTi" w:eastAsia="楷体"/>
          <w:b/>
          <w:i w:val="0"/>
          <w:color w:val="1F4D78"/>
          <w:sz w:val="24"/>
        </w:rPr>
        <w:t>输入与触发</w:t>
      </w:r>
    </w:p>
    <w:p>
      <w:pPr>
        <w:pStyle w:val="Heading4"/>
        <w:pageBreakBefore w:val="0"/>
        <w:numPr>
          <w:ilvl w:val="3"/>
          <w:numId w:val="102"/>
        </w:numPr>
      </w:pPr>
      <w:r>
        <w:rPr>
          <w:rFonts w:ascii="KaiTi" w:hAnsi="KaiTi" w:eastAsia="楷体"/>
          <w:b/>
          <w:i w:val="0"/>
          <w:color w:val="1F4D78"/>
          <w:sz w:val="22"/>
        </w:rPr>
        <w:t>可用输入</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数据</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一期要求</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患者与就诊身份</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患者 ID、就诊 ID、年龄、性别、科室、就诊类型必须齐全</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本次问诊</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已确认的症状、持续时间、伴随症状、重要阴性症状、体征</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既往资料</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诊断、手术、用药、过敏、相关检验检查，均带来源和时间</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当前病情概况</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只接受通过 Schema 与患者/就诊校验的 F02 快照</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专科包</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内分泌/代谢、普通骨科或普通妇科的规则、术语、禁忌与模板版本</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医生输入</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医生可指定要回答的诊断问题、排除范围或重点关注方向</w:t>
            </w:r>
          </w:p>
        </w:tc>
      </w:tr>
    </w:tbl>
    <w:p>
      <w:pPr>
        <w:spacing w:after="40"/>
      </w:pPr>
    </w:p>
    <w:p>
      <w:pPr>
        <w:pStyle w:val="Heading4"/>
        <w:pageBreakBefore w:val="0"/>
        <w:numPr>
          <w:ilvl w:val="3"/>
          <w:numId w:val="102"/>
        </w:numPr>
      </w:pPr>
      <w:r>
        <w:rPr>
          <w:rFonts w:ascii="KaiTi" w:hAnsi="KaiTi" w:eastAsia="楷体"/>
          <w:b/>
          <w:i w:val="0"/>
          <w:color w:val="1F4D78"/>
          <w:sz w:val="22"/>
        </w:rPr>
        <w:t>触发时机</w:t>
      </w:r>
    </w:p>
    <w:p>
      <w:pPr>
        <w:numPr>
          <w:ilvl w:val="0"/>
          <w:numId w:val="100"/>
        </w:numPr>
        <w:spacing w:after="160" w:line="280" w:lineRule="auto"/>
      </w:pPr>
      <w:r>
        <w:rPr>
          <w:rFonts w:ascii="KaiTi" w:hAnsi="KaiTi" w:eastAsia="楷体"/>
          <w:b w:val="0"/>
          <w:i w:val="0"/>
          <w:sz w:val="21"/>
        </w:rPr>
        <w:t>医生点击“生成鉴别诊断”；默认不在患者进入工作台时自动执行。</w:t>
      </w:r>
    </w:p>
    <w:p>
      <w:pPr>
        <w:numPr>
          <w:ilvl w:val="0"/>
          <w:numId w:val="100"/>
        </w:numPr>
        <w:spacing w:after="160" w:line="280" w:lineRule="auto"/>
      </w:pPr>
      <w:r>
        <w:rPr>
          <w:rFonts w:ascii="KaiTi" w:hAnsi="KaiTi" w:eastAsia="楷体"/>
          <w:b w:val="0"/>
          <w:i w:val="0"/>
          <w:sz w:val="21"/>
        </w:rPr>
        <w:t>关键临床事实变化后，旧结果标记“上下文已变化”，由医生决定是否刷新。</w:t>
      </w:r>
    </w:p>
    <w:p>
      <w:pPr>
        <w:numPr>
          <w:ilvl w:val="0"/>
          <w:numId w:val="100"/>
        </w:numPr>
        <w:spacing w:after="160" w:line="280" w:lineRule="auto"/>
      </w:pPr>
      <w:r>
        <w:rPr>
          <w:rFonts w:ascii="KaiTi" w:hAnsi="KaiTi" w:eastAsia="楷体"/>
          <w:b w:val="0"/>
          <w:i w:val="0"/>
          <w:sz w:val="21"/>
        </w:rPr>
        <w:t>风险管理发现新的红色风险时，可发出“建议刷新鉴别诊断”的事件，但不得自动覆盖现有结果。</w:t>
      </w:r>
    </w:p>
    <w:p>
      <w:pPr>
        <w:numPr>
          <w:ilvl w:val="0"/>
          <w:numId w:val="100"/>
        </w:numPr>
        <w:spacing w:after="160" w:line="280" w:lineRule="auto"/>
      </w:pPr>
      <w:r>
        <w:rPr>
          <w:rFonts w:ascii="KaiTi" w:hAnsi="KaiTi" w:eastAsia="楷体"/>
          <w:b w:val="0"/>
          <w:i w:val="0"/>
          <w:sz w:val="21"/>
        </w:rPr>
        <w:t>同一患者、同一就诊、同一上下文哈希的重复请求复用结果或幂等执行。</w:t>
      </w:r>
    </w:p>
    <w:p>
      <w:pPr>
        <w:pStyle w:val="Heading3"/>
        <w:pageBreakBefore w:val="0"/>
        <w:numPr>
          <w:ilvl w:val="2"/>
          <w:numId w:val="102"/>
        </w:numPr>
      </w:pPr>
      <w:r>
        <w:rPr>
          <w:rFonts w:ascii="KaiTi" w:hAnsi="KaiTi" w:eastAsia="楷体"/>
          <w:b/>
          <w:i w:val="0"/>
          <w:color w:val="1F4D78"/>
          <w:sz w:val="24"/>
        </w:rPr>
        <w:t>输出模型</w:t>
      </w:r>
    </w:p>
    <w:p>
      <w:r>
        <w:rPr>
          <w:rFonts w:ascii="KaiTi" w:hAnsi="KaiTi" w:eastAsia="楷体"/>
          <w:b w:val="0"/>
          <w:i w:val="0"/>
          <w:sz w:val="21"/>
        </w:rPr>
        <w:t>每个候选诊断至少包含：</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字段</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说明</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candidate_id</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本次结果内稳定 ID</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name / icd_candidates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诊断名称与可选 ICD 候选；编码必须标注版本和是否待医生确认</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priority</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must_not_miss、likely、possible、less_likely，不显示伪精确百分比</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supporting_evidence[]</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支持证据及 source_ref、数据时间</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opposing_evidence[]</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反对或不典型证据；没有时写“未获得”，不得写“无”</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missing_information[]</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会改变判断的关键缺失信息，包含建议获取方式</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risk_links[]</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与 F06 风险项的关联</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next_steps[]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问诊、查体或检查建议草稿，标注依据和紧急度</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uncertainty</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不确定性说明、模型限制与适用边界</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generated_at / data_cutoff_at</w:t>
            </w:r>
          </w:p>
        </w:tc>
        <w:tc>
          <w:tcPr>
            <w:tcW w:type="dxa" w:w="70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生成时间与数据截止时间</w:t>
            </w:r>
          </w:p>
        </w:tc>
      </w:tr>
    </w:tbl>
    <w:p>
      <w:pPr>
        <w:spacing w:after="40"/>
      </w:pPr>
    </w:p>
    <w:p>
      <w:r>
        <w:rPr>
          <w:rFonts w:ascii="KaiTi" w:hAnsi="KaiTi" w:eastAsia="楷体"/>
          <w:b w:val="0"/>
          <w:i w:val="0"/>
          <w:sz w:val="21"/>
        </w:rPr>
        <w:t>排序必须优先考虑“不能漏诊”与临床后果，再考虑常见度；不能简单等同于模型置信度排序。</w:t>
      </w:r>
    </w:p>
    <w:p>
      <w:pPr>
        <w:pStyle w:val="Heading3"/>
        <w:pageBreakBefore w:val="0"/>
        <w:numPr>
          <w:ilvl w:val="2"/>
          <w:numId w:val="102"/>
        </w:numPr>
      </w:pPr>
      <w:r>
        <w:rPr>
          <w:rFonts w:ascii="KaiTi" w:hAnsi="KaiTi" w:eastAsia="楷体"/>
          <w:b/>
          <w:i w:val="0"/>
          <w:color w:val="1F4D78"/>
          <w:sz w:val="24"/>
        </w:rPr>
        <w:t>UI/UX 要求</w:t>
      </w:r>
    </w:p>
    <w:p>
      <w:pPr>
        <w:numPr>
          <w:ilvl w:val="0"/>
          <w:numId w:val="100"/>
        </w:numPr>
        <w:spacing w:after="160" w:line="280" w:lineRule="auto"/>
      </w:pPr>
      <w:r>
        <w:rPr>
          <w:rFonts w:ascii="KaiTi" w:hAnsi="KaiTi" w:eastAsia="楷体"/>
          <w:b/>
          <w:i w:val="0"/>
          <w:sz w:val="21"/>
        </w:rPr>
        <w:t>UX-F04-001</w:t>
      </w:r>
      <w:r>
        <w:rPr>
          <w:rFonts w:ascii="KaiTi" w:hAnsi="KaiTi" w:eastAsia="楷体"/>
          <w:b w:val="0"/>
          <w:i w:val="0"/>
          <w:sz w:val="21"/>
        </w:rPr>
        <w:t xml:space="preserve"> 默认展示“不能漏诊”“较可能”“其他可能”三个分组，每组可折叠；首屏不超过 6 个候选。</w:t>
      </w:r>
    </w:p>
    <w:p>
      <w:pPr>
        <w:numPr>
          <w:ilvl w:val="0"/>
          <w:numId w:val="100"/>
        </w:numPr>
        <w:spacing w:after="160" w:line="280" w:lineRule="auto"/>
      </w:pPr>
      <w:r>
        <w:rPr>
          <w:rFonts w:ascii="KaiTi" w:hAnsi="KaiTi" w:eastAsia="楷体"/>
          <w:b/>
          <w:i w:val="0"/>
          <w:sz w:val="21"/>
        </w:rPr>
        <w:t>UX-F04-002</w:t>
      </w:r>
      <w:r>
        <w:rPr>
          <w:rFonts w:ascii="KaiTi" w:hAnsi="KaiTi" w:eastAsia="楷体"/>
          <w:b w:val="0"/>
          <w:i w:val="0"/>
          <w:sz w:val="21"/>
        </w:rPr>
        <w:t xml:space="preserve"> 卡片摘要只展示名称、优先级、一条关键支持证据、一条关键缺失和与风险的关联；完整证据在右侧证据抽屉下钻。</w:t>
      </w:r>
    </w:p>
    <w:p>
      <w:pPr>
        <w:numPr>
          <w:ilvl w:val="0"/>
          <w:numId w:val="100"/>
        </w:numPr>
        <w:spacing w:after="160" w:line="280" w:lineRule="auto"/>
      </w:pPr>
      <w:r>
        <w:rPr>
          <w:rFonts w:ascii="KaiTi" w:hAnsi="KaiTi" w:eastAsia="楷体"/>
          <w:b/>
          <w:i w:val="0"/>
          <w:sz w:val="21"/>
        </w:rPr>
        <w:t>UX-F04-003</w:t>
      </w:r>
      <w:r>
        <w:rPr>
          <w:rFonts w:ascii="KaiTi" w:hAnsi="KaiTi" w:eastAsia="楷体"/>
          <w:b w:val="0"/>
          <w:i w:val="0"/>
          <w:sz w:val="21"/>
        </w:rPr>
        <w:t xml:space="preserve"> 候选项提供“加入待排”“设为初步诊断”“暂不考虑”“反馈问题”四个动作；动作后保留原建议。</w:t>
      </w:r>
    </w:p>
    <w:p>
      <w:pPr>
        <w:numPr>
          <w:ilvl w:val="0"/>
          <w:numId w:val="100"/>
        </w:numPr>
        <w:spacing w:after="160" w:line="280" w:lineRule="auto"/>
      </w:pPr>
      <w:r>
        <w:rPr>
          <w:rFonts w:ascii="KaiTi" w:hAnsi="KaiTi" w:eastAsia="楷体"/>
          <w:b/>
          <w:i w:val="0"/>
          <w:sz w:val="21"/>
        </w:rPr>
        <w:t>UX-F04-004</w:t>
      </w:r>
      <w:r>
        <w:rPr>
          <w:rFonts w:ascii="KaiTi" w:hAnsi="KaiTi" w:eastAsia="楷体"/>
          <w:b w:val="0"/>
          <w:i w:val="0"/>
          <w:sz w:val="21"/>
        </w:rPr>
        <w:t xml:space="preserve"> 显示数据截止时间、上下文是否过期、Agent/规则包版本和“AI 建议，需医生判断”。</w:t>
      </w:r>
    </w:p>
    <w:p>
      <w:pPr>
        <w:numPr>
          <w:ilvl w:val="0"/>
          <w:numId w:val="100"/>
        </w:numPr>
        <w:spacing w:after="160" w:line="280" w:lineRule="auto"/>
      </w:pPr>
      <w:r>
        <w:rPr>
          <w:rFonts w:ascii="KaiTi" w:hAnsi="KaiTi" w:eastAsia="楷体"/>
          <w:b/>
          <w:i w:val="0"/>
          <w:sz w:val="21"/>
        </w:rPr>
        <w:t>UX-F04-005</w:t>
      </w:r>
      <w:r>
        <w:rPr>
          <w:rFonts w:ascii="KaiTi" w:hAnsi="KaiTi" w:eastAsia="楷体"/>
          <w:b w:val="0"/>
          <w:i w:val="0"/>
          <w:sz w:val="21"/>
        </w:rPr>
        <w:t xml:space="preserve"> 对红色风险相关候选使用风险标识，不用整体红底；普通“低可能”不使用灰到不可读的样式。</w:t>
      </w:r>
    </w:p>
    <w:p>
      <w:pPr>
        <w:numPr>
          <w:ilvl w:val="0"/>
          <w:numId w:val="100"/>
        </w:numPr>
        <w:spacing w:after="160" w:line="280" w:lineRule="auto"/>
      </w:pPr>
      <w:r>
        <w:rPr>
          <w:rFonts w:ascii="KaiTi" w:hAnsi="KaiTi" w:eastAsia="楷体"/>
          <w:b/>
          <w:i w:val="0"/>
          <w:sz w:val="21"/>
        </w:rPr>
        <w:t>UX-F04-006</w:t>
      </w:r>
      <w:r>
        <w:rPr>
          <w:rFonts w:ascii="KaiTi" w:hAnsi="KaiTi" w:eastAsia="楷体"/>
          <w:b w:val="0"/>
          <w:i w:val="0"/>
          <w:sz w:val="21"/>
        </w:rPr>
        <w:t xml:space="preserve"> 医生可以查看“为什么推荐”和“还缺什么”，技术 Trace 默认隐藏，仅供调试授权角色查看。</w:t>
      </w:r>
    </w:p>
    <w:p>
      <w:pPr>
        <w:pStyle w:val="Heading3"/>
        <w:pageBreakBefore w:val="0"/>
        <w:numPr>
          <w:ilvl w:val="2"/>
          <w:numId w:val="102"/>
        </w:numPr>
      </w:pPr>
      <w:r>
        <w:rPr>
          <w:rFonts w:ascii="KaiTi" w:hAnsi="KaiTi" w:eastAsia="楷体"/>
          <w:b/>
          <w:i w:val="0"/>
          <w:color w:val="1F4D78"/>
          <w:sz w:val="24"/>
        </w:rPr>
        <w:t>业务和安全规则</w:t>
      </w:r>
    </w:p>
    <w:p>
      <w:pPr>
        <w:numPr>
          <w:ilvl w:val="0"/>
          <w:numId w:val="100"/>
        </w:numPr>
        <w:spacing w:after="160" w:line="280" w:lineRule="auto"/>
      </w:pPr>
      <w:r>
        <w:rPr>
          <w:rFonts w:ascii="KaiTi" w:hAnsi="KaiTi" w:eastAsia="楷体"/>
          <w:b/>
          <w:i w:val="0"/>
          <w:sz w:val="21"/>
        </w:rPr>
        <w:t>BR-F04-001</w:t>
      </w:r>
      <w:r>
        <w:rPr>
          <w:rFonts w:ascii="KaiTi" w:hAnsi="KaiTi" w:eastAsia="楷体"/>
          <w:b w:val="0"/>
          <w:i w:val="0"/>
          <w:sz w:val="21"/>
        </w:rPr>
        <w:t xml:space="preserve"> 候选诊断去重后最多返回 10 条；超过时按分组截断并说明。</w:t>
      </w:r>
    </w:p>
    <w:p>
      <w:pPr>
        <w:numPr>
          <w:ilvl w:val="0"/>
          <w:numId w:val="100"/>
        </w:numPr>
        <w:spacing w:after="160" w:line="280" w:lineRule="auto"/>
      </w:pPr>
      <w:r>
        <w:rPr>
          <w:rFonts w:ascii="KaiTi" w:hAnsi="KaiTi" w:eastAsia="楷体"/>
          <w:b/>
          <w:i w:val="0"/>
          <w:sz w:val="21"/>
        </w:rPr>
        <w:t>BR-F04-002</w:t>
      </w:r>
      <w:r>
        <w:rPr>
          <w:rFonts w:ascii="KaiTi" w:hAnsi="KaiTi" w:eastAsia="楷体"/>
          <w:b w:val="0"/>
          <w:i w:val="0"/>
          <w:sz w:val="21"/>
        </w:rPr>
        <w:t xml:space="preserve"> 诊断名称与 ICD 编码分离管理；名称可建议，编码须通过本地术语服务匹配。</w:t>
      </w:r>
    </w:p>
    <w:p>
      <w:pPr>
        <w:numPr>
          <w:ilvl w:val="0"/>
          <w:numId w:val="100"/>
        </w:numPr>
        <w:spacing w:after="160" w:line="280" w:lineRule="auto"/>
      </w:pPr>
      <w:r>
        <w:rPr>
          <w:rFonts w:ascii="KaiTi" w:hAnsi="KaiTi" w:eastAsia="楷体"/>
          <w:b/>
          <w:i w:val="0"/>
          <w:sz w:val="21"/>
        </w:rPr>
        <w:t>BR-F04-003</w:t>
      </w:r>
      <w:r>
        <w:rPr>
          <w:rFonts w:ascii="KaiTi" w:hAnsi="KaiTi" w:eastAsia="楷体"/>
          <w:b w:val="0"/>
          <w:i w:val="0"/>
          <w:sz w:val="21"/>
        </w:rPr>
        <w:t xml:space="preserve"> 任何关键支持或反对事实都必须带 </w:t>
      </w:r>
      <w:r>
        <w:rPr>
          <w:rFonts w:ascii="KaiTi" w:hAnsi="KaiTi" w:eastAsia="楷体"/>
          <w:b/>
          <w:i w:val="0"/>
          <w:sz w:val="21"/>
        </w:rPr>
        <w:t>source_ref</w:t>
      </w:r>
      <w:r>
        <w:rPr>
          <w:rFonts w:ascii="KaiTi" w:hAnsi="KaiTi" w:eastAsia="楷体"/>
          <w:b w:val="0"/>
          <w:i w:val="0"/>
          <w:sz w:val="21"/>
        </w:rPr>
        <w:t>；推断必须标注为推断。</w:t>
      </w:r>
    </w:p>
    <w:p>
      <w:pPr>
        <w:numPr>
          <w:ilvl w:val="0"/>
          <w:numId w:val="100"/>
        </w:numPr>
        <w:spacing w:after="160" w:line="280" w:lineRule="auto"/>
      </w:pPr>
      <w:r>
        <w:rPr>
          <w:rFonts w:ascii="KaiTi" w:hAnsi="KaiTi" w:eastAsia="楷体"/>
          <w:b/>
          <w:i w:val="0"/>
          <w:sz w:val="21"/>
        </w:rPr>
        <w:t>BR-F04-004</w:t>
      </w:r>
      <w:r>
        <w:rPr>
          <w:rFonts w:ascii="KaiTi" w:hAnsi="KaiTi" w:eastAsia="楷体"/>
          <w:b w:val="0"/>
          <w:i w:val="0"/>
          <w:sz w:val="21"/>
        </w:rPr>
        <w:t xml:space="preserve"> 医生“暂不考虑”的候选在同一上下文内保持状态；新证据出现时允许重新提示并解释变化。</w:t>
      </w:r>
    </w:p>
    <w:p>
      <w:pPr>
        <w:numPr>
          <w:ilvl w:val="0"/>
          <w:numId w:val="100"/>
        </w:numPr>
        <w:spacing w:after="160" w:line="280" w:lineRule="auto"/>
      </w:pPr>
      <w:r>
        <w:rPr>
          <w:rFonts w:ascii="KaiTi" w:hAnsi="KaiTi" w:eastAsia="楷体"/>
          <w:b/>
          <w:i w:val="0"/>
          <w:sz w:val="21"/>
        </w:rPr>
        <w:t>SAFE-F04-001</w:t>
      </w:r>
      <w:r>
        <w:rPr>
          <w:rFonts w:ascii="KaiTi" w:hAnsi="KaiTi" w:eastAsia="楷体"/>
          <w:b w:val="0"/>
          <w:i w:val="0"/>
          <w:sz w:val="21"/>
        </w:rPr>
        <w:t xml:space="preserve"> 年龄、性别、妊娠可能性、过敏、生命体征或红色风险缺失时，相关结论必须降级并提出澄清，不得强结论。</w:t>
      </w:r>
    </w:p>
    <w:p>
      <w:pPr>
        <w:numPr>
          <w:ilvl w:val="0"/>
          <w:numId w:val="100"/>
        </w:numPr>
        <w:spacing w:after="160" w:line="280" w:lineRule="auto"/>
      </w:pPr>
      <w:r>
        <w:rPr>
          <w:rFonts w:ascii="KaiTi" w:hAnsi="KaiTi" w:eastAsia="楷体"/>
          <w:b/>
          <w:i w:val="0"/>
          <w:sz w:val="21"/>
        </w:rPr>
        <w:t>SAFE-F04-002</w:t>
      </w:r>
      <w:r>
        <w:rPr>
          <w:rFonts w:ascii="KaiTi" w:hAnsi="KaiTi" w:eastAsia="楷体"/>
          <w:b w:val="0"/>
          <w:i w:val="0"/>
          <w:sz w:val="21"/>
        </w:rPr>
        <w:t xml:space="preserve"> 不得将未发生的症状、体征、检查结果或家族史作为证据。</w:t>
      </w:r>
    </w:p>
    <w:p>
      <w:pPr>
        <w:numPr>
          <w:ilvl w:val="0"/>
          <w:numId w:val="100"/>
        </w:numPr>
        <w:spacing w:after="160" w:line="280" w:lineRule="auto"/>
      </w:pPr>
      <w:r>
        <w:rPr>
          <w:rFonts w:ascii="KaiTi" w:hAnsi="KaiTi" w:eastAsia="楷体"/>
          <w:b/>
          <w:i w:val="0"/>
          <w:sz w:val="21"/>
        </w:rPr>
        <w:t>SAFE-F04-003</w:t>
      </w:r>
      <w:r>
        <w:rPr>
          <w:rFonts w:ascii="KaiTi" w:hAnsi="KaiTi" w:eastAsia="楷体"/>
          <w:b w:val="0"/>
          <w:i w:val="0"/>
          <w:sz w:val="21"/>
        </w:rPr>
        <w:t xml:space="preserve"> 不得因“常见病”排序压低与当前证据相符的高后果诊断。</w:t>
      </w:r>
    </w:p>
    <w:p>
      <w:pPr>
        <w:numPr>
          <w:ilvl w:val="0"/>
          <w:numId w:val="100"/>
        </w:numPr>
        <w:spacing w:after="160" w:line="280" w:lineRule="auto"/>
      </w:pPr>
      <w:r>
        <w:rPr>
          <w:rFonts w:ascii="KaiTi" w:hAnsi="KaiTi" w:eastAsia="楷体"/>
          <w:b/>
          <w:i w:val="0"/>
          <w:sz w:val="21"/>
        </w:rPr>
        <w:t>SAFE-F04-004</w:t>
      </w:r>
      <w:r>
        <w:rPr>
          <w:rFonts w:ascii="KaiTi" w:hAnsi="KaiTi" w:eastAsia="楷体"/>
          <w:b w:val="0"/>
          <w:i w:val="0"/>
          <w:sz w:val="21"/>
        </w:rPr>
        <w:t xml:space="preserve"> 输出中含处方剂量、自动医嘱或确定性治疗指令时，Schema/安全门禁必须拒绝该结果。</w:t>
      </w:r>
    </w:p>
    <w:p>
      <w:pPr>
        <w:pStyle w:val="Heading3"/>
        <w:pageBreakBefore w:val="0"/>
        <w:numPr>
          <w:ilvl w:val="2"/>
          <w:numId w:val="102"/>
        </w:numPr>
      </w:pPr>
      <w:r>
        <w:rPr>
          <w:rFonts w:ascii="KaiTi" w:hAnsi="KaiTi" w:eastAsia="楷体"/>
          <w:b/>
          <w:i w:val="0"/>
          <w:color w:val="1F4D78"/>
          <w:sz w:val="24"/>
        </w:rPr>
        <w:t>专科差异</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范围</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一期重点</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内分泌/代谢</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低血糖与高血糖急症、甲状腺功能异常、继发性病因、药物相关问题、微/大血管并发症线索</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普通骨科</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外伤机制、骨折/脱位、感染、神经血管受压、肿瘤/病理性骨折、红旗征</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普通妇科</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妊娠相关可能、异常子宫出血、盆腔疼痛、感染、扭转/破裂等急症、肿瘤风险</w:t>
            </w:r>
          </w:p>
        </w:tc>
      </w:tr>
    </w:tbl>
    <w:p>
      <w:pPr>
        <w:spacing w:after="40"/>
      </w:pPr>
    </w:p>
    <w:p>
      <w:r>
        <w:rPr>
          <w:rFonts w:ascii="KaiTi" w:hAnsi="KaiTi" w:eastAsia="楷体"/>
          <w:b w:val="0"/>
          <w:i w:val="0"/>
          <w:sz w:val="21"/>
        </w:rPr>
        <w:t>专科包只改变问题、规则、术语和模板，不改变统一输出 Schema 与确认流程。</w:t>
      </w:r>
    </w:p>
    <w:p>
      <w:pPr>
        <w:pStyle w:val="Heading3"/>
        <w:pageBreakBefore w:val="0"/>
        <w:numPr>
          <w:ilvl w:val="2"/>
          <w:numId w:val="102"/>
        </w:numPr>
      </w:pPr>
      <w:r>
        <w:rPr>
          <w:rFonts w:ascii="KaiTi" w:hAnsi="KaiTi" w:eastAsia="楷体"/>
          <w:b/>
          <w:i w:val="0"/>
          <w:color w:val="1F4D78"/>
          <w:sz w:val="24"/>
        </w:rPr>
        <w:t>失败与降级</w:t>
      </w:r>
    </w:p>
    <w:p>
      <w:pPr>
        <w:numPr>
          <w:ilvl w:val="0"/>
          <w:numId w:val="100"/>
        </w:numPr>
        <w:spacing w:after="160" w:line="280" w:lineRule="auto"/>
      </w:pPr>
      <w:r>
        <w:rPr>
          <w:rFonts w:ascii="KaiTi" w:hAnsi="KaiTi" w:eastAsia="楷体"/>
          <w:b w:val="0"/>
          <w:i w:val="0"/>
          <w:sz w:val="21"/>
        </w:rPr>
        <w:t>上下文不足：返回结构化缺失清单，不生成填充式诊断列表。</w:t>
      </w:r>
    </w:p>
    <w:p>
      <w:pPr>
        <w:numPr>
          <w:ilvl w:val="0"/>
          <w:numId w:val="100"/>
        </w:numPr>
        <w:spacing w:after="160" w:line="280" w:lineRule="auto"/>
      </w:pPr>
      <w:r>
        <w:rPr>
          <w:rFonts w:ascii="KaiTi" w:hAnsi="KaiTi" w:eastAsia="楷体"/>
          <w:b w:val="0"/>
          <w:i w:val="0"/>
          <w:sz w:val="21"/>
        </w:rPr>
        <w:t>术语服务不可用：展示诊断名称建议，禁用 ICD 确认并标注服务异常。</w:t>
      </w:r>
    </w:p>
    <w:p>
      <w:pPr>
        <w:numPr>
          <w:ilvl w:val="0"/>
          <w:numId w:val="100"/>
        </w:numPr>
        <w:spacing w:after="160" w:line="280" w:lineRule="auto"/>
      </w:pPr>
      <w:r>
        <w:rPr>
          <w:rFonts w:ascii="KaiTi" w:hAnsi="KaiTi" w:eastAsia="楷体"/>
          <w:b w:val="0"/>
          <w:i w:val="0"/>
          <w:sz w:val="21"/>
        </w:rPr>
        <w:t>Agent 超时或取消：保留医生已有诊断和上一次结果，显示结果时间与“可能已过期”。</w:t>
      </w:r>
    </w:p>
    <w:p>
      <w:pPr>
        <w:numPr>
          <w:ilvl w:val="0"/>
          <w:numId w:val="100"/>
        </w:numPr>
        <w:spacing w:after="160" w:line="280" w:lineRule="auto"/>
      </w:pPr>
      <w:r>
        <w:rPr>
          <w:rFonts w:ascii="KaiTi" w:hAnsi="KaiTi" w:eastAsia="楷体"/>
          <w:b w:val="0"/>
          <w:i w:val="0"/>
          <w:sz w:val="21"/>
        </w:rPr>
        <w:t>返回不合规：界面只显示“结果未通过安全校验”和可重试操作，不展示部分不可信内容。</w:t>
      </w:r>
    </w:p>
    <w:p>
      <w:pPr>
        <w:pStyle w:val="Heading3"/>
        <w:pageBreakBefore w:val="0"/>
        <w:numPr>
          <w:ilvl w:val="2"/>
          <w:numId w:val="102"/>
        </w:numPr>
      </w:pPr>
      <w:r>
        <w:rPr>
          <w:rFonts w:ascii="KaiTi" w:hAnsi="KaiTi" w:eastAsia="楷体"/>
          <w:b/>
          <w:i w:val="0"/>
          <w:color w:val="1F4D78"/>
          <w:sz w:val="24"/>
        </w:rPr>
        <w:t>验收标准</w:t>
      </w:r>
    </w:p>
    <w:p>
      <w:pPr>
        <w:numPr>
          <w:ilvl w:val="0"/>
          <w:numId w:val="100"/>
        </w:numPr>
        <w:spacing w:after="160" w:line="280" w:lineRule="auto"/>
      </w:pPr>
      <w:r>
        <w:rPr>
          <w:rFonts w:ascii="KaiTi" w:hAnsi="KaiTi" w:eastAsia="楷体"/>
          <w:b/>
          <w:i w:val="0"/>
          <w:sz w:val="21"/>
        </w:rPr>
        <w:t>AC-F04-001</w:t>
      </w:r>
      <w:r>
        <w:rPr>
          <w:rFonts w:ascii="KaiTi" w:hAnsi="KaiTi" w:eastAsia="楷体"/>
          <w:b w:val="0"/>
          <w:i w:val="0"/>
          <w:sz w:val="21"/>
        </w:rPr>
        <w:t xml:space="preserve"> 每个候选均可追溯到真实输入证据，并区分事实、推断和缺失。</w:t>
      </w:r>
    </w:p>
    <w:p>
      <w:pPr>
        <w:numPr>
          <w:ilvl w:val="0"/>
          <w:numId w:val="100"/>
        </w:numPr>
        <w:spacing w:after="160" w:line="280" w:lineRule="auto"/>
      </w:pPr>
      <w:r>
        <w:rPr>
          <w:rFonts w:ascii="KaiTi" w:hAnsi="KaiTi" w:eastAsia="楷体"/>
          <w:b/>
          <w:i w:val="0"/>
          <w:sz w:val="21"/>
        </w:rPr>
        <w:t>AC-F04-002</w:t>
      </w:r>
      <w:r>
        <w:rPr>
          <w:rFonts w:ascii="KaiTi" w:hAnsi="KaiTi" w:eastAsia="楷体"/>
          <w:b w:val="0"/>
          <w:i w:val="0"/>
          <w:sz w:val="21"/>
        </w:rPr>
        <w:t xml:space="preserve"> 医生可将候选送入 F05，且患者/就诊、名称、优先级、来源和原始结果 ID 保持一致。</w:t>
      </w:r>
    </w:p>
    <w:p>
      <w:pPr>
        <w:numPr>
          <w:ilvl w:val="0"/>
          <w:numId w:val="100"/>
        </w:numPr>
        <w:spacing w:after="160" w:line="280" w:lineRule="auto"/>
      </w:pPr>
      <w:r>
        <w:rPr>
          <w:rFonts w:ascii="KaiTi" w:hAnsi="KaiTi" w:eastAsia="楷体"/>
          <w:b/>
          <w:i w:val="0"/>
          <w:sz w:val="21"/>
        </w:rPr>
        <w:t>AC-F04-003</w:t>
      </w:r>
      <w:r>
        <w:rPr>
          <w:rFonts w:ascii="KaiTi" w:hAnsi="KaiTi" w:eastAsia="楷体"/>
          <w:b w:val="0"/>
          <w:i w:val="0"/>
          <w:sz w:val="21"/>
        </w:rPr>
        <w:t xml:space="preserve"> 关键事实修改后旧结果立即显示过期，刷新前不自动改写候选。</w:t>
      </w:r>
    </w:p>
    <w:p>
      <w:pPr>
        <w:numPr>
          <w:ilvl w:val="0"/>
          <w:numId w:val="100"/>
        </w:numPr>
        <w:spacing w:after="160" w:line="280" w:lineRule="auto"/>
      </w:pPr>
      <w:r>
        <w:rPr>
          <w:rFonts w:ascii="KaiTi" w:hAnsi="KaiTi" w:eastAsia="楷体"/>
          <w:b/>
          <w:i w:val="0"/>
          <w:sz w:val="21"/>
        </w:rPr>
        <w:t>AC-F04-004</w:t>
      </w:r>
      <w:r>
        <w:rPr>
          <w:rFonts w:ascii="KaiTi" w:hAnsi="KaiTi" w:eastAsia="楷体"/>
          <w:b w:val="0"/>
          <w:i w:val="0"/>
          <w:sz w:val="21"/>
        </w:rPr>
        <w:t xml:space="preserve"> 三个专科 Fixture 均能触发对应的不能漏诊分支和缺失信息提醒。</w:t>
      </w:r>
    </w:p>
    <w:p>
      <w:pPr>
        <w:numPr>
          <w:ilvl w:val="0"/>
          <w:numId w:val="100"/>
        </w:numPr>
        <w:spacing w:after="160" w:line="280" w:lineRule="auto"/>
      </w:pPr>
      <w:r>
        <w:rPr>
          <w:rFonts w:ascii="KaiTi" w:hAnsi="KaiTi" w:eastAsia="楷体"/>
          <w:b/>
          <w:i w:val="0"/>
          <w:sz w:val="21"/>
        </w:rPr>
        <w:t>AC-F04-005</w:t>
      </w:r>
      <w:r>
        <w:rPr>
          <w:rFonts w:ascii="KaiTi" w:hAnsi="KaiTi" w:eastAsia="楷体"/>
          <w:b w:val="0"/>
          <w:i w:val="0"/>
          <w:sz w:val="21"/>
        </w:rPr>
        <w:t xml:space="preserve"> 幻觉证据、错误患者、处方剂量和不合规 Schema 均被门禁阻止。</w:t>
      </w:r>
    </w:p>
    <w:p>
      <w:pPr>
        <w:numPr>
          <w:ilvl w:val="0"/>
          <w:numId w:val="100"/>
        </w:numPr>
        <w:spacing w:after="160" w:line="280" w:lineRule="auto"/>
      </w:pPr>
      <w:r>
        <w:rPr>
          <w:rFonts w:ascii="KaiTi" w:hAnsi="KaiTi" w:eastAsia="楷体"/>
          <w:b/>
          <w:i w:val="0"/>
          <w:sz w:val="21"/>
        </w:rPr>
        <w:t>AC-F04-006</w:t>
      </w:r>
      <w:r>
        <w:rPr>
          <w:rFonts w:ascii="KaiTi" w:hAnsi="KaiTi" w:eastAsia="楷体"/>
          <w:b w:val="0"/>
          <w:i w:val="0"/>
          <w:sz w:val="21"/>
        </w:rPr>
        <w:t xml:space="preserve"> 生成、查看证据、采纳、拒绝、重新提示与反馈均产生审计事件。</w:t>
      </w:r>
    </w:p>
    <w:p>
      <w:pPr>
        <w:pStyle w:val="Heading3"/>
        <w:pageBreakBefore w:val="0"/>
        <w:numPr>
          <w:ilvl w:val="2"/>
          <w:numId w:val="102"/>
        </w:numPr>
      </w:pPr>
      <w:r>
        <w:rPr>
          <w:rFonts w:ascii="KaiTi" w:hAnsi="KaiTi" w:eastAsia="楷体"/>
          <w:b/>
          <w:i w:val="0"/>
          <w:color w:val="1F4D78"/>
          <w:sz w:val="24"/>
        </w:rPr>
        <w:t>待确认</w:t>
      </w:r>
    </w:p>
    <w:p>
      <w:pPr>
        <w:numPr>
          <w:ilvl w:val="0"/>
          <w:numId w:val="100"/>
        </w:numPr>
        <w:spacing w:after="160" w:line="280" w:lineRule="auto"/>
      </w:pPr>
      <w:r>
        <w:rPr>
          <w:rFonts w:ascii="KaiTi" w:hAnsi="KaiTi" w:eastAsia="楷体"/>
          <w:b w:val="0"/>
          <w:i w:val="0"/>
          <w:sz w:val="21"/>
        </w:rPr>
        <w:t>“不能漏诊”诊断清单、分级和专科规则须由北大国际医院各专科负责人审核。</w:t>
      </w:r>
    </w:p>
    <w:p>
      <w:pPr>
        <w:numPr>
          <w:ilvl w:val="0"/>
          <w:numId w:val="100"/>
        </w:numPr>
        <w:spacing w:after="160" w:line="280" w:lineRule="auto"/>
      </w:pPr>
      <w:r>
        <w:rPr>
          <w:rFonts w:ascii="KaiTi" w:hAnsi="KaiTi" w:eastAsia="楷体"/>
          <w:b w:val="0"/>
          <w:i w:val="0"/>
          <w:sz w:val="21"/>
        </w:rPr>
        <w:t>ICD 版本、医院诊断字典、术语服务接口及诊断名称规范。</w:t>
      </w:r>
    </w:p>
    <w:p>
      <w:pPr>
        <w:numPr>
          <w:ilvl w:val="0"/>
          <w:numId w:val="100"/>
        </w:numPr>
        <w:spacing w:after="160" w:line="280" w:lineRule="auto"/>
      </w:pPr>
      <w:r>
        <w:rPr>
          <w:rFonts w:ascii="KaiTi" w:hAnsi="KaiTi" w:eastAsia="楷体"/>
          <w:b w:val="0"/>
          <w:i w:val="0"/>
          <w:sz w:val="21"/>
        </w:rPr>
        <w:t>是否允许医生配置首屏候选数量和默认展开分组。</w:t>
      </w:r>
    </w:p>
    <w:p>
      <w:pPr>
        <w:pStyle w:val="Heading2"/>
        <w:pageBreakBefore/>
        <w:numPr>
          <w:ilvl w:val="1"/>
          <w:numId w:val="102"/>
        </w:numPr>
      </w:pPr>
      <w:r>
        <w:rPr>
          <w:rFonts w:ascii="KaiTi" w:hAnsi="KaiTi" w:eastAsia="楷体"/>
          <w:b/>
          <w:i w:val="0"/>
          <w:color w:val="1F4D78"/>
          <w:sz w:val="26"/>
        </w:rPr>
        <w:t>F05 诊断管理功能规格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diagnosis_management</w:t>
      </w:r>
      <w:r>
        <w:rPr>
          <w:rFonts w:ascii="KaiTi" w:hAnsi="KaiTi" w:eastAsia="楷体"/>
          <w:b w:val="0"/>
          <w:i w:val="0"/>
          <w:color w:val="596370"/>
          <w:sz w:val="19"/>
        </w:rPr>
        <w:t xml:space="preserve"> 结果类型：</w:t>
      </w:r>
      <w:r>
        <w:rPr>
          <w:rFonts w:ascii="KaiTi" w:hAnsi="KaiTi" w:eastAsia="楷体"/>
          <w:b/>
          <w:i w:val="0"/>
          <w:color w:val="596370"/>
          <w:sz w:val="19"/>
        </w:rPr>
        <w:t>diagnosis_management_advice</w:t>
      </w:r>
      <w:r>
        <w:rPr>
          <w:rFonts w:ascii="KaiTi" w:hAnsi="KaiTi" w:eastAsia="楷体"/>
          <w:b w:val="0"/>
          <w:i w:val="0"/>
          <w:color w:val="596370"/>
          <w:sz w:val="19"/>
        </w:rPr>
        <w:t xml:space="preserve"> 承载 Agent：</w:t>
      </w:r>
      <w:r>
        <w:rPr>
          <w:rFonts w:ascii="KaiTi" w:hAnsi="KaiTi" w:eastAsia="楷体"/>
          <w:b/>
          <w:i w:val="0"/>
          <w:color w:val="596370"/>
          <w:sz w:val="19"/>
        </w:rPr>
        <w:t>diagnosis_agent</w:t>
      </w:r>
    </w:p>
    <w:p>
      <w:pPr>
        <w:pStyle w:val="Heading3"/>
        <w:pageBreakBefore w:val="0"/>
        <w:numPr>
          <w:ilvl w:val="2"/>
          <w:numId w:val="102"/>
        </w:numPr>
      </w:pPr>
      <w:r>
        <w:rPr>
          <w:rFonts w:ascii="KaiTi" w:hAnsi="KaiTi" w:eastAsia="楷体"/>
          <w:b/>
          <w:i w:val="0"/>
          <w:color w:val="1F4D78"/>
          <w:sz w:val="24"/>
        </w:rPr>
        <w:t>目标与边界</w:t>
      </w:r>
    </w:p>
    <w:p>
      <w:r>
        <w:rPr>
          <w:rFonts w:ascii="KaiTi" w:hAnsi="KaiTi" w:eastAsia="楷体"/>
          <w:b w:val="0"/>
          <w:i w:val="0"/>
          <w:sz w:val="21"/>
        </w:rPr>
        <w:t>把医生确认的初步诊断、次要诊断和待排诊断组织成可管理的问题清单，支持新增、排序、确认、修订、排除和版本追踪，并提示诊断与病历、风险和医嘱草稿之间的不一致。</w:t>
      </w:r>
    </w:p>
    <w:p>
      <w:r>
        <w:rPr>
          <w:rFonts w:ascii="KaiTi" w:hAnsi="KaiTi" w:eastAsia="楷体"/>
          <w:b w:val="0"/>
          <w:i w:val="0"/>
          <w:sz w:val="21"/>
        </w:rPr>
        <w:t>诊断管理是医生主导的正式业务功能。Agent 可以给出管理建议，但不能自动新增、删除、确诊、排除或写回诊断。一期只模拟向 HIS/EMR 写回。</w:t>
      </w:r>
    </w:p>
    <w:p>
      <w:pPr>
        <w:pStyle w:val="Heading3"/>
        <w:pageBreakBefore w:val="0"/>
        <w:numPr>
          <w:ilvl w:val="2"/>
          <w:numId w:val="102"/>
        </w:numPr>
      </w:pPr>
      <w:r>
        <w:rPr>
          <w:rFonts w:ascii="KaiTi" w:hAnsi="KaiTi" w:eastAsia="楷体"/>
          <w:b/>
          <w:i w:val="0"/>
          <w:color w:val="1F4D78"/>
          <w:sz w:val="24"/>
        </w:rPr>
        <w:t>诊断状态模型</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状态</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含义</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允许的主要动作</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suggested</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AI 或规则建议，尚未进入医生诊断清单</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加入初步/待排、拒绝</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provisional</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医生确认的初步诊断</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设为主要、修订、转确诊、转待排、删除</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confirmed</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医生确认的诊断</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设为主要/次要、修订、标记历史</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rule_out</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待排诊断</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补充依据、转初步/确诊、排除</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excluded</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已排除，仅保留在历史轨迹</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恢复为待排</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historical</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既往诊断，不作为本次当前诊断</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关联共病、恢复为当前</w:t>
            </w:r>
          </w:p>
        </w:tc>
      </w:tr>
    </w:tbl>
    <w:p>
      <w:pPr>
        <w:spacing w:after="40"/>
      </w:pPr>
    </w:p>
    <w:p>
      <w:r>
        <w:rPr>
          <w:rFonts w:ascii="KaiTi" w:hAnsi="KaiTi" w:eastAsia="楷体"/>
          <w:b w:val="0"/>
          <w:i w:val="0"/>
          <w:sz w:val="21"/>
        </w:rPr>
        <w:t>主要诊断在任一有效版本中最多一个。删除与排除均为软删除，必须保留原因、操作者和版本。</w:t>
      </w:r>
    </w:p>
    <w:p>
      <w:pPr>
        <w:pStyle w:val="Heading3"/>
        <w:pageBreakBefore w:val="0"/>
        <w:numPr>
          <w:ilvl w:val="2"/>
          <w:numId w:val="102"/>
        </w:numPr>
      </w:pPr>
      <w:r>
        <w:rPr>
          <w:rFonts w:ascii="KaiTi" w:hAnsi="KaiTi" w:eastAsia="楷体"/>
          <w:b/>
          <w:i w:val="0"/>
          <w:color w:val="1F4D78"/>
          <w:sz w:val="24"/>
        </w:rPr>
        <w:t>功能需求</w:t>
      </w:r>
    </w:p>
    <w:p>
      <w:pPr>
        <w:numPr>
          <w:ilvl w:val="0"/>
          <w:numId w:val="100"/>
        </w:numPr>
        <w:spacing w:after="160" w:line="280" w:lineRule="auto"/>
      </w:pPr>
      <w:r>
        <w:rPr>
          <w:rFonts w:ascii="KaiTi" w:hAnsi="KaiTi" w:eastAsia="楷体"/>
          <w:b/>
          <w:i w:val="0"/>
          <w:sz w:val="21"/>
        </w:rPr>
        <w:t>FR-F05-001</w:t>
      </w:r>
      <w:r>
        <w:rPr>
          <w:rFonts w:ascii="KaiTi" w:hAnsi="KaiTi" w:eastAsia="楷体"/>
          <w:b w:val="0"/>
          <w:i w:val="0"/>
          <w:sz w:val="21"/>
        </w:rPr>
        <w:t xml:space="preserve"> 医生可手工新增诊断，也可从 F04 候选一键带入。</w:t>
      </w:r>
    </w:p>
    <w:p>
      <w:pPr>
        <w:numPr>
          <w:ilvl w:val="0"/>
          <w:numId w:val="100"/>
        </w:numPr>
        <w:spacing w:after="160" w:line="280" w:lineRule="auto"/>
      </w:pPr>
      <w:r>
        <w:rPr>
          <w:rFonts w:ascii="KaiTi" w:hAnsi="KaiTi" w:eastAsia="楷体"/>
          <w:b/>
          <w:i w:val="0"/>
          <w:sz w:val="21"/>
        </w:rPr>
        <w:t>FR-F05-002</w:t>
      </w:r>
      <w:r>
        <w:rPr>
          <w:rFonts w:ascii="KaiTi" w:hAnsi="KaiTi" w:eastAsia="楷体"/>
          <w:b w:val="0"/>
          <w:i w:val="0"/>
          <w:sz w:val="21"/>
        </w:rPr>
        <w:t xml:space="preserve"> 支持搜索医院诊断字典，选择标准名称和 ICD 编码，并允许记录医生自由文本补充。</w:t>
      </w:r>
    </w:p>
    <w:p>
      <w:pPr>
        <w:numPr>
          <w:ilvl w:val="0"/>
          <w:numId w:val="100"/>
        </w:numPr>
        <w:spacing w:after="160" w:line="280" w:lineRule="auto"/>
      </w:pPr>
      <w:r>
        <w:rPr>
          <w:rFonts w:ascii="KaiTi" w:hAnsi="KaiTi" w:eastAsia="楷体"/>
          <w:b/>
          <w:i w:val="0"/>
          <w:sz w:val="21"/>
        </w:rPr>
        <w:t>FR-F05-003</w:t>
      </w:r>
      <w:r>
        <w:rPr>
          <w:rFonts w:ascii="KaiTi" w:hAnsi="KaiTi" w:eastAsia="楷体"/>
          <w:b w:val="0"/>
          <w:i w:val="0"/>
          <w:sz w:val="21"/>
        </w:rPr>
        <w:t xml:space="preserve"> 支持设置主要/次要顺序、状态、起病时间和关联证据。</w:t>
      </w:r>
    </w:p>
    <w:p>
      <w:pPr>
        <w:numPr>
          <w:ilvl w:val="0"/>
          <w:numId w:val="100"/>
        </w:numPr>
        <w:spacing w:after="160" w:line="280" w:lineRule="auto"/>
      </w:pPr>
      <w:r>
        <w:rPr>
          <w:rFonts w:ascii="KaiTi" w:hAnsi="KaiTi" w:eastAsia="楷体"/>
          <w:b/>
          <w:i w:val="0"/>
          <w:sz w:val="21"/>
        </w:rPr>
        <w:t>FR-F05-004</w:t>
      </w:r>
      <w:r>
        <w:rPr>
          <w:rFonts w:ascii="KaiTi" w:hAnsi="KaiTi" w:eastAsia="楷体"/>
          <w:b w:val="0"/>
          <w:i w:val="0"/>
          <w:sz w:val="21"/>
        </w:rPr>
        <w:t xml:space="preserve"> 支持查看每次变更前后差异、来源、理由、操作者和时间。</w:t>
      </w:r>
    </w:p>
    <w:p>
      <w:pPr>
        <w:numPr>
          <w:ilvl w:val="0"/>
          <w:numId w:val="100"/>
        </w:numPr>
        <w:spacing w:after="160" w:line="280" w:lineRule="auto"/>
      </w:pPr>
      <w:r>
        <w:rPr>
          <w:rFonts w:ascii="KaiTi" w:hAnsi="KaiTi" w:eastAsia="楷体"/>
          <w:b/>
          <w:i w:val="0"/>
          <w:sz w:val="21"/>
        </w:rPr>
        <w:t>FR-F05-005</w:t>
      </w:r>
      <w:r>
        <w:rPr>
          <w:rFonts w:ascii="KaiTi" w:hAnsi="KaiTi" w:eastAsia="楷体"/>
          <w:b w:val="0"/>
          <w:i w:val="0"/>
          <w:sz w:val="21"/>
        </w:rPr>
        <w:t xml:space="preserve"> 提交前校验主要诊断唯一性、必填项、编码有效性和风险一致性。</w:t>
      </w:r>
    </w:p>
    <w:p>
      <w:pPr>
        <w:numPr>
          <w:ilvl w:val="0"/>
          <w:numId w:val="100"/>
        </w:numPr>
        <w:spacing w:after="160" w:line="280" w:lineRule="auto"/>
      </w:pPr>
      <w:r>
        <w:rPr>
          <w:rFonts w:ascii="KaiTi" w:hAnsi="KaiTi" w:eastAsia="楷体"/>
          <w:b/>
          <w:i w:val="0"/>
          <w:sz w:val="21"/>
        </w:rPr>
        <w:t>FR-F05-006</w:t>
      </w:r>
      <w:r>
        <w:rPr>
          <w:rFonts w:ascii="KaiTi" w:hAnsi="KaiTi" w:eastAsia="楷体"/>
          <w:b w:val="0"/>
          <w:i w:val="0"/>
          <w:sz w:val="21"/>
        </w:rPr>
        <w:t xml:space="preserve"> 生成模拟写回回执，并允许在回执失败后安全重试。</w:t>
      </w:r>
    </w:p>
    <w:p>
      <w:pPr>
        <w:pStyle w:val="Heading3"/>
        <w:pageBreakBefore w:val="0"/>
        <w:numPr>
          <w:ilvl w:val="2"/>
          <w:numId w:val="102"/>
        </w:numPr>
      </w:pPr>
      <w:r>
        <w:rPr>
          <w:rFonts w:ascii="KaiTi" w:hAnsi="KaiTi" w:eastAsia="楷体"/>
          <w:b/>
          <w:i w:val="0"/>
          <w:color w:val="1F4D78"/>
          <w:sz w:val="24"/>
        </w:rPr>
        <w:t>UI/UX 要求</w:t>
      </w:r>
    </w:p>
    <w:p>
      <w:pPr>
        <w:numPr>
          <w:ilvl w:val="0"/>
          <w:numId w:val="100"/>
        </w:numPr>
        <w:spacing w:after="160" w:line="280" w:lineRule="auto"/>
      </w:pPr>
      <w:r>
        <w:rPr>
          <w:rFonts w:ascii="KaiTi" w:hAnsi="KaiTi" w:eastAsia="楷体"/>
          <w:b/>
          <w:i w:val="0"/>
          <w:sz w:val="21"/>
        </w:rPr>
        <w:t>UX-F05-001</w:t>
      </w:r>
      <w:r>
        <w:rPr>
          <w:rFonts w:ascii="KaiTi" w:hAnsi="KaiTi" w:eastAsia="楷体"/>
          <w:b w:val="0"/>
          <w:i w:val="0"/>
          <w:sz w:val="21"/>
        </w:rPr>
        <w:t xml:space="preserve"> 使用一份诊断清单，分为“本次诊断”“待排”“既往/已排除”；不另开第二个 AI 诊断面板。</w:t>
      </w:r>
    </w:p>
    <w:p>
      <w:pPr>
        <w:numPr>
          <w:ilvl w:val="0"/>
          <w:numId w:val="100"/>
        </w:numPr>
        <w:spacing w:after="160" w:line="280" w:lineRule="auto"/>
      </w:pPr>
      <w:r>
        <w:rPr>
          <w:rFonts w:ascii="KaiTi" w:hAnsi="KaiTi" w:eastAsia="楷体"/>
          <w:b/>
          <w:i w:val="0"/>
          <w:sz w:val="21"/>
        </w:rPr>
        <w:t>UX-F05-002</w:t>
      </w:r>
      <w:r>
        <w:rPr>
          <w:rFonts w:ascii="KaiTi" w:hAnsi="KaiTi" w:eastAsia="楷体"/>
          <w:b w:val="0"/>
          <w:i w:val="0"/>
          <w:sz w:val="21"/>
        </w:rPr>
        <w:t xml:space="preserve"> AI 建议以内嵌提示或候选抽屉进入；送入清单后明确显示“来源于 AI、已由医生确认”。</w:t>
      </w:r>
    </w:p>
    <w:p>
      <w:pPr>
        <w:numPr>
          <w:ilvl w:val="0"/>
          <w:numId w:val="100"/>
        </w:numPr>
        <w:spacing w:after="160" w:line="280" w:lineRule="auto"/>
      </w:pPr>
      <w:r>
        <w:rPr>
          <w:rFonts w:ascii="KaiTi" w:hAnsi="KaiTi" w:eastAsia="楷体"/>
          <w:b/>
          <w:i w:val="0"/>
          <w:sz w:val="21"/>
        </w:rPr>
        <w:t>UX-F05-003</w:t>
      </w:r>
      <w:r>
        <w:rPr>
          <w:rFonts w:ascii="KaiTi" w:hAnsi="KaiTi" w:eastAsia="楷体"/>
          <w:b w:val="0"/>
          <w:i w:val="0"/>
          <w:sz w:val="21"/>
        </w:rPr>
        <w:t xml:space="preserve"> 每行显示名称、编码、状态、主次、来源和一致性提示；复杂证据在下钻抽屉展示。</w:t>
      </w:r>
    </w:p>
    <w:p>
      <w:pPr>
        <w:numPr>
          <w:ilvl w:val="0"/>
          <w:numId w:val="100"/>
        </w:numPr>
        <w:spacing w:after="160" w:line="280" w:lineRule="auto"/>
      </w:pPr>
      <w:r>
        <w:rPr>
          <w:rFonts w:ascii="KaiTi" w:hAnsi="KaiTi" w:eastAsia="楷体"/>
          <w:b/>
          <w:i w:val="0"/>
          <w:sz w:val="21"/>
        </w:rPr>
        <w:t>UX-F05-004</w:t>
      </w:r>
      <w:r>
        <w:rPr>
          <w:rFonts w:ascii="KaiTi" w:hAnsi="KaiTi" w:eastAsia="楷体"/>
          <w:b w:val="0"/>
          <w:i w:val="0"/>
          <w:sz w:val="21"/>
        </w:rPr>
        <w:t xml:space="preserve"> 修改主要诊断、删除、排除和覆盖冲突均需填写或选择原因；常用原因可快捷选择。</w:t>
      </w:r>
    </w:p>
    <w:p>
      <w:pPr>
        <w:numPr>
          <w:ilvl w:val="0"/>
          <w:numId w:val="100"/>
        </w:numPr>
        <w:spacing w:after="160" w:line="280" w:lineRule="auto"/>
      </w:pPr>
      <w:r>
        <w:rPr>
          <w:rFonts w:ascii="KaiTi" w:hAnsi="KaiTi" w:eastAsia="楷体"/>
          <w:b/>
          <w:i w:val="0"/>
          <w:sz w:val="21"/>
        </w:rPr>
        <w:t>UX-F05-005</w:t>
      </w:r>
      <w:r>
        <w:rPr>
          <w:rFonts w:ascii="KaiTi" w:hAnsi="KaiTi" w:eastAsia="楷体"/>
          <w:b w:val="0"/>
          <w:i w:val="0"/>
          <w:sz w:val="21"/>
        </w:rPr>
        <w:t xml:space="preserve"> 模拟写回按钮文案为“提交模拟写回”，确认框和回执均显示目标系统与 </w:t>
      </w:r>
      <w:r>
        <w:rPr>
          <w:rFonts w:ascii="KaiTi" w:hAnsi="KaiTi" w:eastAsia="楷体"/>
          <w:b/>
          <w:i w:val="0"/>
          <w:sz w:val="21"/>
        </w:rPr>
        <w:t>mode=mock</w:t>
      </w:r>
      <w:r>
        <w:rPr>
          <w:rFonts w:ascii="KaiTi" w:hAnsi="KaiTi" w:eastAsia="楷体"/>
          <w:b w:val="0"/>
          <w:i w:val="0"/>
          <w:sz w:val="21"/>
        </w:rPr>
        <w:t>。</w:t>
      </w:r>
    </w:p>
    <w:p>
      <w:pPr>
        <w:numPr>
          <w:ilvl w:val="0"/>
          <w:numId w:val="100"/>
        </w:numPr>
        <w:spacing w:after="160" w:line="280" w:lineRule="auto"/>
      </w:pPr>
      <w:r>
        <w:rPr>
          <w:rFonts w:ascii="KaiTi" w:hAnsi="KaiTi" w:eastAsia="楷体"/>
          <w:b/>
          <w:i w:val="0"/>
          <w:sz w:val="21"/>
        </w:rPr>
        <w:t>UX-F05-006</w:t>
      </w:r>
      <w:r>
        <w:rPr>
          <w:rFonts w:ascii="KaiTi" w:hAnsi="KaiTi" w:eastAsia="楷体"/>
          <w:b w:val="0"/>
          <w:i w:val="0"/>
          <w:sz w:val="21"/>
        </w:rPr>
        <w:t xml:space="preserve"> 冲突不是普通 Toast：在对应诊断行显示可处理的问题，并提供“查看差异/保留当前/合并”操作。</w:t>
      </w:r>
    </w:p>
    <w:p>
      <w:pPr>
        <w:pStyle w:val="Heading3"/>
        <w:pageBreakBefore w:val="0"/>
        <w:numPr>
          <w:ilvl w:val="2"/>
          <w:numId w:val="102"/>
        </w:numPr>
      </w:pPr>
      <w:r>
        <w:rPr>
          <w:rFonts w:ascii="KaiTi" w:hAnsi="KaiTi" w:eastAsia="楷体"/>
          <w:b/>
          <w:i w:val="0"/>
          <w:color w:val="1F4D78"/>
          <w:sz w:val="24"/>
        </w:rPr>
        <w:t>业务和安全规则</w:t>
      </w:r>
    </w:p>
    <w:p>
      <w:pPr>
        <w:numPr>
          <w:ilvl w:val="0"/>
          <w:numId w:val="100"/>
        </w:numPr>
        <w:spacing w:after="160" w:line="280" w:lineRule="auto"/>
      </w:pPr>
      <w:r>
        <w:rPr>
          <w:rFonts w:ascii="KaiTi" w:hAnsi="KaiTi" w:eastAsia="楷体"/>
          <w:b/>
          <w:i w:val="0"/>
          <w:sz w:val="21"/>
        </w:rPr>
        <w:t>BR-F05-001</w:t>
      </w:r>
      <w:r>
        <w:rPr>
          <w:rFonts w:ascii="KaiTi" w:hAnsi="KaiTi" w:eastAsia="楷体"/>
          <w:b w:val="0"/>
          <w:i w:val="0"/>
          <w:sz w:val="21"/>
        </w:rPr>
        <w:t xml:space="preserve"> F04 候选必须经过医生动作才能从 </w:t>
      </w:r>
      <w:r>
        <w:rPr>
          <w:rFonts w:ascii="KaiTi" w:hAnsi="KaiTi" w:eastAsia="楷体"/>
          <w:b/>
          <w:i w:val="0"/>
          <w:sz w:val="21"/>
        </w:rPr>
        <w:t>suggested</w:t>
      </w:r>
      <w:r>
        <w:rPr>
          <w:rFonts w:ascii="KaiTi" w:hAnsi="KaiTi" w:eastAsia="楷体"/>
          <w:b w:val="0"/>
          <w:i w:val="0"/>
          <w:sz w:val="21"/>
        </w:rPr>
        <w:t xml:space="preserve"> 进入诊断清单。</w:t>
      </w:r>
    </w:p>
    <w:p>
      <w:pPr>
        <w:numPr>
          <w:ilvl w:val="0"/>
          <w:numId w:val="100"/>
        </w:numPr>
        <w:spacing w:after="160" w:line="280" w:lineRule="auto"/>
      </w:pPr>
      <w:r>
        <w:rPr>
          <w:rFonts w:ascii="KaiTi" w:hAnsi="KaiTi" w:eastAsia="楷体"/>
          <w:b/>
          <w:i w:val="0"/>
          <w:sz w:val="21"/>
        </w:rPr>
        <w:t>BR-F05-002</w:t>
      </w:r>
      <w:r>
        <w:rPr>
          <w:rFonts w:ascii="KaiTi" w:hAnsi="KaiTi" w:eastAsia="楷体"/>
          <w:b w:val="0"/>
          <w:i w:val="0"/>
          <w:sz w:val="21"/>
        </w:rPr>
        <w:t xml:space="preserve"> 同一标准诊断不得重复；同名不同编码或同编码不同名必须提示人工合并。</w:t>
      </w:r>
    </w:p>
    <w:p>
      <w:pPr>
        <w:numPr>
          <w:ilvl w:val="0"/>
          <w:numId w:val="100"/>
        </w:numPr>
        <w:spacing w:after="160" w:line="280" w:lineRule="auto"/>
      </w:pPr>
      <w:r>
        <w:rPr>
          <w:rFonts w:ascii="KaiTi" w:hAnsi="KaiTi" w:eastAsia="楷体"/>
          <w:b/>
          <w:i w:val="0"/>
          <w:sz w:val="21"/>
        </w:rPr>
        <w:t>BR-F05-003</w:t>
      </w:r>
      <w:r>
        <w:rPr>
          <w:rFonts w:ascii="KaiTi" w:hAnsi="KaiTi" w:eastAsia="楷体"/>
          <w:b w:val="0"/>
          <w:i w:val="0"/>
          <w:sz w:val="21"/>
        </w:rPr>
        <w:t xml:space="preserve"> 就诊诊断与既往诊断不可因名称相似自动合并。</w:t>
      </w:r>
    </w:p>
    <w:p>
      <w:pPr>
        <w:numPr>
          <w:ilvl w:val="0"/>
          <w:numId w:val="100"/>
        </w:numPr>
        <w:spacing w:after="160" w:line="280" w:lineRule="auto"/>
      </w:pPr>
      <w:r>
        <w:rPr>
          <w:rFonts w:ascii="KaiTi" w:hAnsi="KaiTi" w:eastAsia="楷体"/>
          <w:b/>
          <w:i w:val="0"/>
          <w:sz w:val="21"/>
        </w:rPr>
        <w:t>BR-F05-004</w:t>
      </w:r>
      <w:r>
        <w:rPr>
          <w:rFonts w:ascii="KaiTi" w:hAnsi="KaiTi" w:eastAsia="楷体"/>
          <w:b w:val="0"/>
          <w:i w:val="0"/>
          <w:sz w:val="21"/>
        </w:rPr>
        <w:t xml:space="preserve"> 诊断变更后发布 </w:t>
      </w:r>
      <w:r>
        <w:rPr>
          <w:rFonts w:ascii="KaiTi" w:hAnsi="KaiTi" w:eastAsia="楷体"/>
          <w:b/>
          <w:i w:val="0"/>
          <w:sz w:val="21"/>
        </w:rPr>
        <w:t>diagnosis.changed</w:t>
      </w:r>
      <w:r>
        <w:rPr>
          <w:rFonts w:ascii="KaiTi" w:hAnsi="KaiTi" w:eastAsia="楷体"/>
          <w:b w:val="0"/>
          <w:i w:val="0"/>
          <w:sz w:val="21"/>
        </w:rPr>
        <w:t xml:space="preserve"> 事件，通知 F02、F03、F06、F07 检查是否过期；不得自动覆盖其内容。</w:t>
      </w:r>
    </w:p>
    <w:p>
      <w:pPr>
        <w:numPr>
          <w:ilvl w:val="0"/>
          <w:numId w:val="100"/>
        </w:numPr>
        <w:spacing w:after="160" w:line="280" w:lineRule="auto"/>
      </w:pPr>
      <w:r>
        <w:rPr>
          <w:rFonts w:ascii="KaiTi" w:hAnsi="KaiTi" w:eastAsia="楷体"/>
          <w:b/>
          <w:i w:val="0"/>
          <w:sz w:val="21"/>
        </w:rPr>
        <w:t>BR-F05-005</w:t>
      </w:r>
      <w:r>
        <w:rPr>
          <w:rFonts w:ascii="KaiTi" w:hAnsi="KaiTi" w:eastAsia="楷体"/>
          <w:b w:val="0"/>
          <w:i w:val="0"/>
          <w:sz w:val="21"/>
        </w:rPr>
        <w:t xml:space="preserve"> 采用 </w:t>
      </w:r>
      <w:r>
        <w:rPr>
          <w:rFonts w:ascii="KaiTi" w:hAnsi="KaiTi" w:eastAsia="楷体"/>
          <w:b/>
          <w:i w:val="0"/>
          <w:sz w:val="21"/>
        </w:rPr>
        <w:t>diagnosis_set_version</w:t>
      </w:r>
      <w:r>
        <w:rPr>
          <w:rFonts w:ascii="KaiTi" w:hAnsi="KaiTi" w:eastAsia="楷体"/>
          <w:b w:val="0"/>
          <w:i w:val="0"/>
          <w:sz w:val="21"/>
        </w:rPr>
        <w:t xml:space="preserve"> 乐观锁；过期版本提交返回逐项差异。</w:t>
      </w:r>
    </w:p>
    <w:p>
      <w:pPr>
        <w:numPr>
          <w:ilvl w:val="0"/>
          <w:numId w:val="100"/>
        </w:numPr>
        <w:spacing w:after="160" w:line="280" w:lineRule="auto"/>
      </w:pPr>
      <w:r>
        <w:rPr>
          <w:rFonts w:ascii="KaiTi" w:hAnsi="KaiTi" w:eastAsia="楷体"/>
          <w:b/>
          <w:i w:val="0"/>
          <w:sz w:val="21"/>
        </w:rPr>
        <w:t>SAFE-F05-001</w:t>
      </w:r>
      <w:r>
        <w:rPr>
          <w:rFonts w:ascii="KaiTi" w:hAnsi="KaiTi" w:eastAsia="楷体"/>
          <w:b w:val="0"/>
          <w:i w:val="0"/>
          <w:sz w:val="21"/>
        </w:rPr>
        <w:t xml:space="preserve"> 红色风险未处置时禁止模拟写回诊断；黄色风险必须已阅、处理或留痕。</w:t>
      </w:r>
    </w:p>
    <w:p>
      <w:pPr>
        <w:numPr>
          <w:ilvl w:val="0"/>
          <w:numId w:val="100"/>
        </w:numPr>
        <w:spacing w:after="160" w:line="280" w:lineRule="auto"/>
      </w:pPr>
      <w:r>
        <w:rPr>
          <w:rFonts w:ascii="KaiTi" w:hAnsi="KaiTi" w:eastAsia="楷体"/>
          <w:b/>
          <w:i w:val="0"/>
          <w:sz w:val="21"/>
        </w:rPr>
        <w:t>SAFE-F05-002</w:t>
      </w:r>
      <w:r>
        <w:rPr>
          <w:rFonts w:ascii="KaiTi" w:hAnsi="KaiTi" w:eastAsia="楷体"/>
          <w:b w:val="0"/>
          <w:i w:val="0"/>
          <w:sz w:val="21"/>
        </w:rPr>
        <w:t xml:space="preserve"> 患者/就诊校验失败、编码服务异常、版本冲突或 Schema 不合规时禁止写回。</w:t>
      </w:r>
    </w:p>
    <w:p>
      <w:pPr>
        <w:numPr>
          <w:ilvl w:val="0"/>
          <w:numId w:val="100"/>
        </w:numPr>
        <w:spacing w:after="160" w:line="280" w:lineRule="auto"/>
      </w:pPr>
      <w:r>
        <w:rPr>
          <w:rFonts w:ascii="KaiTi" w:hAnsi="KaiTi" w:eastAsia="楷体"/>
          <w:b/>
          <w:i w:val="0"/>
          <w:sz w:val="21"/>
        </w:rPr>
        <w:t>SAFE-F05-003</w:t>
      </w:r>
      <w:r>
        <w:rPr>
          <w:rFonts w:ascii="KaiTi" w:hAnsi="KaiTi" w:eastAsia="楷体"/>
          <w:b w:val="0"/>
          <w:i w:val="0"/>
          <w:sz w:val="21"/>
        </w:rPr>
        <w:t xml:space="preserve"> 妊娠状态等关键上下文不明且会改变诊断含义时，须保留待排或提示澄清。</w:t>
      </w:r>
    </w:p>
    <w:p>
      <w:pPr>
        <w:pStyle w:val="Heading3"/>
        <w:pageBreakBefore w:val="0"/>
        <w:numPr>
          <w:ilvl w:val="2"/>
          <w:numId w:val="102"/>
        </w:numPr>
      </w:pPr>
      <w:r>
        <w:rPr>
          <w:rFonts w:ascii="KaiTi" w:hAnsi="KaiTi" w:eastAsia="楷体"/>
          <w:b/>
          <w:i w:val="0"/>
          <w:color w:val="1F4D78"/>
          <w:sz w:val="24"/>
        </w:rPr>
        <w:t>一致性检查</w:t>
      </w:r>
    </w:p>
    <w:p>
      <w:r>
        <w:rPr>
          <w:rFonts w:ascii="KaiTi" w:hAnsi="KaiTi" w:eastAsia="楷体"/>
          <w:b w:val="0"/>
          <w:i w:val="0"/>
          <w:sz w:val="21"/>
        </w:rPr>
        <w:t>提交前至少检查：</w:t>
      </w:r>
    </w:p>
    <w:p>
      <w:pPr>
        <w:numPr>
          <w:ilvl w:val="0"/>
          <w:numId w:val="111"/>
        </w:numPr>
        <w:spacing w:after="160" w:line="280" w:lineRule="auto"/>
      </w:pPr>
      <w:r>
        <w:rPr>
          <w:rFonts w:ascii="KaiTi" w:hAnsi="KaiTi" w:eastAsia="楷体"/>
          <w:b w:val="0"/>
          <w:i w:val="0"/>
          <w:sz w:val="21"/>
        </w:rPr>
        <w:t>诊断与主诉、现病史、体征、检验检查是否存在明显矛盾。</w:t>
      </w:r>
    </w:p>
    <w:p>
      <w:pPr>
        <w:numPr>
          <w:ilvl w:val="0"/>
          <w:numId w:val="111"/>
        </w:numPr>
        <w:spacing w:after="160" w:line="280" w:lineRule="auto"/>
      </w:pPr>
      <w:r>
        <w:rPr>
          <w:rFonts w:ascii="KaiTi" w:hAnsi="KaiTi" w:eastAsia="楷体"/>
          <w:b w:val="0"/>
          <w:i w:val="0"/>
          <w:sz w:val="21"/>
        </w:rPr>
        <w:t>诊断状态是否被病历草稿错误表述为确诊。</w:t>
      </w:r>
    </w:p>
    <w:p>
      <w:pPr>
        <w:numPr>
          <w:ilvl w:val="0"/>
          <w:numId w:val="111"/>
        </w:numPr>
        <w:spacing w:after="160" w:line="280" w:lineRule="auto"/>
      </w:pPr>
      <w:r>
        <w:rPr>
          <w:rFonts w:ascii="KaiTi" w:hAnsi="KaiTi" w:eastAsia="楷体"/>
          <w:b w:val="0"/>
          <w:i w:val="0"/>
          <w:sz w:val="21"/>
        </w:rPr>
        <w:t>主要诊断是否唯一、编码是否有效、排序是否完整。</w:t>
      </w:r>
    </w:p>
    <w:p>
      <w:pPr>
        <w:numPr>
          <w:ilvl w:val="0"/>
          <w:numId w:val="111"/>
        </w:numPr>
        <w:spacing w:after="160" w:line="280" w:lineRule="auto"/>
      </w:pPr>
      <w:r>
        <w:rPr>
          <w:rFonts w:ascii="KaiTi" w:hAnsi="KaiTi" w:eastAsia="楷体"/>
          <w:b w:val="0"/>
          <w:i w:val="0"/>
          <w:sz w:val="21"/>
        </w:rPr>
        <w:t>红/黄风险与诊断清单是否相互引用且处置状态一致。</w:t>
      </w:r>
    </w:p>
    <w:p>
      <w:pPr>
        <w:numPr>
          <w:ilvl w:val="0"/>
          <w:numId w:val="111"/>
        </w:numPr>
        <w:spacing w:after="160" w:line="280" w:lineRule="auto"/>
      </w:pPr>
      <w:r>
        <w:rPr>
          <w:rFonts w:ascii="KaiTi" w:hAnsi="KaiTi" w:eastAsia="楷体"/>
          <w:b w:val="0"/>
          <w:i w:val="0"/>
          <w:sz w:val="21"/>
        </w:rPr>
        <w:t>共病是否被误当成本次主要诊断，或本次重要共病是否遗漏。</w:t>
      </w:r>
    </w:p>
    <w:p>
      <w:pPr>
        <w:numPr>
          <w:ilvl w:val="0"/>
          <w:numId w:val="111"/>
        </w:numPr>
        <w:spacing w:after="160" w:line="280" w:lineRule="auto"/>
      </w:pPr>
      <w:r>
        <w:rPr>
          <w:rFonts w:ascii="KaiTi" w:hAnsi="KaiTi" w:eastAsia="楷体"/>
          <w:b w:val="0"/>
          <w:i w:val="0"/>
          <w:sz w:val="21"/>
        </w:rPr>
        <w:t>当前诊断版本是否与准备提交的病历/医嘱草稿处于同一就诊快照。</w:t>
      </w:r>
    </w:p>
    <w:p>
      <w:r>
        <w:rPr>
          <w:rFonts w:ascii="KaiTi" w:hAnsi="KaiTi" w:eastAsia="楷体"/>
          <w:b w:val="0"/>
          <w:i w:val="0"/>
          <w:sz w:val="21"/>
        </w:rPr>
        <w:t>一致性检查输出是问题列表，医生可处理、忽略并留因，不自动修改诊断。</w:t>
      </w:r>
    </w:p>
    <w:p>
      <w:pPr>
        <w:pStyle w:val="Heading3"/>
        <w:pageBreakBefore w:val="0"/>
        <w:numPr>
          <w:ilvl w:val="2"/>
          <w:numId w:val="102"/>
        </w:numPr>
      </w:pPr>
      <w:r>
        <w:rPr>
          <w:rFonts w:ascii="KaiTi" w:hAnsi="KaiTi" w:eastAsia="楷体"/>
          <w:b/>
          <w:i w:val="0"/>
          <w:color w:val="1F4D78"/>
          <w:sz w:val="24"/>
        </w:rPr>
        <w:t>失败、并发与恢复</w:t>
      </w:r>
    </w:p>
    <w:p>
      <w:pPr>
        <w:numPr>
          <w:ilvl w:val="0"/>
          <w:numId w:val="100"/>
        </w:numPr>
        <w:spacing w:after="160" w:line="280" w:lineRule="auto"/>
      </w:pPr>
      <w:r>
        <w:rPr>
          <w:rFonts w:ascii="KaiTi" w:hAnsi="KaiTi" w:eastAsia="楷体"/>
          <w:b w:val="0"/>
          <w:i w:val="0"/>
          <w:sz w:val="21"/>
        </w:rPr>
        <w:t>术语服务失败：允许保留未编码草稿，但禁止提交模拟写回。</w:t>
      </w:r>
    </w:p>
    <w:p>
      <w:pPr>
        <w:numPr>
          <w:ilvl w:val="0"/>
          <w:numId w:val="100"/>
        </w:numPr>
        <w:spacing w:after="160" w:line="280" w:lineRule="auto"/>
      </w:pPr>
      <w:r>
        <w:rPr>
          <w:rFonts w:ascii="KaiTi" w:hAnsi="KaiTi" w:eastAsia="楷体"/>
          <w:b w:val="0"/>
          <w:i w:val="0"/>
          <w:sz w:val="21"/>
        </w:rPr>
        <w:t>版本冲突：展示“我的版本/服务器版本/来源”三方差异，医生逐项决定。</w:t>
      </w:r>
    </w:p>
    <w:p>
      <w:pPr>
        <w:numPr>
          <w:ilvl w:val="0"/>
          <w:numId w:val="100"/>
        </w:numPr>
        <w:spacing w:after="160" w:line="280" w:lineRule="auto"/>
      </w:pPr>
      <w:r>
        <w:rPr>
          <w:rFonts w:ascii="KaiTi" w:hAnsi="KaiTi" w:eastAsia="楷体"/>
          <w:b w:val="0"/>
          <w:i w:val="0"/>
          <w:sz w:val="21"/>
        </w:rPr>
        <w:t>写回模拟超时：以幂等键查询结果后再允许重试，避免重复回执。</w:t>
      </w:r>
    </w:p>
    <w:p>
      <w:pPr>
        <w:numPr>
          <w:ilvl w:val="0"/>
          <w:numId w:val="100"/>
        </w:numPr>
        <w:spacing w:after="160" w:line="280" w:lineRule="auto"/>
      </w:pPr>
      <w:r>
        <w:rPr>
          <w:rFonts w:ascii="KaiTi" w:hAnsi="KaiTi" w:eastAsia="楷体"/>
          <w:b w:val="0"/>
          <w:i w:val="0"/>
          <w:sz w:val="21"/>
        </w:rPr>
        <w:t>Agent 不可用：不影响医生手工管理诊断；只隐藏或禁用 AI 建议入口。</w:t>
      </w:r>
    </w:p>
    <w:p>
      <w:pPr>
        <w:pStyle w:val="Heading3"/>
        <w:pageBreakBefore w:val="0"/>
        <w:numPr>
          <w:ilvl w:val="2"/>
          <w:numId w:val="102"/>
        </w:numPr>
      </w:pPr>
      <w:r>
        <w:rPr>
          <w:rFonts w:ascii="KaiTi" w:hAnsi="KaiTi" w:eastAsia="楷体"/>
          <w:b/>
          <w:i w:val="0"/>
          <w:color w:val="1F4D78"/>
          <w:sz w:val="24"/>
        </w:rPr>
        <w:t>验收标准</w:t>
      </w:r>
    </w:p>
    <w:p>
      <w:pPr>
        <w:numPr>
          <w:ilvl w:val="0"/>
          <w:numId w:val="100"/>
        </w:numPr>
        <w:spacing w:after="160" w:line="280" w:lineRule="auto"/>
      </w:pPr>
      <w:r>
        <w:rPr>
          <w:rFonts w:ascii="KaiTi" w:hAnsi="KaiTi" w:eastAsia="楷体"/>
          <w:b/>
          <w:i w:val="0"/>
          <w:sz w:val="21"/>
        </w:rPr>
        <w:t>AC-F05-001</w:t>
      </w:r>
      <w:r>
        <w:rPr>
          <w:rFonts w:ascii="KaiTi" w:hAnsi="KaiTi" w:eastAsia="楷体"/>
          <w:b w:val="0"/>
          <w:i w:val="0"/>
          <w:sz w:val="21"/>
        </w:rPr>
        <w:t xml:space="preserve"> 手工新增和 F04 带入均能形成可编辑诊断，且来源可追溯。</w:t>
      </w:r>
    </w:p>
    <w:p>
      <w:pPr>
        <w:numPr>
          <w:ilvl w:val="0"/>
          <w:numId w:val="100"/>
        </w:numPr>
        <w:spacing w:after="160" w:line="280" w:lineRule="auto"/>
      </w:pPr>
      <w:r>
        <w:rPr>
          <w:rFonts w:ascii="KaiTi" w:hAnsi="KaiTi" w:eastAsia="楷体"/>
          <w:b/>
          <w:i w:val="0"/>
          <w:sz w:val="21"/>
        </w:rPr>
        <w:t>AC-F05-002</w:t>
      </w:r>
      <w:r>
        <w:rPr>
          <w:rFonts w:ascii="KaiTi" w:hAnsi="KaiTi" w:eastAsia="楷体"/>
          <w:b w:val="0"/>
          <w:i w:val="0"/>
          <w:sz w:val="21"/>
        </w:rPr>
        <w:t xml:space="preserve"> 主要诊断唯一、状态流转和软删除规则均可验证。</w:t>
      </w:r>
    </w:p>
    <w:p>
      <w:pPr>
        <w:numPr>
          <w:ilvl w:val="0"/>
          <w:numId w:val="100"/>
        </w:numPr>
        <w:spacing w:after="160" w:line="280" w:lineRule="auto"/>
      </w:pPr>
      <w:r>
        <w:rPr>
          <w:rFonts w:ascii="KaiTi" w:hAnsi="KaiTi" w:eastAsia="楷体"/>
          <w:b/>
          <w:i w:val="0"/>
          <w:sz w:val="21"/>
        </w:rPr>
        <w:t>AC-F05-003</w:t>
      </w:r>
      <w:r>
        <w:rPr>
          <w:rFonts w:ascii="KaiTi" w:hAnsi="KaiTi" w:eastAsia="楷体"/>
          <w:b w:val="0"/>
          <w:i w:val="0"/>
          <w:sz w:val="21"/>
        </w:rPr>
        <w:t xml:space="preserve"> 诊断变化能令受影响的病情概况、病历、风险和共病结果标记过期。</w:t>
      </w:r>
    </w:p>
    <w:p>
      <w:pPr>
        <w:numPr>
          <w:ilvl w:val="0"/>
          <w:numId w:val="100"/>
        </w:numPr>
        <w:spacing w:after="160" w:line="280" w:lineRule="auto"/>
      </w:pPr>
      <w:r>
        <w:rPr>
          <w:rFonts w:ascii="KaiTi" w:hAnsi="KaiTi" w:eastAsia="楷体"/>
          <w:b/>
          <w:i w:val="0"/>
          <w:sz w:val="21"/>
        </w:rPr>
        <w:t>AC-F05-004</w:t>
      </w:r>
      <w:r>
        <w:rPr>
          <w:rFonts w:ascii="KaiTi" w:hAnsi="KaiTi" w:eastAsia="楷体"/>
          <w:b w:val="0"/>
          <w:i w:val="0"/>
          <w:sz w:val="21"/>
        </w:rPr>
        <w:t xml:space="preserve"> 编码异常、重复诊断、患者错配、版本冲突和未处置红色风险均阻止模拟写回。</w:t>
      </w:r>
    </w:p>
    <w:p>
      <w:pPr>
        <w:numPr>
          <w:ilvl w:val="0"/>
          <w:numId w:val="100"/>
        </w:numPr>
        <w:spacing w:after="160" w:line="280" w:lineRule="auto"/>
      </w:pPr>
      <w:r>
        <w:rPr>
          <w:rFonts w:ascii="KaiTi" w:hAnsi="KaiTi" w:eastAsia="楷体"/>
          <w:b/>
          <w:i w:val="0"/>
          <w:sz w:val="21"/>
        </w:rPr>
        <w:t>AC-F05-005</w:t>
      </w:r>
      <w:r>
        <w:rPr>
          <w:rFonts w:ascii="KaiTi" w:hAnsi="KaiTi" w:eastAsia="楷体"/>
          <w:b w:val="0"/>
          <w:i w:val="0"/>
          <w:sz w:val="21"/>
        </w:rPr>
        <w:t xml:space="preserve"> 模拟写回具备幂等性，回执包含请求 ID、版本、目标系统、模式、时间和结果。</w:t>
      </w:r>
    </w:p>
    <w:p>
      <w:pPr>
        <w:numPr>
          <w:ilvl w:val="0"/>
          <w:numId w:val="100"/>
        </w:numPr>
        <w:spacing w:after="160" w:line="280" w:lineRule="auto"/>
      </w:pPr>
      <w:r>
        <w:rPr>
          <w:rFonts w:ascii="KaiTi" w:hAnsi="KaiTi" w:eastAsia="楷体"/>
          <w:b/>
          <w:i w:val="0"/>
          <w:sz w:val="21"/>
        </w:rPr>
        <w:t>AC-F05-006</w:t>
      </w:r>
      <w:r>
        <w:rPr>
          <w:rFonts w:ascii="KaiTi" w:hAnsi="KaiTi" w:eastAsia="楷体"/>
          <w:b w:val="0"/>
          <w:i w:val="0"/>
          <w:sz w:val="21"/>
        </w:rPr>
        <w:t xml:space="preserve"> 所有诊断变更均可从审计记录还原前后状态。</w:t>
      </w:r>
    </w:p>
    <w:p>
      <w:pPr>
        <w:pStyle w:val="Heading3"/>
        <w:pageBreakBefore w:val="0"/>
        <w:numPr>
          <w:ilvl w:val="2"/>
          <w:numId w:val="102"/>
        </w:numPr>
      </w:pPr>
      <w:r>
        <w:rPr>
          <w:rFonts w:ascii="KaiTi" w:hAnsi="KaiTi" w:eastAsia="楷体"/>
          <w:b/>
          <w:i w:val="0"/>
          <w:color w:val="1F4D78"/>
          <w:sz w:val="24"/>
        </w:rPr>
        <w:t>待确认</w:t>
      </w:r>
    </w:p>
    <w:p>
      <w:pPr>
        <w:numPr>
          <w:ilvl w:val="0"/>
          <w:numId w:val="100"/>
        </w:numPr>
        <w:spacing w:after="160" w:line="280" w:lineRule="auto"/>
      </w:pPr>
      <w:r>
        <w:rPr>
          <w:rFonts w:ascii="KaiTi" w:hAnsi="KaiTi" w:eastAsia="楷体"/>
          <w:b w:val="0"/>
          <w:i w:val="0"/>
          <w:sz w:val="21"/>
        </w:rPr>
        <w:t>医院诊断字典、ICD 版本、主要诊断选择规则和门诊诊断提交约束。</w:t>
      </w:r>
    </w:p>
    <w:p>
      <w:pPr>
        <w:numPr>
          <w:ilvl w:val="0"/>
          <w:numId w:val="100"/>
        </w:numPr>
        <w:spacing w:after="160" w:line="280" w:lineRule="auto"/>
      </w:pPr>
      <w:r>
        <w:rPr>
          <w:rFonts w:ascii="KaiTi" w:hAnsi="KaiTi" w:eastAsia="楷体"/>
          <w:b w:val="0"/>
          <w:i w:val="0"/>
          <w:sz w:val="21"/>
        </w:rPr>
        <w:t>“删除”“排除”“转历史”的原因字典及哪些动作必须二次确认。</w:t>
      </w:r>
    </w:p>
    <w:p>
      <w:pPr>
        <w:numPr>
          <w:ilvl w:val="0"/>
          <w:numId w:val="100"/>
        </w:numPr>
        <w:spacing w:after="160" w:line="280" w:lineRule="auto"/>
      </w:pPr>
      <w:r>
        <w:rPr>
          <w:rFonts w:ascii="KaiTi" w:hAnsi="KaiTi" w:eastAsia="楷体"/>
          <w:b w:val="0"/>
          <w:i w:val="0"/>
          <w:sz w:val="21"/>
        </w:rPr>
        <w:t>正式环境 HIS/EMR 写回接口、电子签名与责任边界。</w:t>
      </w:r>
    </w:p>
    <w:p>
      <w:pPr>
        <w:pStyle w:val="Heading2"/>
        <w:pageBreakBefore/>
        <w:numPr>
          <w:ilvl w:val="1"/>
          <w:numId w:val="102"/>
        </w:numPr>
      </w:pPr>
      <w:r>
        <w:rPr>
          <w:rFonts w:ascii="KaiTi" w:hAnsi="KaiTi" w:eastAsia="楷体"/>
          <w:b/>
          <w:i w:val="0"/>
          <w:color w:val="1F4D78"/>
          <w:sz w:val="26"/>
        </w:rPr>
        <w:t>F06 风险管理功能规格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risk_assessment</w:t>
      </w:r>
      <w:r>
        <w:rPr>
          <w:rFonts w:ascii="KaiTi" w:hAnsi="KaiTi" w:eastAsia="楷体"/>
          <w:b w:val="0"/>
          <w:i w:val="0"/>
          <w:color w:val="596370"/>
          <w:sz w:val="19"/>
        </w:rPr>
        <w:t xml:space="preserve"> 结果类型：</w:t>
      </w:r>
      <w:r>
        <w:rPr>
          <w:rFonts w:ascii="KaiTi" w:hAnsi="KaiTi" w:eastAsia="楷体"/>
          <w:b/>
          <w:i w:val="0"/>
          <w:color w:val="596370"/>
          <w:sz w:val="19"/>
        </w:rPr>
        <w:t>risk_items</w:t>
      </w:r>
      <w:r>
        <w:rPr>
          <w:rFonts w:ascii="KaiTi" w:hAnsi="KaiTi" w:eastAsia="楷体"/>
          <w:b w:val="0"/>
          <w:i w:val="0"/>
          <w:color w:val="596370"/>
          <w:sz w:val="19"/>
        </w:rPr>
        <w:t xml:space="preserve"> 承载 Agent：</w:t>
      </w:r>
      <w:r>
        <w:rPr>
          <w:rFonts w:ascii="KaiTi" w:hAnsi="KaiTi" w:eastAsia="楷体"/>
          <w:b/>
          <w:i w:val="0"/>
          <w:color w:val="596370"/>
          <w:sz w:val="19"/>
        </w:rPr>
        <w:t>risk_management_agent</w:t>
      </w:r>
    </w:p>
    <w:p>
      <w:pPr>
        <w:pStyle w:val="Heading3"/>
        <w:pageBreakBefore w:val="0"/>
        <w:numPr>
          <w:ilvl w:val="2"/>
          <w:numId w:val="102"/>
        </w:numPr>
      </w:pPr>
      <w:r>
        <w:rPr>
          <w:rFonts w:ascii="KaiTi" w:hAnsi="KaiTi" w:eastAsia="楷体"/>
          <w:b/>
          <w:i w:val="0"/>
          <w:color w:val="1F4D78"/>
          <w:sz w:val="24"/>
        </w:rPr>
        <w:t>目标与边界</w:t>
      </w:r>
    </w:p>
    <w:p>
      <w:r>
        <w:rPr>
          <w:rFonts w:ascii="KaiTi" w:hAnsi="KaiTi" w:eastAsia="楷体"/>
          <w:b w:val="0"/>
          <w:i w:val="0"/>
          <w:sz w:val="21"/>
        </w:rPr>
        <w:t>持续识别本次门诊中的急危重症、诊疗禁忌、用药/过敏、检查结果和专科红旗风险，通过明确分级、证据、时限、处置闭环和提交门禁帮助医生“把风险管住”。</w:t>
      </w:r>
    </w:p>
    <w:p>
      <w:r>
        <w:rPr>
          <w:rFonts w:ascii="KaiTi" w:hAnsi="KaiTi" w:eastAsia="楷体"/>
          <w:b w:val="0"/>
          <w:i w:val="0"/>
          <w:sz w:val="21"/>
        </w:rPr>
        <w:t>风险管理不是一个被动的 AI 报告。它是产品级安全工作流：规则、Agent 和医生都可产生风险项；产品负责去重、状态、阻断、审计与跨功能一致性。Agent 不得自行判定风险已处理。</w:t>
      </w:r>
    </w:p>
    <w:p>
      <w:pPr>
        <w:pStyle w:val="Heading3"/>
        <w:pageBreakBefore w:val="0"/>
        <w:numPr>
          <w:ilvl w:val="2"/>
          <w:numId w:val="102"/>
        </w:numPr>
      </w:pPr>
      <w:r>
        <w:rPr>
          <w:rFonts w:ascii="KaiTi" w:hAnsi="KaiTi" w:eastAsia="楷体"/>
          <w:b/>
          <w:i w:val="0"/>
          <w:color w:val="1F4D78"/>
          <w:sz w:val="24"/>
        </w:rPr>
        <w:t>风险来源与触发</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来源</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示例</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一期触发</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硬规则</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过敏冲突、危急值、生命体征阈值、妊娠禁忌</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数据进入或变化后同步/准实时</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risk_management_agent</w:t>
            </w:r>
          </w:p>
        </w:tc>
        <w:tc>
          <w:tcPr>
            <w:tcW w:type="dxa" w:w="367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多因素组合、症状与历史结果冲突、专科红旗</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就诊进入、关键事实变化、医生手动刷新</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其他 Agent</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F04 不能漏诊、F07 共病相互影响</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经统一风险入口上报</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医生手工</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临床观察、线下信息</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随时新增，默认待处理</w:t>
            </w:r>
          </w:p>
        </w:tc>
      </w:tr>
    </w:tbl>
    <w:p>
      <w:pPr>
        <w:spacing w:after="40"/>
      </w:pPr>
    </w:p>
    <w:p>
      <w:r>
        <w:rPr>
          <w:rFonts w:ascii="KaiTi" w:hAnsi="KaiTi" w:eastAsia="楷体"/>
          <w:b w:val="0"/>
          <w:i w:val="0"/>
          <w:sz w:val="21"/>
        </w:rPr>
        <w:t xml:space="preserve">每次触发保留 </w:t>
      </w:r>
      <w:r>
        <w:rPr>
          <w:rFonts w:ascii="KaiTi" w:hAnsi="KaiTi" w:eastAsia="楷体"/>
          <w:b/>
          <w:i w:val="0"/>
          <w:sz w:val="21"/>
        </w:rPr>
        <w:t>trigger_event_id</w:t>
      </w:r>
      <w:r>
        <w:rPr>
          <w:rFonts w:ascii="KaiTi" w:hAnsi="KaiTi" w:eastAsia="楷体"/>
          <w:b w:val="0"/>
          <w:i w:val="0"/>
          <w:sz w:val="21"/>
        </w:rPr>
        <w:t>、上下文哈希、数据截止时间和规则/Agent 版本。相同来源与语义的风险必须合并，不得重复轰炸。</w:t>
      </w:r>
    </w:p>
    <w:p>
      <w:pPr>
        <w:pStyle w:val="Heading3"/>
        <w:pageBreakBefore w:val="0"/>
        <w:numPr>
          <w:ilvl w:val="2"/>
          <w:numId w:val="102"/>
        </w:numPr>
      </w:pPr>
      <w:r>
        <w:rPr>
          <w:rFonts w:ascii="KaiTi" w:hAnsi="KaiTi" w:eastAsia="楷体"/>
          <w:b/>
          <w:i w:val="0"/>
          <w:color w:val="1F4D78"/>
          <w:sz w:val="24"/>
        </w:rPr>
        <w:t>风险分级与状态</w:t>
      </w:r>
    </w:p>
    <w:p>
      <w:pPr>
        <w:pStyle w:val="Heading4"/>
        <w:pageBreakBefore w:val="0"/>
        <w:numPr>
          <w:ilvl w:val="3"/>
          <w:numId w:val="102"/>
        </w:numPr>
      </w:pPr>
      <w:r>
        <w:rPr>
          <w:rFonts w:ascii="KaiTi" w:hAnsi="KaiTi" w:eastAsia="楷体"/>
          <w:b/>
          <w:i w:val="0"/>
          <w:color w:val="1F4D78"/>
          <w:sz w:val="22"/>
        </w:rPr>
        <w:t>分级</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等级</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定义</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产品行为</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 critical</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可能造成严重伤害或需立即处置，未闭环不能执行关键提交</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在原界面既有预警/风险区域突出显示并阻断提交</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黄色 warning</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需要医生知晓、评估或记录原因</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在原界面既有风险位置显示，提交前须已阅/处理/留痕</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蓝色 information</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不阻断但与决策相关的提示</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在风险中心与相关功能处显示</w:t>
            </w:r>
          </w:p>
        </w:tc>
      </w:tr>
    </w:tbl>
    <w:p>
      <w:pPr>
        <w:spacing w:after="40"/>
      </w:pPr>
    </w:p>
    <w:p>
      <w:r>
        <w:rPr>
          <w:rFonts w:ascii="KaiTi" w:hAnsi="KaiTi" w:eastAsia="楷体"/>
          <w:b w:val="0"/>
          <w:i w:val="0"/>
          <w:sz w:val="21"/>
        </w:rPr>
        <w:t>红、黄是临床风险语义；不得用红色表示普通删除、加载失败或表单校验。</w:t>
      </w:r>
    </w:p>
    <w:p>
      <w:pPr>
        <w:pStyle w:val="Heading4"/>
        <w:pageBreakBefore w:val="0"/>
        <w:numPr>
          <w:ilvl w:val="3"/>
          <w:numId w:val="102"/>
        </w:numPr>
      </w:pPr>
      <w:r>
        <w:rPr>
          <w:rFonts w:ascii="KaiTi" w:hAnsi="KaiTi" w:eastAsia="楷体"/>
          <w:b/>
          <w:i w:val="0"/>
          <w:color w:val="1F4D78"/>
          <w:sz w:val="22"/>
        </w:rPr>
        <w:t>状态</w:t>
      </w:r>
    </w:p>
    <w:p>
      <w:r>
        <w:rPr>
          <w:rFonts w:ascii="KaiTi" w:hAnsi="KaiTi" w:eastAsia="楷体"/>
          <w:b/>
          <w:i w:val="0"/>
          <w:sz w:val="21"/>
        </w:rPr>
        <w:t>new</w:t>
      </w:r>
      <w:r>
        <w:rPr>
          <w:rFonts w:ascii="KaiTi" w:hAnsi="KaiTi" w:eastAsia="楷体"/>
          <w:b w:val="0"/>
          <w:i w:val="0"/>
          <w:sz w:val="21"/>
        </w:rPr>
        <w:t xml:space="preserve"> → </w:t>
      </w:r>
      <w:r>
        <w:rPr>
          <w:rFonts w:ascii="KaiTi" w:hAnsi="KaiTi" w:eastAsia="楷体"/>
          <w:b/>
          <w:i w:val="0"/>
          <w:sz w:val="21"/>
        </w:rPr>
        <w:t>acknowledged</w:t>
      </w:r>
      <w:r>
        <w:rPr>
          <w:rFonts w:ascii="KaiTi" w:hAnsi="KaiTi" w:eastAsia="楷体"/>
          <w:b w:val="0"/>
          <w:i w:val="0"/>
          <w:sz w:val="21"/>
        </w:rPr>
        <w:t xml:space="preserve"> → </w:t>
      </w:r>
      <w:r>
        <w:rPr>
          <w:rFonts w:ascii="KaiTi" w:hAnsi="KaiTi" w:eastAsia="楷体"/>
          <w:b/>
          <w:i w:val="0"/>
          <w:sz w:val="21"/>
        </w:rPr>
        <w:t>action_in_progress</w:t>
      </w:r>
      <w:r>
        <w:rPr>
          <w:rFonts w:ascii="KaiTi" w:hAnsi="KaiTi" w:eastAsia="楷体"/>
          <w:b w:val="0"/>
          <w:i w:val="0"/>
          <w:sz w:val="21"/>
        </w:rPr>
        <w:t xml:space="preserve"> → </w:t>
      </w:r>
      <w:r>
        <w:rPr>
          <w:rFonts w:ascii="KaiTi" w:hAnsi="KaiTi" w:eastAsia="楷体"/>
          <w:b/>
          <w:i w:val="0"/>
          <w:sz w:val="21"/>
        </w:rPr>
        <w:t>resolved</w:t>
      </w:r>
      <w:r>
        <w:rPr>
          <w:rFonts w:ascii="KaiTi" w:hAnsi="KaiTi" w:eastAsia="楷体"/>
          <w:b w:val="0"/>
          <w:i w:val="0"/>
          <w:sz w:val="21"/>
        </w:rPr>
        <w:t xml:space="preserve">，另有 </w:t>
      </w:r>
      <w:r>
        <w:rPr>
          <w:rFonts w:ascii="KaiTi" w:hAnsi="KaiTi" w:eastAsia="楷体"/>
          <w:b/>
          <w:i w:val="0"/>
          <w:sz w:val="21"/>
        </w:rPr>
        <w:t>dismissed_with_reason</w:t>
      </w:r>
      <w:r>
        <w:rPr>
          <w:rFonts w:ascii="KaiTi" w:hAnsi="KaiTi" w:eastAsia="楷体"/>
          <w:b w:val="0"/>
          <w:i w:val="0"/>
          <w:sz w:val="21"/>
        </w:rPr>
        <w:t>、</w:t>
      </w:r>
      <w:r>
        <w:rPr>
          <w:rFonts w:ascii="KaiTi" w:hAnsi="KaiTi" w:eastAsia="楷体"/>
          <w:b/>
          <w:i w:val="0"/>
          <w:sz w:val="21"/>
        </w:rPr>
        <w:t>false_positive</w:t>
      </w:r>
      <w:r>
        <w:rPr>
          <w:rFonts w:ascii="KaiTi" w:hAnsi="KaiTi" w:eastAsia="楷体"/>
          <w:b w:val="0"/>
          <w:i w:val="0"/>
          <w:sz w:val="21"/>
        </w:rPr>
        <w:t>、</w:t>
      </w:r>
      <w:r>
        <w:rPr>
          <w:rFonts w:ascii="KaiTi" w:hAnsi="KaiTi" w:eastAsia="楷体"/>
          <w:b/>
          <w:i w:val="0"/>
          <w:sz w:val="21"/>
        </w:rPr>
        <w:t>expired</w:t>
      </w:r>
      <w:r>
        <w:rPr>
          <w:rFonts w:ascii="KaiTi" w:hAnsi="KaiTi" w:eastAsia="楷体"/>
          <w:b w:val="0"/>
          <w:i w:val="0"/>
          <w:sz w:val="21"/>
        </w:rPr>
        <w:t>。</w:t>
      </w:r>
    </w:p>
    <w:p>
      <w:pPr>
        <w:numPr>
          <w:ilvl w:val="0"/>
          <w:numId w:val="100"/>
        </w:numPr>
        <w:spacing w:after="160" w:line="280" w:lineRule="auto"/>
      </w:pPr>
      <w:r>
        <w:rPr>
          <w:rFonts w:ascii="KaiTi" w:hAnsi="KaiTi" w:eastAsia="楷体"/>
          <w:b w:val="0"/>
          <w:i w:val="0"/>
          <w:sz w:val="21"/>
        </w:rPr>
        <w:t>只有医生或授权临床角色可以确认已阅、开始处置、解决、误报或有因忽略。</w:t>
      </w:r>
    </w:p>
    <w:p>
      <w:pPr>
        <w:numPr>
          <w:ilvl w:val="0"/>
          <w:numId w:val="100"/>
        </w:numPr>
        <w:spacing w:after="160" w:line="280" w:lineRule="auto"/>
      </w:pPr>
      <w:r>
        <w:rPr>
          <w:rFonts w:ascii="KaiTi" w:hAnsi="KaiTi" w:eastAsia="楷体"/>
          <w:b w:val="0"/>
          <w:i w:val="0"/>
          <w:sz w:val="21"/>
        </w:rPr>
        <w:t xml:space="preserve">红色风险的 </w:t>
      </w:r>
      <w:r>
        <w:rPr>
          <w:rFonts w:ascii="KaiTi" w:hAnsi="KaiTi" w:eastAsia="楷体"/>
          <w:b/>
          <w:i w:val="0"/>
          <w:sz w:val="21"/>
        </w:rPr>
        <w:t>dismissed_with_reason</w:t>
      </w:r>
      <w:r>
        <w:rPr>
          <w:rFonts w:ascii="KaiTi" w:hAnsi="KaiTi" w:eastAsia="楷体"/>
          <w:b w:val="0"/>
          <w:i w:val="0"/>
          <w:sz w:val="21"/>
        </w:rPr>
        <w:t xml:space="preserve"> 需要更高权限或二次确认，具体权限待医院确认。</w:t>
      </w:r>
    </w:p>
    <w:p>
      <w:pPr>
        <w:numPr>
          <w:ilvl w:val="0"/>
          <w:numId w:val="100"/>
        </w:numPr>
        <w:spacing w:after="160" w:line="280" w:lineRule="auto"/>
      </w:pPr>
      <w:r>
        <w:rPr>
          <w:rFonts w:ascii="KaiTi" w:hAnsi="KaiTi" w:eastAsia="楷体"/>
          <w:b w:val="0"/>
          <w:i w:val="0"/>
          <w:sz w:val="21"/>
        </w:rPr>
        <w:t>新数据与已关闭风险矛盾时创建新版本并重新打开，不覆盖历史处置。</w:t>
      </w:r>
    </w:p>
    <w:p>
      <w:pPr>
        <w:pStyle w:val="Heading3"/>
        <w:pageBreakBefore w:val="0"/>
        <w:numPr>
          <w:ilvl w:val="2"/>
          <w:numId w:val="102"/>
        </w:numPr>
      </w:pPr>
      <w:r>
        <w:rPr>
          <w:rFonts w:ascii="KaiTi" w:hAnsi="KaiTi" w:eastAsia="楷体"/>
          <w:b/>
          <w:i w:val="0"/>
          <w:color w:val="1F4D78"/>
          <w:sz w:val="24"/>
        </w:rPr>
        <w:t>风险项数据模型</w:t>
      </w:r>
    </w:p>
    <w:p>
      <w:r>
        <w:rPr>
          <w:rFonts w:ascii="KaiTi" w:hAnsi="KaiTi" w:eastAsia="楷体"/>
          <w:b w:val="0"/>
          <w:i w:val="0"/>
          <w:sz w:val="21"/>
        </w:rPr>
        <w:t>每项至少包含：风险标题、等级、类别、患者/就诊、状态、触发时间、要求处理时限、依据、反证/不确定性、来源引用、关联诊断、建议动作草稿、负责人、处置记录、关闭原因、规则/Agent 版本和审计 ID。</w:t>
      </w:r>
    </w:p>
    <w:p>
      <w:r>
        <w:rPr>
          <w:rFonts w:ascii="KaiTi" w:hAnsi="KaiTi" w:eastAsia="楷体"/>
          <w:b w:val="0"/>
          <w:i w:val="0"/>
          <w:sz w:val="21"/>
        </w:rPr>
        <w:t>建议动作是临床行动提示，不直接生成或执行医嘱。危急值等医院既有闭环流程仍为权威，本系统只做对接与状态同步。</w:t>
      </w:r>
    </w:p>
    <w:p>
      <w:pPr>
        <w:pStyle w:val="Heading3"/>
        <w:pageBreakBefore w:val="0"/>
        <w:numPr>
          <w:ilvl w:val="2"/>
          <w:numId w:val="102"/>
        </w:numPr>
      </w:pPr>
      <w:r>
        <w:rPr>
          <w:rFonts w:ascii="KaiTi" w:hAnsi="KaiTi" w:eastAsia="楷体"/>
          <w:b/>
          <w:i w:val="0"/>
          <w:color w:val="1F4D78"/>
          <w:sz w:val="24"/>
        </w:rPr>
        <w:t>UI/UX 要求</w:t>
      </w:r>
    </w:p>
    <w:p>
      <w:pPr>
        <w:numPr>
          <w:ilvl w:val="0"/>
          <w:numId w:val="100"/>
        </w:numPr>
        <w:spacing w:after="160" w:line="280" w:lineRule="auto"/>
      </w:pPr>
      <w:r>
        <w:rPr>
          <w:rFonts w:ascii="KaiTi" w:hAnsi="KaiTi" w:eastAsia="楷体"/>
          <w:b/>
          <w:i w:val="0"/>
          <w:sz w:val="21"/>
        </w:rPr>
        <w:t>UX-F06-001</w:t>
      </w:r>
      <w:r>
        <w:rPr>
          <w:rFonts w:ascii="KaiTi" w:hAnsi="KaiTi" w:eastAsia="楷体"/>
          <w:b w:val="0"/>
          <w:i w:val="0"/>
          <w:sz w:val="21"/>
        </w:rPr>
        <w:t xml:space="preserve"> 复用原 HTML 的预警评估、风险卡和异常结果区域显示红/黄数量与最紧急事项，不新增固定顶栏或改变页面布局。</w:t>
      </w:r>
    </w:p>
    <w:p>
      <w:pPr>
        <w:numPr>
          <w:ilvl w:val="0"/>
          <w:numId w:val="100"/>
        </w:numPr>
        <w:spacing w:after="160" w:line="280" w:lineRule="auto"/>
      </w:pPr>
      <w:r>
        <w:rPr>
          <w:rFonts w:ascii="KaiTi" w:hAnsi="KaiTi" w:eastAsia="楷体"/>
          <w:b/>
          <w:i w:val="0"/>
          <w:sz w:val="21"/>
        </w:rPr>
        <w:t>UX-F06-002</w:t>
      </w:r>
      <w:r>
        <w:rPr>
          <w:rFonts w:ascii="KaiTi" w:hAnsi="KaiTi" w:eastAsia="楷体"/>
          <w:b w:val="0"/>
          <w:i w:val="0"/>
          <w:sz w:val="21"/>
        </w:rPr>
        <w:t xml:space="preserve"> 复用原界面既有入口查看风险详情；首层内容显示等级、标题、依据、时限、状态和主操作。</w:t>
      </w:r>
    </w:p>
    <w:p>
      <w:pPr>
        <w:numPr>
          <w:ilvl w:val="0"/>
          <w:numId w:val="100"/>
        </w:numPr>
        <w:spacing w:after="160" w:line="280" w:lineRule="auto"/>
      </w:pPr>
      <w:r>
        <w:rPr>
          <w:rFonts w:ascii="KaiTi" w:hAnsi="KaiTi" w:eastAsia="楷体"/>
          <w:b/>
          <w:i w:val="0"/>
          <w:sz w:val="21"/>
        </w:rPr>
        <w:t>UX-F06-003</w:t>
      </w:r>
      <w:r>
        <w:rPr>
          <w:rFonts w:ascii="KaiTi" w:hAnsi="KaiTi" w:eastAsia="楷体"/>
          <w:b w:val="0"/>
          <w:i w:val="0"/>
          <w:sz w:val="21"/>
        </w:rPr>
        <w:t xml:space="preserve"> 主操作不是“关闭”：按状态提供“确认已阅”“记录处置”“标记已解决”“误报/有因忽略”。</w:t>
      </w:r>
    </w:p>
    <w:p>
      <w:pPr>
        <w:numPr>
          <w:ilvl w:val="0"/>
          <w:numId w:val="100"/>
        </w:numPr>
        <w:spacing w:after="160" w:line="280" w:lineRule="auto"/>
      </w:pPr>
      <w:r>
        <w:rPr>
          <w:rFonts w:ascii="KaiTi" w:hAnsi="KaiTi" w:eastAsia="楷体"/>
          <w:b/>
          <w:i w:val="0"/>
          <w:sz w:val="21"/>
        </w:rPr>
        <w:t>UX-F06-004</w:t>
      </w:r>
      <w:r>
        <w:rPr>
          <w:rFonts w:ascii="KaiTi" w:hAnsi="KaiTi" w:eastAsia="楷体"/>
          <w:b w:val="0"/>
          <w:i w:val="0"/>
          <w:sz w:val="21"/>
        </w:rPr>
        <w:t xml:space="preserve"> 复用原界面既有详情组件展示来源、数据时间、正常范围/阈值、规则或推断说明。</w:t>
      </w:r>
    </w:p>
    <w:p>
      <w:pPr>
        <w:numPr>
          <w:ilvl w:val="0"/>
          <w:numId w:val="100"/>
        </w:numPr>
        <w:spacing w:after="160" w:line="280" w:lineRule="auto"/>
      </w:pPr>
      <w:r>
        <w:rPr>
          <w:rFonts w:ascii="KaiTi" w:hAnsi="KaiTi" w:eastAsia="楷体"/>
          <w:b/>
          <w:i w:val="0"/>
          <w:sz w:val="21"/>
        </w:rPr>
        <w:t>UX-F06-005</w:t>
      </w:r>
      <w:r>
        <w:rPr>
          <w:rFonts w:ascii="KaiTi" w:hAnsi="KaiTi" w:eastAsia="楷体"/>
          <w:b w:val="0"/>
          <w:i w:val="0"/>
          <w:sz w:val="21"/>
        </w:rPr>
        <w:t xml:space="preserve"> 提交被阻断时列出具体风险和可达的处理入口，不只显示 Toast。</w:t>
      </w:r>
    </w:p>
    <w:p>
      <w:pPr>
        <w:numPr>
          <w:ilvl w:val="0"/>
          <w:numId w:val="100"/>
        </w:numPr>
        <w:spacing w:after="160" w:line="280" w:lineRule="auto"/>
      </w:pPr>
      <w:r>
        <w:rPr>
          <w:rFonts w:ascii="KaiTi" w:hAnsi="KaiTi" w:eastAsia="楷体"/>
          <w:b/>
          <w:i w:val="0"/>
          <w:sz w:val="21"/>
        </w:rPr>
        <w:t>UX-F06-006</w:t>
      </w:r>
      <w:r>
        <w:rPr>
          <w:rFonts w:ascii="KaiTi" w:hAnsi="KaiTi" w:eastAsia="楷体"/>
          <w:b w:val="0"/>
          <w:i w:val="0"/>
          <w:sz w:val="21"/>
        </w:rPr>
        <w:t xml:space="preserve"> 风险状态变化要在 F02、F03、F04、F05、F07 的关联位置同步显示，但只维护一份权威状态。</w:t>
      </w:r>
    </w:p>
    <w:p>
      <w:pPr>
        <w:pStyle w:val="Heading3"/>
        <w:pageBreakBefore w:val="0"/>
        <w:numPr>
          <w:ilvl w:val="2"/>
          <w:numId w:val="102"/>
        </w:numPr>
      </w:pPr>
      <w:r>
        <w:rPr>
          <w:rFonts w:ascii="KaiTi" w:hAnsi="KaiTi" w:eastAsia="楷体"/>
          <w:b/>
          <w:i w:val="0"/>
          <w:color w:val="1F4D78"/>
          <w:sz w:val="24"/>
        </w:rPr>
        <w:t>业务和安全规则</w:t>
      </w:r>
    </w:p>
    <w:p>
      <w:pPr>
        <w:numPr>
          <w:ilvl w:val="0"/>
          <w:numId w:val="100"/>
        </w:numPr>
        <w:spacing w:after="160" w:line="280" w:lineRule="auto"/>
      </w:pPr>
      <w:r>
        <w:rPr>
          <w:rFonts w:ascii="KaiTi" w:hAnsi="KaiTi" w:eastAsia="楷体"/>
          <w:b/>
          <w:i w:val="0"/>
          <w:sz w:val="21"/>
        </w:rPr>
        <w:t>BR-F06-001</w:t>
      </w:r>
      <w:r>
        <w:rPr>
          <w:rFonts w:ascii="KaiTi" w:hAnsi="KaiTi" w:eastAsia="楷体"/>
          <w:b w:val="0"/>
          <w:i w:val="0"/>
          <w:sz w:val="21"/>
        </w:rPr>
        <w:t xml:space="preserve"> 风险去重键由患者、就诊、标准风险类型、关键证据和时间窗组成；合并须保留所有来源。</w:t>
      </w:r>
    </w:p>
    <w:p>
      <w:pPr>
        <w:numPr>
          <w:ilvl w:val="0"/>
          <w:numId w:val="100"/>
        </w:numPr>
        <w:spacing w:after="160" w:line="280" w:lineRule="auto"/>
      </w:pPr>
      <w:r>
        <w:rPr>
          <w:rFonts w:ascii="KaiTi" w:hAnsi="KaiTi" w:eastAsia="楷体"/>
          <w:b/>
          <w:i w:val="0"/>
          <w:sz w:val="21"/>
        </w:rPr>
        <w:t>BR-F06-002</w:t>
      </w:r>
      <w:r>
        <w:rPr>
          <w:rFonts w:ascii="KaiTi" w:hAnsi="KaiTi" w:eastAsia="楷体"/>
          <w:b w:val="0"/>
          <w:i w:val="0"/>
          <w:sz w:val="21"/>
        </w:rPr>
        <w:t xml:space="preserve"> 数据更正或撤回时不得静默删除风险；标记来源已撤回并进入复核。</w:t>
      </w:r>
    </w:p>
    <w:p>
      <w:pPr>
        <w:numPr>
          <w:ilvl w:val="0"/>
          <w:numId w:val="100"/>
        </w:numPr>
        <w:spacing w:after="160" w:line="280" w:lineRule="auto"/>
      </w:pPr>
      <w:r>
        <w:rPr>
          <w:rFonts w:ascii="KaiTi" w:hAnsi="KaiTi" w:eastAsia="楷体"/>
          <w:b/>
          <w:i w:val="0"/>
          <w:sz w:val="21"/>
        </w:rPr>
        <w:t>BR-F06-003</w:t>
      </w:r>
      <w:r>
        <w:rPr>
          <w:rFonts w:ascii="KaiTi" w:hAnsi="KaiTi" w:eastAsia="楷体"/>
          <w:b w:val="0"/>
          <w:i w:val="0"/>
          <w:sz w:val="21"/>
        </w:rPr>
        <w:t xml:space="preserve"> 红色风险必须已解决，或完成授权的有因忽略，方可提交病历/诊断模拟写回。</w:t>
      </w:r>
    </w:p>
    <w:p>
      <w:pPr>
        <w:numPr>
          <w:ilvl w:val="0"/>
          <w:numId w:val="100"/>
        </w:numPr>
        <w:spacing w:after="160" w:line="280" w:lineRule="auto"/>
      </w:pPr>
      <w:r>
        <w:rPr>
          <w:rFonts w:ascii="KaiTi" w:hAnsi="KaiTi" w:eastAsia="楷体"/>
          <w:b/>
          <w:i w:val="0"/>
          <w:sz w:val="21"/>
        </w:rPr>
        <w:t>BR-F06-004</w:t>
      </w:r>
      <w:r>
        <w:rPr>
          <w:rFonts w:ascii="KaiTi" w:hAnsi="KaiTi" w:eastAsia="楷体"/>
          <w:b w:val="0"/>
          <w:i w:val="0"/>
          <w:sz w:val="21"/>
        </w:rPr>
        <w:t xml:space="preserve"> 黄色风险必须已阅、已处理或有因忽略；蓝色风险不阻断。</w:t>
      </w:r>
    </w:p>
    <w:p>
      <w:pPr>
        <w:numPr>
          <w:ilvl w:val="0"/>
          <w:numId w:val="100"/>
        </w:numPr>
        <w:spacing w:after="160" w:line="280" w:lineRule="auto"/>
      </w:pPr>
      <w:r>
        <w:rPr>
          <w:rFonts w:ascii="KaiTi" w:hAnsi="KaiTi" w:eastAsia="楷体"/>
          <w:b/>
          <w:i w:val="0"/>
          <w:sz w:val="21"/>
        </w:rPr>
        <w:t>BR-F06-005</w:t>
      </w:r>
      <w:r>
        <w:rPr>
          <w:rFonts w:ascii="KaiTi" w:hAnsi="KaiTi" w:eastAsia="楷体"/>
          <w:b w:val="0"/>
          <w:i w:val="0"/>
          <w:sz w:val="21"/>
        </w:rPr>
        <w:t xml:space="preserve"> 风险等级、阈值与关闭规则必须版本化，可按专科和机构配置。</w:t>
      </w:r>
    </w:p>
    <w:p>
      <w:pPr>
        <w:numPr>
          <w:ilvl w:val="0"/>
          <w:numId w:val="100"/>
        </w:numPr>
        <w:spacing w:after="160" w:line="280" w:lineRule="auto"/>
      </w:pPr>
      <w:r>
        <w:rPr>
          <w:rFonts w:ascii="KaiTi" w:hAnsi="KaiTi" w:eastAsia="楷体"/>
          <w:b/>
          <w:i w:val="0"/>
          <w:sz w:val="21"/>
        </w:rPr>
        <w:t>SAFE-F06-001</w:t>
      </w:r>
      <w:r>
        <w:rPr>
          <w:rFonts w:ascii="KaiTi" w:hAnsi="KaiTi" w:eastAsia="楷体"/>
          <w:b w:val="0"/>
          <w:i w:val="0"/>
          <w:sz w:val="21"/>
        </w:rPr>
        <w:t xml:space="preserve"> 任何患者串用、风险漏显、红色风险被普通用户无因关闭、审计缺失均为零容忍问题。</w:t>
      </w:r>
    </w:p>
    <w:p>
      <w:pPr>
        <w:numPr>
          <w:ilvl w:val="0"/>
          <w:numId w:val="100"/>
        </w:numPr>
        <w:spacing w:after="160" w:line="280" w:lineRule="auto"/>
      </w:pPr>
      <w:r>
        <w:rPr>
          <w:rFonts w:ascii="KaiTi" w:hAnsi="KaiTi" w:eastAsia="楷体"/>
          <w:b/>
          <w:i w:val="0"/>
          <w:sz w:val="21"/>
        </w:rPr>
        <w:t>SAFE-F06-002</w:t>
      </w:r>
      <w:r>
        <w:rPr>
          <w:rFonts w:ascii="KaiTi" w:hAnsi="KaiTi" w:eastAsia="楷体"/>
          <w:b w:val="0"/>
          <w:i w:val="0"/>
          <w:sz w:val="21"/>
        </w:rPr>
        <w:t xml:space="preserve"> Agent 失败不得使规则风险消失；规则引擎与 Agent 结果分别显示健康状态。</w:t>
      </w:r>
    </w:p>
    <w:p>
      <w:pPr>
        <w:numPr>
          <w:ilvl w:val="0"/>
          <w:numId w:val="100"/>
        </w:numPr>
        <w:spacing w:after="160" w:line="280" w:lineRule="auto"/>
      </w:pPr>
      <w:r>
        <w:rPr>
          <w:rFonts w:ascii="KaiTi" w:hAnsi="KaiTi" w:eastAsia="楷体"/>
          <w:b/>
          <w:i w:val="0"/>
          <w:sz w:val="21"/>
        </w:rPr>
        <w:t>SAFE-F06-003</w:t>
      </w:r>
      <w:r>
        <w:rPr>
          <w:rFonts w:ascii="KaiTi" w:hAnsi="KaiTi" w:eastAsia="楷体"/>
          <w:b w:val="0"/>
          <w:i w:val="0"/>
          <w:sz w:val="21"/>
        </w:rPr>
        <w:t xml:space="preserve"> UI 不以颜色为唯一信息载体，必须同时提供文字等级和图标。</w:t>
      </w:r>
    </w:p>
    <w:p>
      <w:pPr>
        <w:pStyle w:val="Heading3"/>
        <w:pageBreakBefore w:val="0"/>
        <w:numPr>
          <w:ilvl w:val="2"/>
          <w:numId w:val="102"/>
        </w:numPr>
      </w:pPr>
      <w:r>
        <w:rPr>
          <w:rFonts w:ascii="KaiTi" w:hAnsi="KaiTi" w:eastAsia="楷体"/>
          <w:b/>
          <w:i w:val="0"/>
          <w:color w:val="1F4D78"/>
          <w:sz w:val="24"/>
        </w:rPr>
        <w:t>专科一期风险包</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范围</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首批覆盖方向（规则细节待临床确认）</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内分泌/代谢</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严重低/高血糖、酮症/高渗线索、甲状腺危象线索、电解质异常、药物与并发症风险</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普通骨科</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开放伤/骨折脱位、神经血管受损、感染、脊髓/马尾受压、血栓风险、病理性骨折线索</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普通妇科</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妊娠相关急症、严重出血、感染/脓毒症、附件扭转或破裂线索、药物/检查妊娠禁忌</w:t>
            </w:r>
          </w:p>
        </w:tc>
      </w:tr>
    </w:tbl>
    <w:p>
      <w:pPr>
        <w:spacing w:after="40"/>
      </w:pPr>
    </w:p>
    <w:p>
      <w:r>
        <w:rPr>
          <w:rFonts w:ascii="KaiTi" w:hAnsi="KaiTi" w:eastAsia="楷体"/>
          <w:b w:val="0"/>
          <w:i w:val="0"/>
          <w:sz w:val="21"/>
        </w:rPr>
        <w:t>这些方向用于构建评测集，不代表未经医院审核即可上线的临床规则。</w:t>
      </w:r>
    </w:p>
    <w:p>
      <w:pPr>
        <w:pStyle w:val="Heading3"/>
        <w:pageBreakBefore w:val="0"/>
        <w:numPr>
          <w:ilvl w:val="2"/>
          <w:numId w:val="102"/>
        </w:numPr>
      </w:pPr>
      <w:r>
        <w:rPr>
          <w:rFonts w:ascii="KaiTi" w:hAnsi="KaiTi" w:eastAsia="楷体"/>
          <w:b/>
          <w:i w:val="0"/>
          <w:color w:val="1F4D78"/>
          <w:sz w:val="24"/>
        </w:rPr>
        <w:t>失败与降级</w:t>
      </w:r>
    </w:p>
    <w:p>
      <w:pPr>
        <w:numPr>
          <w:ilvl w:val="0"/>
          <w:numId w:val="100"/>
        </w:numPr>
        <w:spacing w:after="160" w:line="280" w:lineRule="auto"/>
      </w:pPr>
      <w:r>
        <w:rPr>
          <w:rFonts w:ascii="KaiTi" w:hAnsi="KaiTi" w:eastAsia="楷体"/>
          <w:b w:val="0"/>
          <w:i w:val="0"/>
          <w:sz w:val="21"/>
        </w:rPr>
        <w:t>AgentScope 不可用：继续运行硬规则，明确显示“组合风险评估不可用”。</w:t>
      </w:r>
    </w:p>
    <w:p>
      <w:pPr>
        <w:numPr>
          <w:ilvl w:val="0"/>
          <w:numId w:val="100"/>
        </w:numPr>
        <w:spacing w:after="160" w:line="280" w:lineRule="auto"/>
      </w:pPr>
      <w:r>
        <w:rPr>
          <w:rFonts w:ascii="KaiTi" w:hAnsi="KaiTi" w:eastAsia="楷体"/>
          <w:b w:val="0"/>
          <w:i w:val="0"/>
          <w:sz w:val="21"/>
        </w:rPr>
        <w:t>风险规则版本加载失败：禁止关键提交并提示技术人员，不回退到未知旧版本。</w:t>
      </w:r>
    </w:p>
    <w:p>
      <w:pPr>
        <w:numPr>
          <w:ilvl w:val="0"/>
          <w:numId w:val="100"/>
        </w:numPr>
        <w:spacing w:after="160" w:line="280" w:lineRule="auto"/>
      </w:pPr>
      <w:r>
        <w:rPr>
          <w:rFonts w:ascii="KaiTi" w:hAnsi="KaiTi" w:eastAsia="楷体"/>
          <w:b w:val="0"/>
          <w:i w:val="0"/>
          <w:sz w:val="21"/>
        </w:rPr>
        <w:t>数据源延迟：标注最后更新时间和未纳入的数据域；若影响高危判断则降级为需要人工核验。</w:t>
      </w:r>
    </w:p>
    <w:p>
      <w:pPr>
        <w:numPr>
          <w:ilvl w:val="0"/>
          <w:numId w:val="100"/>
        </w:numPr>
        <w:spacing w:after="160" w:line="280" w:lineRule="auto"/>
      </w:pPr>
      <w:r>
        <w:rPr>
          <w:rFonts w:ascii="KaiTi" w:hAnsi="KaiTi" w:eastAsia="楷体"/>
          <w:b w:val="0"/>
          <w:i w:val="0"/>
          <w:sz w:val="21"/>
        </w:rPr>
        <w:t>风险处置保存失败：保留输入并显示未保存状态，不允许 UI 假装已闭环。</w:t>
      </w:r>
    </w:p>
    <w:p>
      <w:pPr>
        <w:pStyle w:val="Heading3"/>
        <w:pageBreakBefore w:val="0"/>
        <w:numPr>
          <w:ilvl w:val="2"/>
          <w:numId w:val="102"/>
        </w:numPr>
      </w:pPr>
      <w:r>
        <w:rPr>
          <w:rFonts w:ascii="KaiTi" w:hAnsi="KaiTi" w:eastAsia="楷体"/>
          <w:b/>
          <w:i w:val="0"/>
          <w:color w:val="1F4D78"/>
          <w:sz w:val="24"/>
        </w:rPr>
        <w:t>验收标准</w:t>
      </w:r>
    </w:p>
    <w:p>
      <w:pPr>
        <w:numPr>
          <w:ilvl w:val="0"/>
          <w:numId w:val="100"/>
        </w:numPr>
        <w:spacing w:after="160" w:line="280" w:lineRule="auto"/>
      </w:pPr>
      <w:r>
        <w:rPr>
          <w:rFonts w:ascii="KaiTi" w:hAnsi="KaiTi" w:eastAsia="楷体"/>
          <w:b/>
          <w:i w:val="0"/>
          <w:sz w:val="21"/>
        </w:rPr>
        <w:t>AC-F06-001</w:t>
      </w:r>
      <w:r>
        <w:rPr>
          <w:rFonts w:ascii="KaiTi" w:hAnsi="KaiTi" w:eastAsia="楷体"/>
          <w:b w:val="0"/>
          <w:i w:val="0"/>
          <w:sz w:val="21"/>
        </w:rPr>
        <w:t xml:space="preserve"> 红、黄、蓝风险在视觉、文字、操作和门禁行为上均有明确差异。</w:t>
      </w:r>
    </w:p>
    <w:p>
      <w:pPr>
        <w:numPr>
          <w:ilvl w:val="0"/>
          <w:numId w:val="100"/>
        </w:numPr>
        <w:spacing w:after="160" w:line="280" w:lineRule="auto"/>
      </w:pPr>
      <w:r>
        <w:rPr>
          <w:rFonts w:ascii="KaiTi" w:hAnsi="KaiTi" w:eastAsia="楷体"/>
          <w:b/>
          <w:i w:val="0"/>
          <w:sz w:val="21"/>
        </w:rPr>
        <w:t>AC-F06-002</w:t>
      </w:r>
      <w:r>
        <w:rPr>
          <w:rFonts w:ascii="KaiTi" w:hAnsi="KaiTi" w:eastAsia="楷体"/>
          <w:b w:val="0"/>
          <w:i w:val="0"/>
          <w:sz w:val="21"/>
        </w:rPr>
        <w:t xml:space="preserve"> 红色风险未处理时病历和诊断模拟提交被阻断，并能一键定位风险。</w:t>
      </w:r>
    </w:p>
    <w:p>
      <w:pPr>
        <w:numPr>
          <w:ilvl w:val="0"/>
          <w:numId w:val="100"/>
        </w:numPr>
        <w:spacing w:after="160" w:line="280" w:lineRule="auto"/>
      </w:pPr>
      <w:r>
        <w:rPr>
          <w:rFonts w:ascii="KaiTi" w:hAnsi="KaiTi" w:eastAsia="楷体"/>
          <w:b/>
          <w:i w:val="0"/>
          <w:sz w:val="21"/>
        </w:rPr>
        <w:t>AC-F06-003</w:t>
      </w:r>
      <w:r>
        <w:rPr>
          <w:rFonts w:ascii="KaiTi" w:hAnsi="KaiTi" w:eastAsia="楷体"/>
          <w:b w:val="0"/>
          <w:i w:val="0"/>
          <w:sz w:val="21"/>
        </w:rPr>
        <w:t xml:space="preserve"> 同一风险多来源合并、来源撤回、重新打开和版本演进均可追溯。</w:t>
      </w:r>
    </w:p>
    <w:p>
      <w:pPr>
        <w:numPr>
          <w:ilvl w:val="0"/>
          <w:numId w:val="100"/>
        </w:numPr>
        <w:spacing w:after="160" w:line="280" w:lineRule="auto"/>
      </w:pPr>
      <w:r>
        <w:rPr>
          <w:rFonts w:ascii="KaiTi" w:hAnsi="KaiTi" w:eastAsia="楷体"/>
          <w:b/>
          <w:i w:val="0"/>
          <w:sz w:val="21"/>
        </w:rPr>
        <w:t>AC-F06-004</w:t>
      </w:r>
      <w:r>
        <w:rPr>
          <w:rFonts w:ascii="KaiTi" w:hAnsi="KaiTi" w:eastAsia="楷体"/>
          <w:b w:val="0"/>
          <w:i w:val="0"/>
          <w:sz w:val="21"/>
        </w:rPr>
        <w:t xml:space="preserve"> Agent 故障时硬规则风险仍正常产生和阻断。</w:t>
      </w:r>
    </w:p>
    <w:p>
      <w:pPr>
        <w:numPr>
          <w:ilvl w:val="0"/>
          <w:numId w:val="100"/>
        </w:numPr>
        <w:spacing w:after="160" w:line="280" w:lineRule="auto"/>
      </w:pPr>
      <w:r>
        <w:rPr>
          <w:rFonts w:ascii="KaiTi" w:hAnsi="KaiTi" w:eastAsia="楷体"/>
          <w:b/>
          <w:i w:val="0"/>
          <w:sz w:val="21"/>
        </w:rPr>
        <w:t>AC-F06-005</w:t>
      </w:r>
      <w:r>
        <w:rPr>
          <w:rFonts w:ascii="KaiTi" w:hAnsi="KaiTi" w:eastAsia="楷体"/>
          <w:b w:val="0"/>
          <w:i w:val="0"/>
          <w:sz w:val="21"/>
        </w:rPr>
        <w:t xml:space="preserve"> 三专科高风险 Fixture 均能在约定时延内显示，且不存在跨患者泄漏。</w:t>
      </w:r>
    </w:p>
    <w:p>
      <w:pPr>
        <w:numPr>
          <w:ilvl w:val="0"/>
          <w:numId w:val="100"/>
        </w:numPr>
        <w:spacing w:after="160" w:line="280" w:lineRule="auto"/>
      </w:pPr>
      <w:r>
        <w:rPr>
          <w:rFonts w:ascii="KaiTi" w:hAnsi="KaiTi" w:eastAsia="楷体"/>
          <w:b/>
          <w:i w:val="0"/>
          <w:sz w:val="21"/>
        </w:rPr>
        <w:t>AC-F06-006</w:t>
      </w:r>
      <w:r>
        <w:rPr>
          <w:rFonts w:ascii="KaiTi" w:hAnsi="KaiTi" w:eastAsia="楷体"/>
          <w:b w:val="0"/>
          <w:i w:val="0"/>
          <w:sz w:val="21"/>
        </w:rPr>
        <w:t xml:space="preserve"> 已阅、处置、解决、误报和有因忽略都有角色、时间、原因及前后状态审计。</w:t>
      </w:r>
    </w:p>
    <w:p>
      <w:pPr>
        <w:pStyle w:val="Heading3"/>
        <w:pageBreakBefore w:val="0"/>
        <w:numPr>
          <w:ilvl w:val="2"/>
          <w:numId w:val="102"/>
        </w:numPr>
      </w:pPr>
      <w:r>
        <w:rPr>
          <w:rFonts w:ascii="KaiTi" w:hAnsi="KaiTi" w:eastAsia="楷体"/>
          <w:b/>
          <w:i w:val="0"/>
          <w:color w:val="1F4D78"/>
          <w:sz w:val="24"/>
        </w:rPr>
        <w:t>待确认</w:t>
      </w:r>
    </w:p>
    <w:p>
      <w:pPr>
        <w:numPr>
          <w:ilvl w:val="0"/>
          <w:numId w:val="100"/>
        </w:numPr>
        <w:spacing w:after="160" w:line="280" w:lineRule="auto"/>
      </w:pPr>
      <w:r>
        <w:rPr>
          <w:rFonts w:ascii="KaiTi" w:hAnsi="KaiTi" w:eastAsia="楷体"/>
          <w:b w:val="0"/>
          <w:i w:val="0"/>
          <w:sz w:val="21"/>
        </w:rPr>
        <w:t>红/黄风险目录、阈值、响应时限、授权忽略规则和升级路径。</w:t>
      </w:r>
    </w:p>
    <w:p>
      <w:pPr>
        <w:numPr>
          <w:ilvl w:val="0"/>
          <w:numId w:val="100"/>
        </w:numPr>
        <w:spacing w:after="160" w:line="280" w:lineRule="auto"/>
      </w:pPr>
      <w:r>
        <w:rPr>
          <w:rFonts w:ascii="KaiTi" w:hAnsi="KaiTi" w:eastAsia="楷体"/>
          <w:b w:val="0"/>
          <w:i w:val="0"/>
          <w:sz w:val="21"/>
        </w:rPr>
        <w:t>与医院危急值、过敏、院感及不良事件系统的权威状态关系。</w:t>
      </w:r>
    </w:p>
    <w:p>
      <w:pPr>
        <w:numPr>
          <w:ilvl w:val="0"/>
          <w:numId w:val="100"/>
        </w:numPr>
        <w:spacing w:after="160" w:line="280" w:lineRule="auto"/>
      </w:pPr>
      <w:r>
        <w:rPr>
          <w:rFonts w:ascii="KaiTi" w:hAnsi="KaiTi" w:eastAsia="楷体"/>
          <w:b w:val="0"/>
          <w:i w:val="0"/>
          <w:sz w:val="21"/>
        </w:rPr>
        <w:t>UAT 阶段允许的误报率、漏报门禁和各专科安全负责人。</w:t>
      </w:r>
    </w:p>
    <w:p>
      <w:pPr>
        <w:pStyle w:val="Heading2"/>
        <w:pageBreakBefore/>
        <w:numPr>
          <w:ilvl w:val="1"/>
          <w:numId w:val="102"/>
        </w:numPr>
      </w:pPr>
      <w:r>
        <w:rPr>
          <w:rFonts w:ascii="KaiTi" w:hAnsi="KaiTi" w:eastAsia="楷体"/>
          <w:b/>
          <w:i w:val="0"/>
          <w:color w:val="1F4D78"/>
          <w:sz w:val="26"/>
        </w:rPr>
        <w:t>F07 共病管理功能规格</w:t>
      </w:r>
    </w:p>
    <w:p>
      <w:r>
        <w:rPr>
          <w:rFonts w:ascii="KaiTi" w:hAnsi="KaiTi" w:eastAsia="楷体"/>
          <w:b w:val="0"/>
          <w:i w:val="0"/>
          <w:color w:val="596370"/>
          <w:sz w:val="19"/>
        </w:rPr>
        <w:t>版本：</w:t>
      </w:r>
      <w:r>
        <w:rPr>
          <w:rFonts w:ascii="KaiTi" w:hAnsi="KaiTi" w:eastAsia="楷体"/>
          <w:b/>
          <w:i w:val="0"/>
          <w:color w:val="596370"/>
          <w:sz w:val="19"/>
        </w:rPr>
        <w:t>v0.2-draft</w:t>
      </w:r>
      <w:r>
        <w:rPr>
          <w:rFonts w:ascii="KaiTi" w:hAnsi="KaiTi" w:eastAsia="楷体"/>
          <w:b w:val="0"/>
          <w:i w:val="0"/>
          <w:color w:val="596370"/>
          <w:sz w:val="19"/>
        </w:rPr>
        <w:t xml:space="preserve"> 集成任务：</w:t>
      </w:r>
      <w:r>
        <w:rPr>
          <w:rFonts w:ascii="KaiTi" w:hAnsi="KaiTi" w:eastAsia="楷体"/>
          <w:b/>
          <w:i w:val="0"/>
          <w:color w:val="596370"/>
          <w:sz w:val="19"/>
        </w:rPr>
        <w:t>comorbidity_management</w:t>
      </w:r>
      <w:r>
        <w:rPr>
          <w:rFonts w:ascii="KaiTi" w:hAnsi="KaiTi" w:eastAsia="楷体"/>
          <w:b w:val="0"/>
          <w:i w:val="0"/>
          <w:color w:val="596370"/>
          <w:sz w:val="19"/>
        </w:rPr>
        <w:t xml:space="preserve"> 结果类型：</w:t>
      </w:r>
      <w:r>
        <w:rPr>
          <w:rFonts w:ascii="KaiTi" w:hAnsi="KaiTi" w:eastAsia="楷体"/>
          <w:b/>
          <w:i w:val="0"/>
          <w:color w:val="596370"/>
          <w:sz w:val="19"/>
        </w:rPr>
        <w:t>comorbidity_management_plan</w:t>
      </w:r>
      <w:r>
        <w:rPr>
          <w:rFonts w:ascii="KaiTi" w:hAnsi="KaiTi" w:eastAsia="楷体"/>
          <w:b w:val="0"/>
          <w:i w:val="0"/>
          <w:color w:val="596370"/>
          <w:sz w:val="19"/>
        </w:rPr>
        <w:t xml:space="preserve"> 承载 Agent：</w:t>
      </w:r>
      <w:r>
        <w:rPr>
          <w:rFonts w:ascii="KaiTi" w:hAnsi="KaiTi" w:eastAsia="楷体"/>
          <w:b/>
          <w:i w:val="0"/>
          <w:color w:val="596370"/>
          <w:sz w:val="19"/>
        </w:rPr>
        <w:t>comorbidity_agent</w:t>
      </w:r>
    </w:p>
    <w:p>
      <w:pPr>
        <w:pStyle w:val="Heading3"/>
        <w:pageBreakBefore w:val="0"/>
        <w:numPr>
          <w:ilvl w:val="2"/>
          <w:numId w:val="102"/>
        </w:numPr>
      </w:pPr>
      <w:r>
        <w:rPr>
          <w:rFonts w:ascii="KaiTi" w:hAnsi="KaiTi" w:eastAsia="楷体"/>
          <w:b/>
          <w:i w:val="0"/>
          <w:color w:val="1F4D78"/>
          <w:sz w:val="24"/>
        </w:rPr>
        <w:t>目标与边界</w:t>
      </w:r>
    </w:p>
    <w:p>
      <w:r>
        <w:rPr>
          <w:rFonts w:ascii="KaiTi" w:hAnsi="KaiTi" w:eastAsia="楷体"/>
          <w:b w:val="0"/>
          <w:i w:val="0"/>
          <w:sz w:val="21"/>
        </w:rPr>
        <w:t>从本次问题、既往诊断、用药、检验检查和长期随访信息中识别与当前诊疗相关的共病，形成问题清单、相互影响、管理缺口和行动建议草稿，减少专科门诊“只看当前主诉而漏掉重要慢病”的风险。</w:t>
      </w:r>
    </w:p>
    <w:p>
      <w:r>
        <w:rPr>
          <w:rFonts w:ascii="KaiTi" w:hAnsi="KaiTi" w:eastAsia="楷体"/>
          <w:b w:val="0"/>
          <w:i w:val="0"/>
          <w:sz w:val="21"/>
        </w:rPr>
        <w:t>本功能不替代慢病随访系统，不自动确认历史诊断，不直接开医嘱、处方、转诊或随访任务。所有行动建议须由医生选择，并由对应业务系统执行。</w:t>
      </w:r>
    </w:p>
    <w:p>
      <w:pPr>
        <w:pStyle w:val="Heading3"/>
        <w:pageBreakBefore w:val="0"/>
        <w:numPr>
          <w:ilvl w:val="2"/>
          <w:numId w:val="102"/>
        </w:numPr>
      </w:pPr>
      <w:r>
        <w:rPr>
          <w:rFonts w:ascii="KaiTi" w:hAnsi="KaiTi" w:eastAsia="楷体"/>
          <w:b/>
          <w:i w:val="0"/>
          <w:color w:val="1F4D78"/>
          <w:sz w:val="24"/>
        </w:rPr>
        <w:t>共病纳入规则</w:t>
      </w:r>
    </w:p>
    <w:p>
      <w:r>
        <w:rPr>
          <w:rFonts w:ascii="KaiTi" w:hAnsi="KaiTi" w:eastAsia="楷体"/>
          <w:b w:val="0"/>
          <w:i w:val="0"/>
          <w:sz w:val="21"/>
        </w:rPr>
        <w:t>一期纳入同时满足以下条件的疾病或健康问题：</w:t>
      </w:r>
    </w:p>
    <w:p>
      <w:pPr>
        <w:numPr>
          <w:ilvl w:val="0"/>
          <w:numId w:val="112"/>
        </w:numPr>
        <w:spacing w:after="160" w:line="280" w:lineRule="auto"/>
      </w:pPr>
      <w:r>
        <w:rPr>
          <w:rFonts w:ascii="KaiTi" w:hAnsi="KaiTi" w:eastAsia="楷体"/>
          <w:b w:val="0"/>
          <w:i w:val="0"/>
          <w:sz w:val="21"/>
        </w:rPr>
        <w:t>存在可追溯的既往诊断、用药、检查或医生本次确认依据；</w:t>
      </w:r>
    </w:p>
    <w:p>
      <w:pPr>
        <w:numPr>
          <w:ilvl w:val="0"/>
          <w:numId w:val="112"/>
        </w:numPr>
        <w:spacing w:after="160" w:line="280" w:lineRule="auto"/>
      </w:pPr>
      <w:r>
        <w:rPr>
          <w:rFonts w:ascii="KaiTi" w:hAnsi="KaiTi" w:eastAsia="楷体"/>
          <w:b w:val="0"/>
          <w:i w:val="0"/>
          <w:sz w:val="21"/>
        </w:rPr>
        <w:t>对本次诊断、检查、用药、手术/操作风险或随访计划有影响；</w:t>
      </w:r>
    </w:p>
    <w:p>
      <w:pPr>
        <w:numPr>
          <w:ilvl w:val="0"/>
          <w:numId w:val="112"/>
        </w:numPr>
        <w:spacing w:after="160" w:line="280" w:lineRule="auto"/>
      </w:pPr>
      <w:r>
        <w:rPr>
          <w:rFonts w:ascii="KaiTi" w:hAnsi="KaiTi" w:eastAsia="楷体"/>
          <w:b w:val="0"/>
          <w:i w:val="0"/>
          <w:sz w:val="21"/>
        </w:rPr>
        <w:t>仍处于活动期、控制状态不明，或虽稳定但需要在本次决策中考虑。</w:t>
      </w:r>
    </w:p>
    <w:p>
      <w:r>
        <w:rPr>
          <w:rFonts w:ascii="KaiTi" w:hAnsi="KaiTi" w:eastAsia="楷体"/>
          <w:b w:val="0"/>
          <w:i w:val="0"/>
          <w:sz w:val="21"/>
        </w:rPr>
        <w:t>无证据的“可能共病”进入待核实清单，不进入已确认共病。已治愈或纯历史问题默认折叠，但与本次决策相关时可重新呈现。</w:t>
      </w:r>
    </w:p>
    <w:p>
      <w:pPr>
        <w:pStyle w:val="Heading3"/>
        <w:pageBreakBefore w:val="0"/>
        <w:numPr>
          <w:ilvl w:val="2"/>
          <w:numId w:val="102"/>
        </w:numPr>
      </w:pPr>
      <w:r>
        <w:rPr>
          <w:rFonts w:ascii="KaiTi" w:hAnsi="KaiTi" w:eastAsia="楷体"/>
          <w:b/>
          <w:i w:val="0"/>
          <w:color w:val="1F4D78"/>
          <w:sz w:val="24"/>
        </w:rPr>
        <w:t>输出模型</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字段</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说明</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problem_id</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共病问题稳定 ID</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name / status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名称与 confirmed、suspected、historical、resolved</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relevance</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与当前主诉、诊断、用药、检查或操作的关系</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control_status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controlled、uncontrolled、unknown，必须有依据</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evidence[]</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诊断、用药、检验检查和医生确认的来源引用</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interactions[]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疾病-疾病、疾病-用药、用药-用药或检查禁忌影响</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care_gaps[]</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缺失监测、复查、依从性、并发症筛查或转诊信息</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suggested_actions[]</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澄清、复核、监测、转诊或随访建议草稿</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risk_links[]</w:t>
            </w:r>
          </w:p>
        </w:tc>
        <w:tc>
          <w:tcPr>
            <w:tcW w:type="dxa" w:w="7056"/>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与 F06 风险项关联</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data_cutoff_at</w:t>
            </w:r>
          </w:p>
        </w:tc>
        <w:tc>
          <w:tcPr>
            <w:tcW w:type="dxa" w:w="7056"/>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评估使用的数据截止时间</w:t>
            </w:r>
          </w:p>
        </w:tc>
      </w:tr>
    </w:tbl>
    <w:p>
      <w:pPr>
        <w:spacing w:after="40"/>
      </w:pPr>
    </w:p>
    <w:p>
      <w:r>
        <w:rPr>
          <w:rFonts w:ascii="KaiTi" w:hAnsi="KaiTi" w:eastAsia="楷体"/>
          <w:b w:val="0"/>
          <w:i w:val="0"/>
          <w:sz w:val="21"/>
        </w:rPr>
        <w:t>“控制不佳”必须有明确阈值、时间窗或医生判断来源；不能仅因一次历史异常值下结论。</w:t>
      </w:r>
    </w:p>
    <w:p>
      <w:pPr>
        <w:pStyle w:val="Heading3"/>
        <w:pageBreakBefore w:val="0"/>
        <w:numPr>
          <w:ilvl w:val="2"/>
          <w:numId w:val="102"/>
        </w:numPr>
      </w:pPr>
      <w:r>
        <w:rPr>
          <w:rFonts w:ascii="KaiTi" w:hAnsi="KaiTi" w:eastAsia="楷体"/>
          <w:b/>
          <w:i w:val="0"/>
          <w:color w:val="1F4D78"/>
          <w:sz w:val="24"/>
        </w:rPr>
        <w:t>功能需求</w:t>
      </w:r>
    </w:p>
    <w:p>
      <w:pPr>
        <w:numPr>
          <w:ilvl w:val="0"/>
          <w:numId w:val="100"/>
        </w:numPr>
        <w:spacing w:after="160" w:line="280" w:lineRule="auto"/>
      </w:pPr>
      <w:r>
        <w:rPr>
          <w:rFonts w:ascii="KaiTi" w:hAnsi="KaiTi" w:eastAsia="楷体"/>
          <w:b/>
          <w:i w:val="0"/>
          <w:sz w:val="21"/>
        </w:rPr>
        <w:t>FR-F07-001</w:t>
      </w:r>
      <w:r>
        <w:rPr>
          <w:rFonts w:ascii="KaiTi" w:hAnsi="KaiTi" w:eastAsia="楷体"/>
          <w:b w:val="0"/>
          <w:i w:val="0"/>
          <w:sz w:val="21"/>
        </w:rPr>
        <w:t xml:space="preserve"> 自动形成“与本次相关”“待核实”“稳定/历史”三组问题清单。</w:t>
      </w:r>
    </w:p>
    <w:p>
      <w:pPr>
        <w:numPr>
          <w:ilvl w:val="0"/>
          <w:numId w:val="100"/>
        </w:numPr>
        <w:spacing w:after="160" w:line="280" w:lineRule="auto"/>
      </w:pPr>
      <w:r>
        <w:rPr>
          <w:rFonts w:ascii="KaiTi" w:hAnsi="KaiTi" w:eastAsia="楷体"/>
          <w:b/>
          <w:i w:val="0"/>
          <w:sz w:val="21"/>
        </w:rPr>
        <w:t>FR-F07-002</w:t>
      </w:r>
      <w:r>
        <w:rPr>
          <w:rFonts w:ascii="KaiTi" w:hAnsi="KaiTi" w:eastAsia="楷体"/>
          <w:b w:val="0"/>
          <w:i w:val="0"/>
          <w:sz w:val="21"/>
        </w:rPr>
        <w:t xml:space="preserve"> 医生可确认、纠正、隐藏、恢复或手工新增共病，并记录原因。</w:t>
      </w:r>
    </w:p>
    <w:p>
      <w:pPr>
        <w:numPr>
          <w:ilvl w:val="0"/>
          <w:numId w:val="100"/>
        </w:numPr>
        <w:spacing w:after="160" w:line="280" w:lineRule="auto"/>
      </w:pPr>
      <w:r>
        <w:rPr>
          <w:rFonts w:ascii="KaiTi" w:hAnsi="KaiTi" w:eastAsia="楷体"/>
          <w:b/>
          <w:i w:val="0"/>
          <w:sz w:val="21"/>
        </w:rPr>
        <w:t>FR-F07-003</w:t>
      </w:r>
      <w:r>
        <w:rPr>
          <w:rFonts w:ascii="KaiTi" w:hAnsi="KaiTi" w:eastAsia="楷体"/>
          <w:b w:val="0"/>
          <w:i w:val="0"/>
          <w:sz w:val="21"/>
        </w:rPr>
        <w:t xml:space="preserve"> 展示共病对本次诊疗的具体影响，不做泛化健康科普。</w:t>
      </w:r>
    </w:p>
    <w:p>
      <w:pPr>
        <w:numPr>
          <w:ilvl w:val="0"/>
          <w:numId w:val="100"/>
        </w:numPr>
        <w:spacing w:after="160" w:line="280" w:lineRule="auto"/>
      </w:pPr>
      <w:r>
        <w:rPr>
          <w:rFonts w:ascii="KaiTi" w:hAnsi="KaiTi" w:eastAsia="楷体"/>
          <w:b/>
          <w:i w:val="0"/>
          <w:sz w:val="21"/>
        </w:rPr>
        <w:t>FR-F07-004</w:t>
      </w:r>
      <w:r>
        <w:rPr>
          <w:rFonts w:ascii="KaiTi" w:hAnsi="KaiTi" w:eastAsia="楷体"/>
          <w:b w:val="0"/>
          <w:i w:val="0"/>
          <w:sz w:val="21"/>
        </w:rPr>
        <w:t xml:space="preserve"> 展示管理缺口和行动建议草稿，医生可选中后复制到病历或形成模拟任务。</w:t>
      </w:r>
    </w:p>
    <w:p>
      <w:pPr>
        <w:numPr>
          <w:ilvl w:val="0"/>
          <w:numId w:val="100"/>
        </w:numPr>
        <w:spacing w:after="160" w:line="280" w:lineRule="auto"/>
      </w:pPr>
      <w:r>
        <w:rPr>
          <w:rFonts w:ascii="KaiTi" w:hAnsi="KaiTi" w:eastAsia="楷体"/>
          <w:b/>
          <w:i w:val="0"/>
          <w:sz w:val="21"/>
        </w:rPr>
        <w:t>FR-F07-005</w:t>
      </w:r>
      <w:r>
        <w:rPr>
          <w:rFonts w:ascii="KaiTi" w:hAnsi="KaiTi" w:eastAsia="楷体"/>
          <w:b w:val="0"/>
          <w:i w:val="0"/>
          <w:sz w:val="21"/>
        </w:rPr>
        <w:t xml:space="preserve"> 诊断、用药、检验或风险状态变化时，相关结果标记过期并说明原因。</w:t>
      </w:r>
    </w:p>
    <w:p>
      <w:pPr>
        <w:numPr>
          <w:ilvl w:val="0"/>
          <w:numId w:val="100"/>
        </w:numPr>
        <w:spacing w:after="160" w:line="280" w:lineRule="auto"/>
      </w:pPr>
      <w:r>
        <w:rPr>
          <w:rFonts w:ascii="KaiTi" w:hAnsi="KaiTi" w:eastAsia="楷体"/>
          <w:b/>
          <w:i w:val="0"/>
          <w:sz w:val="21"/>
        </w:rPr>
        <w:t>FR-F07-006</w:t>
      </w:r>
      <w:r>
        <w:rPr>
          <w:rFonts w:ascii="KaiTi" w:hAnsi="KaiTi" w:eastAsia="楷体"/>
          <w:b w:val="0"/>
          <w:i w:val="0"/>
          <w:sz w:val="21"/>
        </w:rPr>
        <w:t xml:space="preserve"> 对多病共存的关键冲突进行去重、排序和风险升级。</w:t>
      </w:r>
    </w:p>
    <w:p>
      <w:pPr>
        <w:pStyle w:val="Heading3"/>
        <w:pageBreakBefore w:val="0"/>
        <w:numPr>
          <w:ilvl w:val="2"/>
          <w:numId w:val="102"/>
        </w:numPr>
      </w:pPr>
      <w:r>
        <w:rPr>
          <w:rFonts w:ascii="KaiTi" w:hAnsi="KaiTi" w:eastAsia="楷体"/>
          <w:b/>
          <w:i w:val="0"/>
          <w:color w:val="1F4D78"/>
          <w:sz w:val="24"/>
        </w:rPr>
        <w:t>UI/UX 要求</w:t>
      </w:r>
    </w:p>
    <w:p>
      <w:pPr>
        <w:numPr>
          <w:ilvl w:val="0"/>
          <w:numId w:val="100"/>
        </w:numPr>
        <w:spacing w:after="160" w:line="280" w:lineRule="auto"/>
      </w:pPr>
      <w:r>
        <w:rPr>
          <w:rFonts w:ascii="KaiTi" w:hAnsi="KaiTi" w:eastAsia="楷体"/>
          <w:b/>
          <w:i w:val="0"/>
          <w:sz w:val="21"/>
        </w:rPr>
        <w:t>UX-F07-001</w:t>
      </w:r>
      <w:r>
        <w:rPr>
          <w:rFonts w:ascii="KaiTi" w:hAnsi="KaiTi" w:eastAsia="楷体"/>
          <w:b w:val="0"/>
          <w:i w:val="0"/>
          <w:sz w:val="21"/>
        </w:rPr>
        <w:t xml:space="preserve"> 默认只展开与当前决策有关的问题；稳定/历史共病折叠，避免信息淹没。</w:t>
      </w:r>
    </w:p>
    <w:p>
      <w:pPr>
        <w:numPr>
          <w:ilvl w:val="0"/>
          <w:numId w:val="100"/>
        </w:numPr>
        <w:spacing w:after="160" w:line="280" w:lineRule="auto"/>
      </w:pPr>
      <w:r>
        <w:rPr>
          <w:rFonts w:ascii="KaiTi" w:hAnsi="KaiTi" w:eastAsia="楷体"/>
          <w:b/>
          <w:i w:val="0"/>
          <w:sz w:val="21"/>
        </w:rPr>
        <w:t>UX-F07-002</w:t>
      </w:r>
      <w:r>
        <w:rPr>
          <w:rFonts w:ascii="KaiTi" w:hAnsi="KaiTi" w:eastAsia="楷体"/>
          <w:b w:val="0"/>
          <w:i w:val="0"/>
          <w:sz w:val="21"/>
        </w:rPr>
        <w:t xml:space="preserve"> 每张卡片首屏展示“为什么现在相关、控制状态、一个主要缺口、一个主要动作”。</w:t>
      </w:r>
    </w:p>
    <w:p>
      <w:pPr>
        <w:numPr>
          <w:ilvl w:val="0"/>
          <w:numId w:val="100"/>
        </w:numPr>
        <w:spacing w:after="160" w:line="280" w:lineRule="auto"/>
      </w:pPr>
      <w:r>
        <w:rPr>
          <w:rFonts w:ascii="KaiTi" w:hAnsi="KaiTi" w:eastAsia="楷体"/>
          <w:b/>
          <w:i w:val="0"/>
          <w:sz w:val="21"/>
        </w:rPr>
        <w:t>UX-F07-003</w:t>
      </w:r>
      <w:r>
        <w:rPr>
          <w:rFonts w:ascii="KaiTi" w:hAnsi="KaiTi" w:eastAsia="楷体"/>
          <w:b w:val="0"/>
          <w:i w:val="0"/>
          <w:sz w:val="21"/>
        </w:rPr>
        <w:t xml:space="preserve"> 疾病相互影响以双向关系清楚表述，例如“肾功能影响药物选择”，不用难以解释的综合分数。</w:t>
      </w:r>
    </w:p>
    <w:p>
      <w:pPr>
        <w:numPr>
          <w:ilvl w:val="0"/>
          <w:numId w:val="100"/>
        </w:numPr>
        <w:spacing w:after="160" w:line="280" w:lineRule="auto"/>
      </w:pPr>
      <w:r>
        <w:rPr>
          <w:rFonts w:ascii="KaiTi" w:hAnsi="KaiTi" w:eastAsia="楷体"/>
          <w:b/>
          <w:i w:val="0"/>
          <w:sz w:val="21"/>
        </w:rPr>
        <w:t>UX-F07-004</w:t>
      </w:r>
      <w:r>
        <w:rPr>
          <w:rFonts w:ascii="KaiTi" w:hAnsi="KaiTi" w:eastAsia="楷体"/>
          <w:b w:val="0"/>
          <w:i w:val="0"/>
          <w:sz w:val="21"/>
        </w:rPr>
        <w:t xml:space="preserve"> 行动按钮表述为“加入问诊问题”“复制到处理意见”“创建模拟随访”“暂不处理”，不使用暗示已执行的文案。</w:t>
      </w:r>
    </w:p>
    <w:p>
      <w:pPr>
        <w:numPr>
          <w:ilvl w:val="0"/>
          <w:numId w:val="100"/>
        </w:numPr>
        <w:spacing w:after="160" w:line="280" w:lineRule="auto"/>
      </w:pPr>
      <w:r>
        <w:rPr>
          <w:rFonts w:ascii="KaiTi" w:hAnsi="KaiTi" w:eastAsia="楷体"/>
          <w:b/>
          <w:i w:val="0"/>
          <w:sz w:val="21"/>
        </w:rPr>
        <w:t>UX-F07-005</w:t>
      </w:r>
      <w:r>
        <w:rPr>
          <w:rFonts w:ascii="KaiTi" w:hAnsi="KaiTi" w:eastAsia="楷体"/>
          <w:b w:val="0"/>
          <w:i w:val="0"/>
          <w:sz w:val="21"/>
        </w:rPr>
        <w:t xml:space="preserve"> 来源和时间在证据抽屉展示；过期数据在卡片摘要中明确提示。</w:t>
      </w:r>
    </w:p>
    <w:p>
      <w:pPr>
        <w:numPr>
          <w:ilvl w:val="0"/>
          <w:numId w:val="100"/>
        </w:numPr>
        <w:spacing w:after="160" w:line="280" w:lineRule="auto"/>
      </w:pPr>
      <w:r>
        <w:rPr>
          <w:rFonts w:ascii="KaiTi" w:hAnsi="KaiTi" w:eastAsia="楷体"/>
          <w:b/>
          <w:i w:val="0"/>
          <w:sz w:val="21"/>
        </w:rPr>
        <w:t>UX-F07-006</w:t>
      </w:r>
      <w:r>
        <w:rPr>
          <w:rFonts w:ascii="KaiTi" w:hAnsi="KaiTi" w:eastAsia="楷体"/>
          <w:b w:val="0"/>
          <w:i w:val="0"/>
          <w:sz w:val="21"/>
        </w:rPr>
        <w:t xml:space="preserve"> 与红/黄风险相关的共病显示风险状态，但处置动作跳转到 F06 的唯一权威风险项。</w:t>
      </w:r>
    </w:p>
    <w:p>
      <w:pPr>
        <w:pStyle w:val="Heading3"/>
        <w:pageBreakBefore w:val="0"/>
        <w:numPr>
          <w:ilvl w:val="2"/>
          <w:numId w:val="102"/>
        </w:numPr>
      </w:pPr>
      <w:r>
        <w:rPr>
          <w:rFonts w:ascii="KaiTi" w:hAnsi="KaiTi" w:eastAsia="楷体"/>
          <w:b/>
          <w:i w:val="0"/>
          <w:color w:val="1F4D78"/>
          <w:sz w:val="24"/>
        </w:rPr>
        <w:t>业务和安全规则</w:t>
      </w:r>
    </w:p>
    <w:p>
      <w:pPr>
        <w:numPr>
          <w:ilvl w:val="0"/>
          <w:numId w:val="100"/>
        </w:numPr>
        <w:spacing w:after="160" w:line="280" w:lineRule="auto"/>
      </w:pPr>
      <w:r>
        <w:rPr>
          <w:rFonts w:ascii="KaiTi" w:hAnsi="KaiTi" w:eastAsia="楷体"/>
          <w:b/>
          <w:i w:val="0"/>
          <w:sz w:val="21"/>
        </w:rPr>
        <w:t>BR-F07-001</w:t>
      </w:r>
      <w:r>
        <w:rPr>
          <w:rFonts w:ascii="KaiTi" w:hAnsi="KaiTi" w:eastAsia="楷体"/>
          <w:b w:val="0"/>
          <w:i w:val="0"/>
          <w:sz w:val="21"/>
        </w:rPr>
        <w:t xml:space="preserve"> 共病问题与 F05 诊断共享标准术语，但状态和业务语义独立，不自动互转。</w:t>
      </w:r>
    </w:p>
    <w:p>
      <w:pPr>
        <w:numPr>
          <w:ilvl w:val="0"/>
          <w:numId w:val="100"/>
        </w:numPr>
        <w:spacing w:after="160" w:line="280" w:lineRule="auto"/>
      </w:pPr>
      <w:r>
        <w:rPr>
          <w:rFonts w:ascii="KaiTi" w:hAnsi="KaiTi" w:eastAsia="楷体"/>
          <w:b/>
          <w:i w:val="0"/>
          <w:sz w:val="21"/>
        </w:rPr>
        <w:t>BR-F07-002</w:t>
      </w:r>
      <w:r>
        <w:rPr>
          <w:rFonts w:ascii="KaiTi" w:hAnsi="KaiTi" w:eastAsia="楷体"/>
          <w:b w:val="0"/>
          <w:i w:val="0"/>
          <w:sz w:val="21"/>
        </w:rPr>
        <w:t xml:space="preserve"> 医生确认/纠正优先于 Agent 新结果；重新评估不得无提示覆盖。</w:t>
      </w:r>
    </w:p>
    <w:p>
      <w:pPr>
        <w:numPr>
          <w:ilvl w:val="0"/>
          <w:numId w:val="100"/>
        </w:numPr>
        <w:spacing w:after="160" w:line="280" w:lineRule="auto"/>
      </w:pPr>
      <w:r>
        <w:rPr>
          <w:rFonts w:ascii="KaiTi" w:hAnsi="KaiTi" w:eastAsia="楷体"/>
          <w:b/>
          <w:i w:val="0"/>
          <w:sz w:val="21"/>
        </w:rPr>
        <w:t>BR-F07-003</w:t>
      </w:r>
      <w:r>
        <w:rPr>
          <w:rFonts w:ascii="KaiTi" w:hAnsi="KaiTi" w:eastAsia="楷体"/>
          <w:b w:val="0"/>
          <w:i w:val="0"/>
          <w:sz w:val="21"/>
        </w:rPr>
        <w:t xml:space="preserve"> 建议的监测、转诊和随访均为草稿，进入其他系统前必须二次确认。</w:t>
      </w:r>
    </w:p>
    <w:p>
      <w:pPr>
        <w:numPr>
          <w:ilvl w:val="0"/>
          <w:numId w:val="100"/>
        </w:numPr>
        <w:spacing w:after="160" w:line="280" w:lineRule="auto"/>
      </w:pPr>
      <w:r>
        <w:rPr>
          <w:rFonts w:ascii="KaiTi" w:hAnsi="KaiTi" w:eastAsia="楷体"/>
          <w:b/>
          <w:i w:val="0"/>
          <w:sz w:val="21"/>
        </w:rPr>
        <w:t>BR-F07-004</w:t>
      </w:r>
      <w:r>
        <w:rPr>
          <w:rFonts w:ascii="KaiTi" w:hAnsi="KaiTi" w:eastAsia="楷体"/>
          <w:b w:val="0"/>
          <w:i w:val="0"/>
          <w:sz w:val="21"/>
        </w:rPr>
        <w:t xml:space="preserve"> 对同一管理缺口的多来源建议必须合并并保留来源。</w:t>
      </w:r>
    </w:p>
    <w:p>
      <w:pPr>
        <w:numPr>
          <w:ilvl w:val="0"/>
          <w:numId w:val="100"/>
        </w:numPr>
        <w:spacing w:after="160" w:line="280" w:lineRule="auto"/>
      </w:pPr>
      <w:r>
        <w:rPr>
          <w:rFonts w:ascii="KaiTi" w:hAnsi="KaiTi" w:eastAsia="楷体"/>
          <w:b/>
          <w:i w:val="0"/>
          <w:sz w:val="21"/>
        </w:rPr>
        <w:t>BR-F07-005</w:t>
      </w:r>
      <w:r>
        <w:rPr>
          <w:rFonts w:ascii="KaiTi" w:hAnsi="KaiTi" w:eastAsia="楷体"/>
          <w:b w:val="0"/>
          <w:i w:val="0"/>
          <w:sz w:val="21"/>
        </w:rPr>
        <w:t xml:space="preserve"> 专科阈值、监测周期和指南版本必须进入规则包版本。</w:t>
      </w:r>
    </w:p>
    <w:p>
      <w:pPr>
        <w:numPr>
          <w:ilvl w:val="0"/>
          <w:numId w:val="100"/>
        </w:numPr>
        <w:spacing w:after="160" w:line="280" w:lineRule="auto"/>
      </w:pPr>
      <w:r>
        <w:rPr>
          <w:rFonts w:ascii="KaiTi" w:hAnsi="KaiTi" w:eastAsia="楷体"/>
          <w:b/>
          <w:i w:val="0"/>
          <w:sz w:val="21"/>
        </w:rPr>
        <w:t>SAFE-F07-001</w:t>
      </w:r>
      <w:r>
        <w:rPr>
          <w:rFonts w:ascii="KaiTi" w:hAnsi="KaiTi" w:eastAsia="楷体"/>
          <w:b w:val="0"/>
          <w:i w:val="0"/>
          <w:sz w:val="21"/>
        </w:rPr>
        <w:t xml:space="preserve"> 不得基于姓名相似、一次异常值或过期用药记录直接确认共病。</w:t>
      </w:r>
    </w:p>
    <w:p>
      <w:pPr>
        <w:numPr>
          <w:ilvl w:val="0"/>
          <w:numId w:val="100"/>
        </w:numPr>
        <w:spacing w:after="160" w:line="280" w:lineRule="auto"/>
      </w:pPr>
      <w:r>
        <w:rPr>
          <w:rFonts w:ascii="KaiTi" w:hAnsi="KaiTi" w:eastAsia="楷体"/>
          <w:b/>
          <w:i w:val="0"/>
          <w:sz w:val="21"/>
        </w:rPr>
        <w:t>SAFE-F07-002</w:t>
      </w:r>
      <w:r>
        <w:rPr>
          <w:rFonts w:ascii="KaiTi" w:hAnsi="KaiTi" w:eastAsia="楷体"/>
          <w:b w:val="0"/>
          <w:i w:val="0"/>
          <w:sz w:val="21"/>
        </w:rPr>
        <w:t xml:space="preserve"> 存在相互作用或器官功能禁忌的高风险建议必须同步上报 F06。</w:t>
      </w:r>
    </w:p>
    <w:p>
      <w:pPr>
        <w:numPr>
          <w:ilvl w:val="0"/>
          <w:numId w:val="100"/>
        </w:numPr>
        <w:spacing w:after="160" w:line="280" w:lineRule="auto"/>
      </w:pPr>
      <w:r>
        <w:rPr>
          <w:rFonts w:ascii="KaiTi" w:hAnsi="KaiTi" w:eastAsia="楷体"/>
          <w:b/>
          <w:i w:val="0"/>
          <w:sz w:val="21"/>
        </w:rPr>
        <w:t>SAFE-F07-003</w:t>
      </w:r>
      <w:r>
        <w:rPr>
          <w:rFonts w:ascii="KaiTi" w:hAnsi="KaiTi" w:eastAsia="楷体"/>
          <w:b w:val="0"/>
          <w:i w:val="0"/>
          <w:sz w:val="21"/>
        </w:rPr>
        <w:t xml:space="preserve"> 患者/就诊错配、来源缺失、时间语义错误和自动执行动作均由门禁阻止。</w:t>
      </w:r>
    </w:p>
    <w:p>
      <w:pPr>
        <w:pStyle w:val="Heading3"/>
        <w:pageBreakBefore w:val="0"/>
        <w:numPr>
          <w:ilvl w:val="2"/>
          <w:numId w:val="102"/>
        </w:numPr>
      </w:pPr>
      <w:r>
        <w:rPr>
          <w:rFonts w:ascii="KaiTi" w:hAnsi="KaiTi" w:eastAsia="楷体"/>
          <w:b/>
          <w:i w:val="0"/>
          <w:color w:val="1F4D78"/>
          <w:sz w:val="24"/>
        </w:rPr>
        <w:t>专科一期场景</w:t>
      </w:r>
    </w:p>
    <w:tbl>
      <w:tblPr>
        <w:tblStyle w:val="TableGrid"/>
        <w:tblW w:type="dxa" w:w="9360"/>
        <w:jc w:val="left"/>
        <w:tblLayout w:type="fixed"/>
        <w:tblLook w:firstColumn="1" w:firstRow="1" w:lastColumn="0" w:lastRow="0" w:noHBand="0" w:noVBand="1" w:val="04A0"/>
        <w:tblInd w:type="dxa" w:w="120"/>
      </w:tblPr>
      <w:tblGrid>
        <w:gridCol w:w="2304"/>
        <w:gridCol w:w="7056"/>
      </w:tblGrid>
      <w:tr>
        <w:trPr>
          <w:tblHeader w:val="true"/>
          <w:cantSplit w:val="true"/>
        </w:trPr>
        <w:tc>
          <w:tcPr>
            <w:tcW w:type="dxa" w:w="230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范围</w:t>
            </w:r>
          </w:p>
        </w:tc>
        <w:tc>
          <w:tcPr>
            <w:tcW w:type="dxa" w:w="7056"/>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共病管理重点</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内分泌/代谢</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高血压、血脂异常、肥胖、心肾血管并发症、甲状腺与代谢互相影响、多药管理</w:t>
            </w:r>
          </w:p>
        </w:tc>
      </w:tr>
      <w:tr>
        <w:trPr>
          <w:cantSplit w:val="true"/>
        </w:trPr>
        <w:tc>
          <w:tcPr>
            <w:tcW w:type="dxa" w:w="230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普通骨科</w:t>
            </w:r>
          </w:p>
        </w:tc>
        <w:tc>
          <w:tcPr>
            <w:tcW w:type="dxa" w:w="7056"/>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糖尿病/骨质疏松对愈合与感染风险的影响，抗凝、肾功能和慢病用药对检查/操作的影响</w:t>
            </w:r>
          </w:p>
        </w:tc>
      </w:tr>
      <w:tr>
        <w:trPr>
          <w:cantSplit w:val="true"/>
        </w:trPr>
        <w:tc>
          <w:tcPr>
            <w:tcW w:type="dxa" w:w="230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普通妇科</w:t>
            </w:r>
          </w:p>
        </w:tc>
        <w:tc>
          <w:tcPr>
            <w:tcW w:type="dxa" w:w="7056"/>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妊娠可能、贫血、代谢异常、血栓风险、肿瘤史及慢病用药对妇科诊疗的影响</w:t>
            </w:r>
          </w:p>
        </w:tc>
      </w:tr>
    </w:tbl>
    <w:p>
      <w:pPr>
        <w:spacing w:after="40"/>
      </w:pPr>
    </w:p>
    <w:p>
      <w:r>
        <w:rPr>
          <w:rFonts w:ascii="KaiTi" w:hAnsi="KaiTi" w:eastAsia="楷体"/>
          <w:b w:val="0"/>
          <w:i w:val="0"/>
          <w:sz w:val="21"/>
        </w:rPr>
        <w:t>一期评测既要覆盖单一共病，也要覆盖三种以上问题并存时的排序、去重和相互作用。</w:t>
      </w:r>
    </w:p>
    <w:p>
      <w:pPr>
        <w:pStyle w:val="Heading3"/>
        <w:pageBreakBefore w:val="0"/>
        <w:numPr>
          <w:ilvl w:val="2"/>
          <w:numId w:val="102"/>
        </w:numPr>
      </w:pPr>
      <w:r>
        <w:rPr>
          <w:rFonts w:ascii="KaiTi" w:hAnsi="KaiTi" w:eastAsia="楷体"/>
          <w:b/>
          <w:i w:val="0"/>
          <w:color w:val="1F4D78"/>
          <w:sz w:val="24"/>
        </w:rPr>
        <w:t>失败与降级</w:t>
      </w:r>
    </w:p>
    <w:p>
      <w:pPr>
        <w:numPr>
          <w:ilvl w:val="0"/>
          <w:numId w:val="100"/>
        </w:numPr>
        <w:spacing w:after="160" w:line="280" w:lineRule="auto"/>
      </w:pPr>
      <w:r>
        <w:rPr>
          <w:rFonts w:ascii="KaiTi" w:hAnsi="KaiTi" w:eastAsia="楷体"/>
          <w:b w:val="0"/>
          <w:i w:val="0"/>
          <w:sz w:val="21"/>
        </w:rPr>
        <w:t>历史数据不足：显示“可用资料不足”并列出需要核实的信息，不生成全量阴性结论。</w:t>
      </w:r>
    </w:p>
    <w:p>
      <w:pPr>
        <w:numPr>
          <w:ilvl w:val="0"/>
          <w:numId w:val="100"/>
        </w:numPr>
        <w:spacing w:after="160" w:line="280" w:lineRule="auto"/>
      </w:pPr>
      <w:r>
        <w:rPr>
          <w:rFonts w:ascii="KaiTi" w:hAnsi="KaiTi" w:eastAsia="楷体"/>
          <w:b w:val="0"/>
          <w:i w:val="0"/>
          <w:sz w:val="21"/>
        </w:rPr>
        <w:t>用药或检验数据源不可用：标记受影响的共病判断和行动建议，不隐藏数据缺口。</w:t>
      </w:r>
    </w:p>
    <w:p>
      <w:pPr>
        <w:numPr>
          <w:ilvl w:val="0"/>
          <w:numId w:val="100"/>
        </w:numPr>
        <w:spacing w:after="160" w:line="280" w:lineRule="auto"/>
      </w:pPr>
      <w:r>
        <w:rPr>
          <w:rFonts w:ascii="KaiTi" w:hAnsi="KaiTi" w:eastAsia="楷体"/>
          <w:b w:val="0"/>
          <w:i w:val="0"/>
          <w:sz w:val="21"/>
        </w:rPr>
        <w:t>Agent 超时：保留医生维护的问题清单和上一次结果，标记可能过期。</w:t>
      </w:r>
    </w:p>
    <w:p>
      <w:pPr>
        <w:numPr>
          <w:ilvl w:val="0"/>
          <w:numId w:val="100"/>
        </w:numPr>
        <w:spacing w:after="160" w:line="280" w:lineRule="auto"/>
      </w:pPr>
      <w:r>
        <w:rPr>
          <w:rFonts w:ascii="KaiTi" w:hAnsi="KaiTi" w:eastAsia="楷体"/>
          <w:b w:val="0"/>
          <w:i w:val="0"/>
          <w:sz w:val="21"/>
        </w:rPr>
        <w:t>模拟任务创建失败：保留选中的建议，回执显示失败，不误标为已安排。</w:t>
      </w:r>
    </w:p>
    <w:p>
      <w:pPr>
        <w:pStyle w:val="Heading3"/>
        <w:pageBreakBefore w:val="0"/>
        <w:numPr>
          <w:ilvl w:val="2"/>
          <w:numId w:val="102"/>
        </w:numPr>
      </w:pPr>
      <w:r>
        <w:rPr>
          <w:rFonts w:ascii="KaiTi" w:hAnsi="KaiTi" w:eastAsia="楷体"/>
          <w:b/>
          <w:i w:val="0"/>
          <w:color w:val="1F4D78"/>
          <w:sz w:val="24"/>
        </w:rPr>
        <w:t>验收标准</w:t>
      </w:r>
    </w:p>
    <w:p>
      <w:pPr>
        <w:numPr>
          <w:ilvl w:val="0"/>
          <w:numId w:val="100"/>
        </w:numPr>
        <w:spacing w:after="160" w:line="280" w:lineRule="auto"/>
      </w:pPr>
      <w:r>
        <w:rPr>
          <w:rFonts w:ascii="KaiTi" w:hAnsi="KaiTi" w:eastAsia="楷体"/>
          <w:b/>
          <w:i w:val="0"/>
          <w:sz w:val="21"/>
        </w:rPr>
        <w:t>AC-F07-001</w:t>
      </w:r>
      <w:r>
        <w:rPr>
          <w:rFonts w:ascii="KaiTi" w:hAnsi="KaiTi" w:eastAsia="楷体"/>
          <w:b w:val="0"/>
          <w:i w:val="0"/>
          <w:sz w:val="21"/>
        </w:rPr>
        <w:t xml:space="preserve"> 共病纳入均有来源和与本次就诊的相关性说明。</w:t>
      </w:r>
    </w:p>
    <w:p>
      <w:pPr>
        <w:numPr>
          <w:ilvl w:val="0"/>
          <w:numId w:val="100"/>
        </w:numPr>
        <w:spacing w:after="160" w:line="280" w:lineRule="auto"/>
      </w:pPr>
      <w:r>
        <w:rPr>
          <w:rFonts w:ascii="KaiTi" w:hAnsi="KaiTi" w:eastAsia="楷体"/>
          <w:b/>
          <w:i w:val="0"/>
          <w:sz w:val="21"/>
        </w:rPr>
        <w:t>AC-F07-002</w:t>
      </w:r>
      <w:r>
        <w:rPr>
          <w:rFonts w:ascii="KaiTi" w:hAnsi="KaiTi" w:eastAsia="楷体"/>
          <w:b w:val="0"/>
          <w:i w:val="0"/>
          <w:sz w:val="21"/>
        </w:rPr>
        <w:t xml:space="preserve"> 已确认、待核实、稳定/历史分组与医生纠正能跨重新评估保持。</w:t>
      </w:r>
    </w:p>
    <w:p>
      <w:pPr>
        <w:numPr>
          <w:ilvl w:val="0"/>
          <w:numId w:val="100"/>
        </w:numPr>
        <w:spacing w:after="160" w:line="280" w:lineRule="auto"/>
      </w:pPr>
      <w:r>
        <w:rPr>
          <w:rFonts w:ascii="KaiTi" w:hAnsi="KaiTi" w:eastAsia="楷体"/>
          <w:b/>
          <w:i w:val="0"/>
          <w:sz w:val="21"/>
        </w:rPr>
        <w:t>AC-F07-003</w:t>
      </w:r>
      <w:r>
        <w:rPr>
          <w:rFonts w:ascii="KaiTi" w:hAnsi="KaiTi" w:eastAsia="楷体"/>
          <w:b w:val="0"/>
          <w:i w:val="0"/>
          <w:sz w:val="21"/>
        </w:rPr>
        <w:t xml:space="preserve"> 共病与诊断、用药、检查及风险的相互影响可追溯且去重。</w:t>
      </w:r>
    </w:p>
    <w:p>
      <w:pPr>
        <w:numPr>
          <w:ilvl w:val="0"/>
          <w:numId w:val="100"/>
        </w:numPr>
        <w:spacing w:after="160" w:line="280" w:lineRule="auto"/>
      </w:pPr>
      <w:r>
        <w:rPr>
          <w:rFonts w:ascii="KaiTi" w:hAnsi="KaiTi" w:eastAsia="楷体"/>
          <w:b/>
          <w:i w:val="0"/>
          <w:sz w:val="21"/>
        </w:rPr>
        <w:t>AC-F07-004</w:t>
      </w:r>
      <w:r>
        <w:rPr>
          <w:rFonts w:ascii="KaiTi" w:hAnsi="KaiTi" w:eastAsia="楷体"/>
          <w:b w:val="0"/>
          <w:i w:val="0"/>
          <w:sz w:val="21"/>
        </w:rPr>
        <w:t xml:space="preserve"> 行动建议只能形成草稿或模拟任务，不得被标记为真实执行。</w:t>
      </w:r>
    </w:p>
    <w:p>
      <w:pPr>
        <w:numPr>
          <w:ilvl w:val="0"/>
          <w:numId w:val="100"/>
        </w:numPr>
        <w:spacing w:after="160" w:line="280" w:lineRule="auto"/>
      </w:pPr>
      <w:r>
        <w:rPr>
          <w:rFonts w:ascii="KaiTi" w:hAnsi="KaiTi" w:eastAsia="楷体"/>
          <w:b/>
          <w:i w:val="0"/>
          <w:sz w:val="21"/>
        </w:rPr>
        <w:t>AC-F07-005</w:t>
      </w:r>
      <w:r>
        <w:rPr>
          <w:rFonts w:ascii="KaiTi" w:hAnsi="KaiTi" w:eastAsia="楷体"/>
          <w:b w:val="0"/>
          <w:i w:val="0"/>
          <w:sz w:val="21"/>
        </w:rPr>
        <w:t xml:space="preserve"> 三专科 Fixture 均覆盖至少一个控制状态判断、一个管理缺口和一个交互风险。</w:t>
      </w:r>
    </w:p>
    <w:p>
      <w:pPr>
        <w:numPr>
          <w:ilvl w:val="0"/>
          <w:numId w:val="100"/>
        </w:numPr>
        <w:spacing w:after="160" w:line="280" w:lineRule="auto"/>
      </w:pPr>
      <w:r>
        <w:rPr>
          <w:rFonts w:ascii="KaiTi" w:hAnsi="KaiTi" w:eastAsia="楷体"/>
          <w:b/>
          <w:i w:val="0"/>
          <w:sz w:val="21"/>
        </w:rPr>
        <w:t>AC-F07-006</w:t>
      </w:r>
      <w:r>
        <w:rPr>
          <w:rFonts w:ascii="KaiTi" w:hAnsi="KaiTi" w:eastAsia="楷体"/>
          <w:b w:val="0"/>
          <w:i w:val="0"/>
          <w:sz w:val="21"/>
        </w:rPr>
        <w:t xml:space="preserve"> 过期数据、错误患者、单次异常值误判和 Agent 不可用均有正确降级行为。</w:t>
      </w:r>
    </w:p>
    <w:p>
      <w:pPr>
        <w:pStyle w:val="Heading3"/>
        <w:pageBreakBefore w:val="0"/>
        <w:numPr>
          <w:ilvl w:val="2"/>
          <w:numId w:val="102"/>
        </w:numPr>
      </w:pPr>
      <w:r>
        <w:rPr>
          <w:rFonts w:ascii="KaiTi" w:hAnsi="KaiTi" w:eastAsia="楷体"/>
          <w:b/>
          <w:i w:val="0"/>
          <w:color w:val="1F4D78"/>
          <w:sz w:val="24"/>
        </w:rPr>
        <w:t>待确认</w:t>
      </w:r>
    </w:p>
    <w:p>
      <w:pPr>
        <w:numPr>
          <w:ilvl w:val="0"/>
          <w:numId w:val="100"/>
        </w:numPr>
        <w:spacing w:after="160" w:line="280" w:lineRule="auto"/>
      </w:pPr>
      <w:r>
        <w:rPr>
          <w:rFonts w:ascii="KaiTi" w:hAnsi="KaiTi" w:eastAsia="楷体"/>
          <w:b w:val="0"/>
          <w:i w:val="0"/>
          <w:sz w:val="21"/>
        </w:rPr>
        <w:t>共病优先级、控制状态阈值、监测周期和专科指南版本。</w:t>
      </w:r>
    </w:p>
    <w:p>
      <w:pPr>
        <w:numPr>
          <w:ilvl w:val="0"/>
          <w:numId w:val="100"/>
        </w:numPr>
        <w:spacing w:after="160" w:line="280" w:lineRule="auto"/>
      </w:pPr>
      <w:r>
        <w:rPr>
          <w:rFonts w:ascii="KaiTi" w:hAnsi="KaiTi" w:eastAsia="楷体"/>
          <w:b w:val="0"/>
          <w:i w:val="0"/>
          <w:sz w:val="21"/>
        </w:rPr>
        <w:t>医院已有慢病管理、随访和转诊系统的接口与权威数据边界。</w:t>
      </w:r>
    </w:p>
    <w:p>
      <w:pPr>
        <w:numPr>
          <w:ilvl w:val="0"/>
          <w:numId w:val="100"/>
        </w:numPr>
        <w:spacing w:after="160" w:line="280" w:lineRule="auto"/>
      </w:pPr>
      <w:r>
        <w:rPr>
          <w:rFonts w:ascii="KaiTi" w:hAnsi="KaiTi" w:eastAsia="楷体"/>
          <w:b w:val="0"/>
          <w:i w:val="0"/>
          <w:sz w:val="21"/>
        </w:rPr>
        <w:t>哪些共病必须在门诊病历中体现、哪些仅作为工作台提醒。</w:t>
      </w:r>
    </w:p>
    <w:p>
      <w:pPr>
        <w:pStyle w:val="Heading1"/>
        <w:pageBreakBefore/>
        <w:numPr>
          <w:ilvl w:val="0"/>
          <w:numId w:val="102"/>
        </w:numPr>
      </w:pPr>
      <w:r>
        <w:rPr>
          <w:rFonts w:ascii="KaiTi" w:hAnsi="KaiTi" w:eastAsia="楷体"/>
          <w:b/>
          <w:i w:val="0"/>
          <w:color w:val="1F4D78"/>
          <w:sz w:val="32"/>
        </w:rPr>
        <w:t>一期 UI/UX 与功能测试用例</w:t>
      </w:r>
    </w:p>
    <w:p>
      <w:r>
        <w:rPr>
          <w:rFonts w:ascii="KaiTi" w:hAnsi="KaiTi" w:eastAsia="楷体"/>
          <w:b w:val="0"/>
          <w:i w:val="0"/>
          <w:color w:val="596370"/>
          <w:sz w:val="19"/>
        </w:rPr>
        <w:t>版本：</w:t>
      </w:r>
      <w:r>
        <w:rPr>
          <w:rFonts w:ascii="KaiTi" w:hAnsi="KaiTi" w:eastAsia="楷体"/>
          <w:b/>
          <w:i w:val="0"/>
          <w:color w:val="596370"/>
          <w:sz w:val="19"/>
        </w:rPr>
        <w:t>v0.3-draft</w:t>
      </w:r>
      <w:r>
        <w:rPr>
          <w:rFonts w:ascii="KaiTi" w:hAnsi="KaiTi" w:eastAsia="楷体"/>
          <w:b w:val="0"/>
          <w:i w:val="0"/>
          <w:color w:val="596370"/>
          <w:sz w:val="19"/>
        </w:rPr>
        <w:t xml:space="preserve"> 日期：</w:t>
      </w:r>
      <w:r>
        <w:rPr>
          <w:rFonts w:ascii="KaiTi" w:hAnsi="KaiTi" w:eastAsia="楷体"/>
          <w:b/>
          <w:i w:val="0"/>
          <w:color w:val="596370"/>
          <w:sz w:val="19"/>
        </w:rPr>
        <w:t>2026-08-28</w:t>
      </w:r>
      <w:r>
        <w:rPr>
          <w:rFonts w:ascii="KaiTi" w:hAnsi="KaiTi" w:eastAsia="楷体"/>
          <w:b w:val="0"/>
          <w:i w:val="0"/>
          <w:color w:val="596370"/>
          <w:sz w:val="19"/>
        </w:rPr>
        <w:t xml:space="preserve"> 测试基线：</w:t>
      </w:r>
      <w:r>
        <w:rPr>
          <w:rFonts w:ascii="KaiTi" w:hAnsi="KaiTi" w:eastAsia="楷体"/>
          <w:b/>
          <w:i w:val="0"/>
          <w:color w:val="596370"/>
          <w:sz w:val="19"/>
        </w:rPr>
        <w:t>design/current/AI-HIS医生智能体一期.html</w:t>
      </w:r>
      <w:r>
        <w:rPr>
          <w:rFonts w:ascii="KaiTi" w:hAnsi="KaiTi" w:eastAsia="楷体"/>
          <w:b w:val="0"/>
          <w:i w:val="0"/>
          <w:color w:val="596370"/>
          <w:sz w:val="19"/>
        </w:rPr>
        <w:t xml:space="preserve"> 测试数据：</w:t>
      </w:r>
      <w:r>
        <w:rPr>
          <w:rFonts w:ascii="KaiTi" w:hAnsi="KaiTi" w:eastAsia="楷体"/>
          <w:b/>
          <w:i w:val="0"/>
          <w:color w:val="596370"/>
          <w:sz w:val="19"/>
        </w:rPr>
        <w:t>fixtures/phase1-patients.json</w:t>
      </w:r>
    </w:p>
    <w:p>
      <w:pPr>
        <w:pStyle w:val="Heading2"/>
        <w:pageBreakBefore w:val="0"/>
        <w:numPr>
          <w:ilvl w:val="1"/>
          <w:numId w:val="102"/>
        </w:numPr>
      </w:pPr>
      <w:r>
        <w:rPr>
          <w:rFonts w:ascii="KaiTi" w:hAnsi="KaiTi" w:eastAsia="楷体"/>
          <w:b/>
          <w:i w:val="0"/>
          <w:color w:val="1F4D78"/>
          <w:sz w:val="26"/>
        </w:rPr>
        <w:t>测试目标</w:t>
      </w:r>
    </w:p>
    <w:p>
      <w:r>
        <w:rPr>
          <w:rFonts w:ascii="KaiTi" w:hAnsi="KaiTi" w:eastAsia="楷体"/>
          <w:b w:val="0"/>
          <w:i w:val="0"/>
          <w:sz w:val="21"/>
        </w:rPr>
        <w:t>验证一期产品在不改变最早 HTML 主体 UI/UX 的前提下，能够完成登录直达医生智能体、患者绑定、7 个产品功能、6 个 Agent 的 Mock 集成、人工确认、模拟写回、患者隔离和安全降级。</w:t>
      </w:r>
    </w:p>
    <w:p>
      <w:pPr>
        <w:pStyle w:val="Heading2"/>
        <w:pageBreakBefore w:val="0"/>
        <w:numPr>
          <w:ilvl w:val="1"/>
          <w:numId w:val="102"/>
        </w:numPr>
      </w:pPr>
      <w:r>
        <w:rPr>
          <w:rFonts w:ascii="KaiTi" w:hAnsi="KaiTi" w:eastAsia="楷体"/>
          <w:b/>
          <w:i w:val="0"/>
          <w:color w:val="1F4D78"/>
          <w:sz w:val="26"/>
        </w:rPr>
        <w:t>测试范围</w:t>
      </w:r>
    </w:p>
    <w:p>
      <w:pPr>
        <w:numPr>
          <w:ilvl w:val="0"/>
          <w:numId w:val="100"/>
        </w:numPr>
        <w:spacing w:after="160" w:line="280" w:lineRule="auto"/>
      </w:pPr>
      <w:r>
        <w:rPr>
          <w:rFonts w:ascii="KaiTi" w:hAnsi="KaiTi" w:eastAsia="楷体"/>
          <w:b w:val="0"/>
          <w:i w:val="0"/>
          <w:sz w:val="21"/>
        </w:rPr>
        <w:t>UI 基线与路由。</w:t>
      </w:r>
    </w:p>
    <w:p>
      <w:pPr>
        <w:numPr>
          <w:ilvl w:val="0"/>
          <w:numId w:val="100"/>
        </w:numPr>
        <w:spacing w:after="160" w:line="280" w:lineRule="auto"/>
      </w:pPr>
      <w:r>
        <w:rPr>
          <w:rFonts w:ascii="KaiTi" w:hAnsi="KaiTi" w:eastAsia="楷体"/>
          <w:b w:val="0"/>
          <w:i w:val="0"/>
          <w:sz w:val="21"/>
        </w:rPr>
        <w:t>未选择患者和患者绑定。</w:t>
      </w:r>
    </w:p>
    <w:p>
      <w:pPr>
        <w:numPr>
          <w:ilvl w:val="0"/>
          <w:numId w:val="100"/>
        </w:numPr>
        <w:spacing w:after="160" w:line="280" w:lineRule="auto"/>
      </w:pPr>
      <w:r>
        <w:rPr>
          <w:rFonts w:ascii="KaiTi" w:hAnsi="KaiTi" w:eastAsia="楷体"/>
          <w:b w:val="0"/>
          <w:i w:val="0"/>
          <w:sz w:val="21"/>
        </w:rPr>
        <w:t>语音问诊、病情概况、病历生成、鉴别诊断、诊断管理、风险管理、共病管理。</w:t>
      </w:r>
    </w:p>
    <w:p>
      <w:pPr>
        <w:numPr>
          <w:ilvl w:val="0"/>
          <w:numId w:val="100"/>
        </w:numPr>
        <w:spacing w:after="160" w:line="280" w:lineRule="auto"/>
      </w:pPr>
      <w:r>
        <w:rPr>
          <w:rFonts w:ascii="KaiTi" w:hAnsi="KaiTi" w:eastAsia="楷体"/>
          <w:b w:val="0"/>
          <w:i w:val="0"/>
          <w:sz w:val="21"/>
        </w:rPr>
        <w:t>加载、澄清、成功、过期、失败、降级、编辑、采纳、拒绝和模拟写回状态。</w:t>
      </w:r>
    </w:p>
    <w:p>
      <w:pPr>
        <w:numPr>
          <w:ilvl w:val="0"/>
          <w:numId w:val="100"/>
        </w:numPr>
        <w:spacing w:after="160" w:line="280" w:lineRule="auto"/>
      </w:pPr>
      <w:r>
        <w:rPr>
          <w:rFonts w:ascii="KaiTi" w:hAnsi="KaiTi" w:eastAsia="楷体"/>
          <w:b w:val="0"/>
          <w:i w:val="0"/>
          <w:sz w:val="21"/>
        </w:rPr>
        <w:t>内分泌代谢、普通骨科和普通妇科 Mock 数据。</w:t>
      </w:r>
    </w:p>
    <w:p>
      <w:pPr>
        <w:numPr>
          <w:ilvl w:val="0"/>
          <w:numId w:val="100"/>
        </w:numPr>
        <w:spacing w:after="160" w:line="280" w:lineRule="auto"/>
      </w:pPr>
      <w:r>
        <w:rPr>
          <w:rFonts w:ascii="KaiTi" w:hAnsi="KaiTi" w:eastAsia="楷体"/>
          <w:b w:val="0"/>
          <w:i w:val="0"/>
          <w:sz w:val="21"/>
        </w:rPr>
        <w:t>患者错配、版本冲突、来源缺失、迟到响应和红色风险门禁。</w:t>
      </w:r>
    </w:p>
    <w:p>
      <w:r>
        <w:rPr>
          <w:rFonts w:ascii="KaiTi" w:hAnsi="KaiTi" w:eastAsia="楷体"/>
          <w:b w:val="0"/>
          <w:i w:val="0"/>
          <w:sz w:val="21"/>
        </w:rPr>
        <w:t>不在一期自动化验收范围：真实录音留存、真实 HIS/EMR 写回、真实临床阈值正确性、正式 SSO、生产性能容量和真实患者数据。</w:t>
      </w:r>
    </w:p>
    <w:p>
      <w:pPr>
        <w:pStyle w:val="Heading2"/>
        <w:pageBreakBefore w:val="0"/>
        <w:numPr>
          <w:ilvl w:val="1"/>
          <w:numId w:val="102"/>
        </w:numPr>
      </w:pPr>
      <w:r>
        <w:rPr>
          <w:rFonts w:ascii="KaiTi" w:hAnsi="KaiTi" w:eastAsia="楷体"/>
          <w:b/>
          <w:i w:val="0"/>
          <w:color w:val="1F4D78"/>
          <w:sz w:val="26"/>
        </w:rPr>
        <w:t>测试环境与通用前置</w:t>
      </w:r>
    </w:p>
    <w:p>
      <w:pPr>
        <w:numPr>
          <w:ilvl w:val="0"/>
          <w:numId w:val="113"/>
        </w:numPr>
        <w:spacing w:after="160" w:line="280" w:lineRule="auto"/>
      </w:pPr>
      <w:r>
        <w:rPr>
          <w:rFonts w:ascii="KaiTi" w:hAnsi="KaiTi" w:eastAsia="楷体"/>
          <w:b w:val="0"/>
          <w:i w:val="0"/>
          <w:sz w:val="21"/>
        </w:rPr>
        <w:t>使用 Mock 环境和去标识化 Fixture，禁止导入真实患者数据。</w:t>
      </w:r>
    </w:p>
    <w:p>
      <w:pPr>
        <w:numPr>
          <w:ilvl w:val="0"/>
          <w:numId w:val="113"/>
        </w:numPr>
        <w:spacing w:after="160" w:line="280" w:lineRule="auto"/>
      </w:pPr>
      <w:r>
        <w:rPr>
          <w:rFonts w:ascii="KaiTi" w:hAnsi="KaiTi" w:eastAsia="楷体"/>
          <w:b w:val="0"/>
          <w:i w:val="0"/>
          <w:sz w:val="21"/>
        </w:rPr>
        <w:t xml:space="preserve">当前运行模式显示 </w:t>
      </w:r>
      <w:r>
        <w:rPr>
          <w:rFonts w:ascii="KaiTi" w:hAnsi="KaiTi" w:eastAsia="楷体"/>
          <w:b/>
          <w:i w:val="0"/>
          <w:sz w:val="21"/>
        </w:rPr>
        <w:t>mode=mock</w:t>
      </w:r>
      <w:r>
        <w:rPr>
          <w:rFonts w:ascii="KaiTi" w:hAnsi="KaiTi" w:eastAsia="楷体"/>
          <w:b w:val="0"/>
          <w:i w:val="0"/>
          <w:sz w:val="21"/>
        </w:rPr>
        <w:t>，真实写回 Adapter 关闭。</w:t>
      </w:r>
    </w:p>
    <w:p>
      <w:pPr>
        <w:numPr>
          <w:ilvl w:val="0"/>
          <w:numId w:val="113"/>
        </w:numPr>
        <w:spacing w:after="160" w:line="280" w:lineRule="auto"/>
      </w:pPr>
      <w:r>
        <w:rPr>
          <w:rFonts w:ascii="KaiTi" w:hAnsi="KaiTi" w:eastAsia="楷体"/>
          <w:b w:val="0"/>
          <w:i w:val="0"/>
          <w:sz w:val="21"/>
        </w:rPr>
        <w:t>AgentScope 可使用 Mock Adapter；失败、超时、非法 Schema 和迟到响应可注入。</w:t>
      </w:r>
    </w:p>
    <w:p>
      <w:pPr>
        <w:numPr>
          <w:ilvl w:val="0"/>
          <w:numId w:val="113"/>
        </w:numPr>
        <w:spacing w:after="160" w:line="280" w:lineRule="auto"/>
      </w:pPr>
      <w:r>
        <w:rPr>
          <w:rFonts w:ascii="KaiTi" w:hAnsi="KaiTi" w:eastAsia="楷体"/>
          <w:b w:val="0"/>
          <w:i w:val="0"/>
          <w:sz w:val="21"/>
        </w:rPr>
        <w:t>每个测试开始前清理浏览器临时状态、当前患者、未完成任务和模拟写回回执。</w:t>
      </w:r>
    </w:p>
    <w:p>
      <w:pPr>
        <w:numPr>
          <w:ilvl w:val="0"/>
          <w:numId w:val="113"/>
        </w:numPr>
        <w:spacing w:after="160" w:line="280" w:lineRule="auto"/>
      </w:pPr>
      <w:r>
        <w:rPr>
          <w:rFonts w:ascii="KaiTi" w:hAnsi="KaiTi" w:eastAsia="楷体"/>
          <w:b w:val="0"/>
          <w:i w:val="0"/>
          <w:sz w:val="21"/>
        </w:rPr>
        <w:t>关键测试同时检查页面结果、API/任务状态、审计事件和患者/就诊 ID。</w:t>
      </w:r>
    </w:p>
    <w:p>
      <w:pPr>
        <w:pStyle w:val="Heading2"/>
        <w:pageBreakBefore w:val="0"/>
        <w:numPr>
          <w:ilvl w:val="1"/>
          <w:numId w:val="102"/>
        </w:numPr>
      </w:pPr>
      <w:r>
        <w:rPr>
          <w:rFonts w:ascii="KaiTi" w:hAnsi="KaiTi" w:eastAsia="楷体"/>
          <w:b/>
          <w:i w:val="0"/>
          <w:color w:val="1F4D78"/>
          <w:sz w:val="26"/>
        </w:rPr>
        <w:t>全局 UI、登录与患者绑定</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场景/步骤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打开当前 HTML 登录页</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标题为“AI门诊工作站”，按钮为“进入医生智能体”</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UI-G-001、UI-G-004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TC-UI-002</w:t>
            </w:r>
          </w:p>
        </w:tc>
        <w:tc>
          <w:tcPr>
            <w:tcW w:type="dxa" w:w="295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检索 DOM、页面标题和资源文字中的“惠每”</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匹配数量为 0</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输入有效 Mock 账号并登录</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URL 进入 #/outpatient，不进入 #/outpatient/list</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注入登录失败</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显示通用错误；账号、密码输入保留，不暴露账号是否存在</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登录后不执行患者操作</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显示“未选择患者”，医生智能体可见</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UI-G-002、UI-G-005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未选患者时打开任一临床功能</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不调用 Agent，提示先绑定患者</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UI-G-007</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未选患者时点击“接诊下一位”</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绑定唯一患者，URL 包含 patientId，患者信息加载</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UI-G-006</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输入唯一患者姓名的语音/文字指令</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绑定该患者并记录绑定来源</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UI-G-006</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输入同名患者指令</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展示候选并要求医生确认，不自动绑定</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UI-G-006、安全门禁</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 IM-001</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姓名、性别、年龄、科室、就诊、过敏和最高风险与 Fixture 一致</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UI-G-009</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TC-UI-011</w:t>
            </w:r>
          </w:p>
        </w:tc>
        <w:tc>
          <w:tcPr>
            <w:tcW w:type="dxa" w:w="295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从 IM-001 切换到 ORT-001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旧患者结果立即清空，新任务使用新 patient/encounter</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UI-G-010</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切换患者后注入前一患者迟到结果</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UI 拒绝显示；审计记录 late_result_discarded</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UI-G-010、SAFE-F02-001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校验主要区域布局</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主病历、AI 助手、医生智能体和原导航位置保持与当前基线一致</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UI-G-011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TC-UI-014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展示任一 Agent 结果</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可查看 Mock/Runtime、生成时间、数据截止时间和版本</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UI-G-012</w:t>
            </w:r>
          </w:p>
        </w:tc>
      </w:tr>
    </w:tbl>
    <w:p>
      <w:pPr>
        <w:spacing w:after="40"/>
      </w:pPr>
    </w:p>
    <w:p>
      <w:pPr>
        <w:pStyle w:val="Heading2"/>
        <w:pageBreakBefore w:val="0"/>
        <w:numPr>
          <w:ilvl w:val="1"/>
          <w:numId w:val="102"/>
        </w:numPr>
      </w:pPr>
      <w:r>
        <w:rPr>
          <w:rFonts w:ascii="KaiTi" w:hAnsi="KaiTi" w:eastAsia="楷体"/>
          <w:b/>
          <w:i w:val="0"/>
          <w:color w:val="1F4D78"/>
          <w:sz w:val="26"/>
        </w:rPr>
        <w:t>F01 语音问诊</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点击语音问诊</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明确进入问诊中，显示患者和录音/模拟状态</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AC-F01-001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暂停、继续、结束问诊</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状态和时长正确；已保存段落不丢失</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AC-F01-001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修改一条低置信转写</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保留原文、修改值、修改人和时间</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AC-F01-002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对话未提及家族史/过敏史</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不生成“无”或“否认”</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BR-F01-001、AC-F01-003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 未确认妊娠状态</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进入 needs_clarification，不能确认完整问诊</w:t>
            </w:r>
          </w:p>
        </w:tc>
        <w:tc>
          <w:tcPr>
            <w:tcW w:type="dxa" w:w="158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SAFE-F01-001、AC-F01-004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 ASR 中断后重连</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已取得段落保留，不重复追加</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模拟说话人分离失败</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标记主体待确认，相关结构化字段不可自动确认</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BR-F01-003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问诊中切换患者</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立即停止当前录音，未确认内容不进入新患者</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BR-F01-004、AC-F01-005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拒绝麦克风权限</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保留人工录入和固定音频 Mock 入口</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TC-F01-010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注入非法结构化 Schema</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不展示不可信结构化内容，原转写和医生修改保留</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F01 失败降级</w:t>
            </w:r>
          </w:p>
        </w:tc>
      </w:tr>
    </w:tbl>
    <w:p>
      <w:pPr>
        <w:spacing w:after="40"/>
      </w:pPr>
    </w:p>
    <w:p>
      <w:pPr>
        <w:pStyle w:val="Heading2"/>
        <w:pageBreakBefore w:val="0"/>
        <w:numPr>
          <w:ilvl w:val="1"/>
          <w:numId w:val="102"/>
        </w:numPr>
      </w:pPr>
      <w:r>
        <w:rPr>
          <w:rFonts w:ascii="KaiTi" w:hAnsi="KaiTi" w:eastAsia="楷体"/>
          <w:b/>
          <w:i w:val="0"/>
          <w:color w:val="1F4D78"/>
          <w:sz w:val="26"/>
        </w:rPr>
        <w:t>F02 病情概况</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绑定 IM-001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显示一句话摘要、主要问题、最高风险、缺失/冲突和数据时间</w:t>
            </w:r>
          </w:p>
        </w:tc>
        <w:tc>
          <w:tcPr>
            <w:tcW w:type="dxa" w:w="158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UX-F02-001、AC-F02-004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点击关键证据</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可定位来源类型、时间和原始记录</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AC-F02-001</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使用 IM-002</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同时展示冲突双方及来源，不静默择一</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AC-F02-002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问诊确认后刷新</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旧版可回看，新版显示最小变化摘要</w:t>
            </w:r>
          </w:p>
        </w:tc>
        <w:tc>
          <w:tcPr>
            <w:tcW w:type="dxa" w:w="158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FR-F02-002、AC-F02-003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刷新过程中修改关键事实</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旧任务标记过期，不并列两个“最新”</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FR-F02-004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历史数据源超时</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显示“未包含历史资料”和缺失域，不伪造摘要</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F02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关键证据来源不存在</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结果不能进入 ready</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SAFE-F02-001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医生编辑病历时概况刷新完成</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新概况不覆盖任何医生输入</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SAFE-F02-002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TC-F02-009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切换患者并注入旧概况</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API 与 UI 双重拒绝</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AC-F02-005</w:t>
            </w:r>
          </w:p>
        </w:tc>
      </w:tr>
    </w:tbl>
    <w:p>
      <w:pPr>
        <w:spacing w:after="40"/>
      </w:pPr>
    </w:p>
    <w:p>
      <w:pPr>
        <w:pStyle w:val="Heading2"/>
        <w:pageBreakBefore w:val="0"/>
        <w:numPr>
          <w:ilvl w:val="1"/>
          <w:numId w:val="102"/>
        </w:numPr>
      </w:pPr>
      <w:r>
        <w:rPr>
          <w:rFonts w:ascii="KaiTi" w:hAnsi="KaiTi" w:eastAsia="楷体"/>
          <w:b/>
          <w:i w:val="0"/>
          <w:color w:val="1F4D78"/>
          <w:sz w:val="26"/>
        </w:rPr>
        <w:t>F03 病历生成</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生成病历</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按字段显示主诉、现病史、既往史、个人史、体检、辅助检查和初步诊断</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基本流程</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单字段“回写此字段”</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只加入医生草稿，不代表正式写回</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UI 规则</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医生修改现病史后重新生成</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医生文本不被覆盖；显示差异</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UX-F03-001～003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批量采纳包含已编辑字段</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跳过已编辑字段或逐项二次确认</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IM-002 缺过敏史</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显示明确遗漏，不生成“无过敏”</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安全规则</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 妊娠状态冲突</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病历草稿保留冲突和待确认，不写成确定阴性/阳性</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安全规则</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离开患者前存在未保存编辑</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阻止切换并提供暂存/放弃/返回</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UX-F03-005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超时</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医生草稿保留，可继续人工完成</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点击“确认并回写”</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文案和回执明确 mode=mock，不调用真实 HIS</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一期边界</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写回模拟失败后重试</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使用同一幂等键，不产生重复回执</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一期写回契约</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红色风险未处置时提交</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被阻断并定位 F06 风险</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F03/F06 安全门禁</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TC-F03-012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查看生成记录</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可还原 AI 原文、医生修改、采纳状态和版本</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审计要求</w:t>
            </w:r>
          </w:p>
        </w:tc>
      </w:tr>
    </w:tbl>
    <w:p>
      <w:pPr>
        <w:spacing w:after="40"/>
      </w:pPr>
    </w:p>
    <w:p>
      <w:pPr>
        <w:pStyle w:val="Heading2"/>
        <w:pageBreakBefore w:val="0"/>
        <w:numPr>
          <w:ilvl w:val="1"/>
          <w:numId w:val="102"/>
        </w:numPr>
      </w:pPr>
      <w:r>
        <w:rPr>
          <w:rFonts w:ascii="KaiTi" w:hAnsi="KaiTi" w:eastAsia="楷体"/>
          <w:b/>
          <w:i w:val="0"/>
          <w:color w:val="1F4D78"/>
          <w:sz w:val="26"/>
        </w:rPr>
        <w:t>F04 鉴别诊断</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打开智慧诊疗</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显示候选、优先级、ICD、支持依据和待鉴别信息</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选择候选送入 F05</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patient/encounter、名称、优先级、来源和结果 ID 保持一致</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修改关键事实</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旧鉴别结果立即标记过期</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ORT-002</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“不能漏诊”包含马尾综合征并上报红色风险</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“不能漏诊”包含异位妊娠破裂并要求澄清</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注入不存在的证据引用</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安全门禁阻止结果展示</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候选输出处方剂量</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不展示/不采纳越界内容并记录错误</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非目标、安全门禁</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上下文不足</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返回缺失清单，不生成填充式候选</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术语服务不可用</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名称可作为草稿，ICD 确认禁用并标异常</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医生拒绝候选</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保留建议和拒绝原因，不从审计删除</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F04 审计</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TC-F04-011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生成、查看依据、采纳、拒绝和反馈</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每个动作均产生审计事件</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AC-F04-006</w:t>
            </w:r>
          </w:p>
        </w:tc>
      </w:tr>
    </w:tbl>
    <w:p>
      <w:pPr>
        <w:spacing w:after="40"/>
      </w:pPr>
    </w:p>
    <w:p>
      <w:pPr>
        <w:pStyle w:val="Heading2"/>
        <w:pageBreakBefore w:val="0"/>
        <w:numPr>
          <w:ilvl w:val="1"/>
          <w:numId w:val="102"/>
        </w:numPr>
      </w:pPr>
      <w:r>
        <w:rPr>
          <w:rFonts w:ascii="KaiTi" w:hAnsi="KaiTi" w:eastAsia="楷体"/>
          <w:b/>
          <w:i w:val="0"/>
          <w:color w:val="1F4D78"/>
          <w:sz w:val="26"/>
        </w:rPr>
        <w:t>F05 诊断管理</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从 F04 带入候选</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形成可编辑 suggested/provisional 诊断并保留来源</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手工新增标准诊断</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可搜索名称与 ICD；来源标记为医生</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FR-F05-001～002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设置两个主诊断</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阻止保存并要求只保留一个</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删除/排除诊断</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必须选择原因；历史版本可恢复</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UX-F05-004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同名不同码或同码不同名</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显示合并冲突，不自动合并</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BR-F05-002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诊断变更</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F02/F03/F06/F07 相关结果标记过期</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TC-F05-007</w:t>
            </w:r>
          </w:p>
        </w:tc>
        <w:tc>
          <w:tcPr>
            <w:tcW w:type="dxa" w:w="295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ORT-001 抗凝风险未处理时提交</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模拟写回被阻断</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SAFE-F05-001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编码服务异常</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可保存未编码草稿，禁止模拟写回</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注入版本冲突</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显示我的版本/服务器版本/来源，允许逐项处理</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F05 并发恢复</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点击确认写回</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按钮与回执显示“模拟写回”和 mode=mock</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UX-F05-005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模拟写回超时后查询</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先按幂等键查询，避免重复提交</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TC-F05-012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查看审计</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可还原每次诊断变更前后状态、操作者、时间和原因</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AC-F05-006</w:t>
            </w:r>
          </w:p>
        </w:tc>
      </w:tr>
    </w:tbl>
    <w:p>
      <w:pPr>
        <w:spacing w:after="40"/>
      </w:pPr>
    </w:p>
    <w:p>
      <w:pPr>
        <w:pStyle w:val="Heading2"/>
        <w:pageBreakBefore w:val="0"/>
        <w:numPr>
          <w:ilvl w:val="1"/>
          <w:numId w:val="102"/>
        </w:numPr>
      </w:pPr>
      <w:r>
        <w:rPr>
          <w:rFonts w:ascii="KaiTi" w:hAnsi="KaiTi" w:eastAsia="楷体"/>
          <w:b/>
          <w:i w:val="0"/>
          <w:color w:val="1F4D78"/>
          <w:sz w:val="26"/>
        </w:rPr>
        <w:t>F06 风险管理</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打开预警评估</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风险等级、标题、依据、影响和建议可见</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UX-F06-001～002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查看风险详情</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显示来源、数据时间、正常范围/阈值和规则/推断说明</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TC-F06-003</w:t>
            </w:r>
          </w:p>
        </w:tc>
        <w:tc>
          <w:tcPr>
            <w:tcW w:type="dxa" w:w="295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同一风险由规则和 Agent 同时产生</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合并为一个风险项并保留全部来源</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BR-F06-001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数据来源撤回</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风险不静默删除，进入复核并保留历史</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BR-F06-002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ORT-002</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产生马尾综合征红色风险并阻断提交</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AC-F06-002、005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产生异位妊娠红色风险并提示紧急处置</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AC-F06-005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红色风险点击普通关闭</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不允许无因关闭；要求处置、误报或授权忽略</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UX-F06-003</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黄色风险未阅后提交</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阻断或要求已阅/处理/有因忽略</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BR-F06-004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AgentScope 故障</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硬规则风险仍产生并阻断，标明组合评估不可用</w:t>
            </w:r>
          </w:p>
        </w:tc>
        <w:tc>
          <w:tcPr>
            <w:tcW w:type="dxa" w:w="158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SAFE-F06-002、AC-F06-004</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规则版本加载失败</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禁止关键提交，不回退未知旧版本</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失败降级</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TC-F06-011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风险处置保存失败</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保留医生输入并显示未保存，不假装闭环</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F06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TC-F06-012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已阅/处置/解决/误报/有因忽略</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均记录角色、时间、原因和前后状态</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AC-F06-006</w:t>
            </w:r>
          </w:p>
        </w:tc>
      </w:tr>
    </w:tbl>
    <w:p>
      <w:pPr>
        <w:spacing w:after="40"/>
      </w:pPr>
    </w:p>
    <w:p>
      <w:pPr>
        <w:pStyle w:val="Heading2"/>
        <w:pageBreakBefore w:val="0"/>
        <w:numPr>
          <w:ilvl w:val="1"/>
          <w:numId w:val="102"/>
        </w:numPr>
      </w:pPr>
      <w:r>
        <w:rPr>
          <w:rFonts w:ascii="KaiTi" w:hAnsi="KaiTi" w:eastAsia="楷体"/>
          <w:b/>
          <w:i w:val="0"/>
          <w:color w:val="1F4D78"/>
          <w:sz w:val="26"/>
        </w:rPr>
        <w:t>F07 共病管理</w:t>
      </w:r>
    </w:p>
    <w:tbl>
      <w:tblPr>
        <w:tblStyle w:val="TableGrid"/>
        <w:tblW w:type="dxa" w:w="9360"/>
        <w:jc w:val="left"/>
        <w:tblLayout w:type="fixed"/>
        <w:tblLook w:firstColumn="1" w:firstRow="1" w:lastColumn="0" w:lastRow="0" w:noHBand="0" w:noVBand="1" w:val="04A0"/>
        <w:tblInd w:type="dxa" w:w="120"/>
      </w:tblPr>
      <w:tblGrid>
        <w:gridCol w:w="1512"/>
        <w:gridCol w:w="2952"/>
        <w:gridCol w:w="3312"/>
        <w:gridCol w:w="1584"/>
      </w:tblGrid>
      <w:tr>
        <w:trPr>
          <w:tblHeader w:val="true"/>
          <w:cantSplit w:val="true"/>
        </w:trPr>
        <w:tc>
          <w:tcPr>
            <w:tcW w:type="dxa" w:w="15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295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Fixture/步骤</w:t>
            </w:r>
          </w:p>
        </w:tc>
        <w:tc>
          <w:tcPr>
            <w:tcW w:type="dxa" w:w="331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c>
          <w:tcPr>
            <w:tcW w:type="dxa" w:w="158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关联需求</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TC-F07-001</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显示高血压、高脂血症、超重及与本次诊疗的关系</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TC-F07-002</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ORT-001</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显示抗凝与操作风险、糖尿病与愈合/感染风险</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AC-F07-003</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TC-F07-003</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GYN-001</w:t>
            </w:r>
          </w:p>
        </w:tc>
        <w:tc>
          <w:tcPr>
            <w:tcW w:type="dxa" w:w="331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显示贫血控制状态、管理缺口和妇科病因关系</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AC-F07-005</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TC-F07-004</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医生纠正共病状态后重新评估</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医生纠正保持，不被新 Agent 结果覆盖</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BR-F07-002</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TC-F07-005</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单次过期异常值</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不直接确认“控制不佳”，进入待核实</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SAFE-F07-001</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TC-F07-006</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点击提醒/会诊/随访</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只形成草稿或模拟任务，不显示已真实执行</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AC-F07-004</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TC-F07-007</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共病产生高风险相互作用</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同步上报并跳转 F06 权威风险项</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SAFE-F07-002</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TC-F07-008</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诊断或用药变化</w:t>
            </w:r>
          </w:p>
        </w:tc>
        <w:tc>
          <w:tcPr>
            <w:tcW w:type="dxa" w:w="33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相关共病结果标记过期并说明原因</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FR-F07-005</w:t>
            </w:r>
          </w:p>
        </w:tc>
      </w:tr>
      <w:tr>
        <w:trPr>
          <w:cantSplit w:val="true"/>
        </w:trPr>
        <w:tc>
          <w:tcPr>
            <w:tcW w:type="dxa" w:w="15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TC-F07-009</w:t>
            </w:r>
          </w:p>
        </w:tc>
        <w:tc>
          <w:tcPr>
            <w:tcW w:type="dxa" w:w="295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历史数据不足</w:t>
            </w:r>
          </w:p>
        </w:tc>
        <w:tc>
          <w:tcPr>
            <w:tcW w:type="dxa" w:w="331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显示需核实信息，不生成全量阴性结论</w:t>
            </w:r>
          </w:p>
        </w:tc>
        <w:tc>
          <w:tcPr>
            <w:tcW w:type="dxa" w:w="158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F07 失败降级</w:t>
            </w:r>
          </w:p>
        </w:tc>
      </w:tr>
      <w:tr>
        <w:trPr>
          <w:cantSplit w:val="true"/>
        </w:trPr>
        <w:tc>
          <w:tcPr>
            <w:tcW w:type="dxa" w:w="151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TC-F07-010</w:t>
            </w:r>
          </w:p>
        </w:tc>
        <w:tc>
          <w:tcPr>
            <w:tcW w:type="dxa" w:w="295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超时</w:t>
            </w:r>
          </w:p>
        </w:tc>
        <w:tc>
          <w:tcPr>
            <w:tcW w:type="dxa" w:w="331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保留医生维护清单和上次结果，标记可能过期</w:t>
            </w:r>
          </w:p>
        </w:tc>
        <w:tc>
          <w:tcPr>
            <w:tcW w:type="dxa" w:w="158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AC-F07-006</w:t>
            </w:r>
          </w:p>
        </w:tc>
      </w:tr>
    </w:tbl>
    <w:p>
      <w:pPr>
        <w:spacing w:after="40"/>
      </w:pPr>
    </w:p>
    <w:p>
      <w:pPr>
        <w:pStyle w:val="Heading2"/>
        <w:pageBreakBefore w:val="0"/>
        <w:numPr>
          <w:ilvl w:val="1"/>
          <w:numId w:val="102"/>
        </w:numPr>
      </w:pPr>
      <w:r>
        <w:rPr>
          <w:rFonts w:ascii="KaiTi" w:hAnsi="KaiTi" w:eastAsia="楷体"/>
          <w:b/>
          <w:i w:val="0"/>
          <w:color w:val="1F4D78"/>
          <w:sz w:val="26"/>
        </w:rPr>
        <w:t>跨功能与安全测试</w:t>
      </w:r>
    </w:p>
    <w:tbl>
      <w:tblPr>
        <w:tblStyle w:val="TableGrid"/>
        <w:tblW w:type="dxa" w:w="9360"/>
        <w:jc w:val="left"/>
        <w:tblLayout w:type="fixed"/>
        <w:tblLook w:firstColumn="1" w:firstRow="1" w:lastColumn="0" w:lastRow="0" w:noHBand="0" w:noVBand="1" w:val="04A0"/>
        <w:tblInd w:type="dxa" w:w="120"/>
      </w:tblPr>
      <w:tblGrid>
        <w:gridCol w:w="1944"/>
        <w:gridCol w:w="3672"/>
        <w:gridCol w:w="3744"/>
      </w:tblGrid>
      <w:tr>
        <w:trPr>
          <w:tblHeader w:val="true"/>
          <w:cantSplit w:val="true"/>
        </w:trPr>
        <w:tc>
          <w:tcPr>
            <w:tcW w:type="dxa" w:w="19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用例 ID</w:t>
            </w:r>
          </w:p>
        </w:tc>
        <w:tc>
          <w:tcPr>
            <w:tcW w:type="dxa" w:w="3672"/>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场景</w:t>
            </w:r>
          </w:p>
        </w:tc>
        <w:tc>
          <w:tcPr>
            <w:tcW w:type="dxa" w:w="3744"/>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预期结果</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TC-SAFE-001</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未选择患者时伪造 Agent 返回</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结果被拒绝，不进入 UI</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TC-SAFE-002</w:t>
            </w:r>
          </w:p>
        </w:tc>
        <w:tc>
          <w:tcPr>
            <w:tcW w:type="dxa" w:w="3672"/>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返回 patientId 与当前患者不一致</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API 层和 UI 层均拒绝，记录零容忍事件</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TC-SAFE-003</w:t>
            </w:r>
          </w:p>
        </w:tc>
        <w:tc>
          <w:tcPr>
            <w:tcW w:type="dxa" w:w="3672"/>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encounterId 不一致但 patientId 相同</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结果仍被拒绝，不跨就诊复用</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TC-SAFE-004</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患者切换后旧 SSE 事件到达</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事件丢弃，医生新患者输入不变</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TC-SAFE-005</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结果 Schema 多未知临床字段</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不展示临床内容，进入安全错误</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TC-SAFE-006</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来源引用越权</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对应事实不可采信并触发权限审计</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TC-SAFE-007</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医生编辑与 Agent 新版并发</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显示差异，不覆盖医生文本</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TC-SAFE-008</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两次相同模拟写回请求</w:t>
            </w:r>
          </w:p>
        </w:tc>
        <w:tc>
          <w:tcPr>
            <w:tcW w:type="dxa" w:w="3744"/>
            <w:vAlign w:val="center"/>
            <w:shd w:fill="FAFBFC"/>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幂等地返回同一结果，不重复落审计业务事件</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TC-SAFE-009</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模拟写回接口误配置真实目标</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启动/运行门禁阻止，页面不得显示成功</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TC-SAFE-010</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红色风险未闭环提交病历</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阻断并定位风险</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TC-SAFE-011</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红色风险未闭环提交诊断</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阻断并定位风险</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TC-SAFE-012</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普通用户无因忽略红色风险</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拒绝操作并记录审计</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TC-SAFE-013</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黄色风险已阅但未留痕</w:t>
            </w:r>
          </w:p>
        </w:tc>
        <w:tc>
          <w:tcPr>
            <w:tcW w:type="dxa" w:w="37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按规则要求补充处理或原因</w:t>
            </w:r>
          </w:p>
        </w:tc>
      </w:tr>
      <w:tr>
        <w:trPr>
          <w:cantSplit w:val="true"/>
        </w:trPr>
        <w:tc>
          <w:tcPr>
            <w:tcW w:type="dxa" w:w="19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TC-SAFE-014</w:t>
            </w:r>
          </w:p>
        </w:tc>
        <w:tc>
          <w:tcPr>
            <w:tcW w:type="dxa" w:w="3672"/>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Agent 风险失败、硬规则正常</w:t>
            </w:r>
          </w:p>
        </w:tc>
        <w:tc>
          <w:tcPr>
            <w:tcW w:type="dxa" w:w="3744"/>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硬规则风险保持可见和阻断</w:t>
            </w:r>
          </w:p>
        </w:tc>
      </w:tr>
      <w:tr>
        <w:trPr>
          <w:cantSplit w:val="true"/>
        </w:trPr>
        <w:tc>
          <w:tcPr>
            <w:tcW w:type="dxa" w:w="1944"/>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TC-SAFE-015</w:t>
            </w:r>
          </w:p>
        </w:tc>
        <w:tc>
          <w:tcPr>
            <w:tcW w:type="dxa" w:w="3672"/>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风险处置状态同步到其他功能</w:t>
            </w:r>
          </w:p>
        </w:tc>
        <w:tc>
          <w:tcPr>
            <w:tcW w:type="dxa" w:w="3744"/>
            <w:vAlign w:val="center"/>
            <w:tcMar>
              <w:top w:w="90" w:type="dxa"/>
              <w:bottom w:w="90" w:type="dxa"/>
              <w:start w:w="120" w:type="dxa"/>
              <w:end w:w="120" w:type="dxa"/>
            </w:tcMar>
          </w:tcPr>
          <w:p>
            <w:pPr>
              <w:spacing w:before="0" w:after="0" w:line="259" w:lineRule="auto"/>
              <w:jc w:val="left"/>
            </w:pPr>
            <w:r>
              <w:rPr>
                <w:rFonts w:ascii="KaiTi" w:hAnsi="KaiTi" w:eastAsia="楷体"/>
                <w:sz w:val="17"/>
              </w:rPr>
            </w:r>
            <w:r>
              <w:rPr>
                <w:rFonts w:ascii="KaiTi" w:hAnsi="KaiTi" w:eastAsia="楷体"/>
                <w:b w:val="0"/>
                <w:sz w:val="16"/>
              </w:rPr>
              <w:t>F02/F03/F04/F05/F07 摘要更新但权威状态仍只在 F06</w:t>
            </w:r>
          </w:p>
        </w:tc>
      </w:tr>
    </w:tbl>
    <w:p>
      <w:pPr>
        <w:spacing w:after="40"/>
      </w:pPr>
    </w:p>
    <w:p>
      <w:pPr>
        <w:pStyle w:val="Heading2"/>
        <w:pageBreakBefore w:val="0"/>
        <w:numPr>
          <w:ilvl w:val="1"/>
          <w:numId w:val="102"/>
        </w:numPr>
      </w:pPr>
      <w:r>
        <w:rPr>
          <w:rFonts w:ascii="KaiTi" w:hAnsi="KaiTi" w:eastAsia="楷体"/>
          <w:b/>
          <w:i w:val="0"/>
          <w:color w:val="1F4D78"/>
          <w:sz w:val="26"/>
        </w:rPr>
        <w:t>三专科覆盖矩阵</w:t>
      </w:r>
    </w:p>
    <w:tbl>
      <w:tblPr>
        <w:tblStyle w:val="TableGrid"/>
        <w:tblW w:type="dxa" w:w="9360"/>
        <w:jc w:val="left"/>
        <w:tblLayout w:type="fixed"/>
        <w:tblLook w:firstColumn="1" w:firstRow="1" w:lastColumn="0" w:lastRow="0" w:noHBand="0" w:noVBand="1" w:val="04A0"/>
        <w:tblInd w:type="dxa" w:w="120"/>
      </w:tblPr>
      <w:tblGrid>
        <w:gridCol w:w="1170"/>
        <w:gridCol w:w="1170"/>
        <w:gridCol w:w="1170"/>
        <w:gridCol w:w="1170"/>
        <w:gridCol w:w="1170"/>
        <w:gridCol w:w="1170"/>
        <w:gridCol w:w="1170"/>
        <w:gridCol w:w="1170"/>
      </w:tblGrid>
      <w:tr>
        <w:trPr>
          <w:tblHeader w:val="true"/>
          <w:cantSplit w:val="true"/>
        </w:trPr>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Fixture</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F01</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F02</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F03</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F04</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F05</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F06</w:t>
            </w:r>
          </w:p>
        </w:tc>
        <w:tc>
          <w:tcPr>
            <w:tcW w:type="dxa" w:w="1170"/>
            <w:vAlign w:val="center"/>
            <w:shd w:fill="E8EEF5"/>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color w:val="1F4D78"/>
                <w:sz w:val="17"/>
              </w:rPr>
              <w:t>F07</w:t>
            </w:r>
          </w:p>
        </w:tc>
      </w:tr>
      <w:tr>
        <w:trPr>
          <w:cantSplit w:val="true"/>
        </w:trPr>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IM-001 糖尿病复诊</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高风险</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多共病</w:t>
            </w:r>
          </w:p>
        </w:tc>
      </w:tr>
      <w:tr>
        <w:trPr>
          <w:cantSplit w:val="true"/>
        </w:trPr>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IM-002 低血糖/冲突</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澄清</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缺失驱动</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用药交互</w:t>
            </w:r>
          </w:p>
        </w:tc>
      </w:tr>
      <w:tr>
        <w:trPr>
          <w:cantSplit w:val="true"/>
        </w:trPr>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ORT-001 膝骨关节炎</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多候选</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典型</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操作风险</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抗凝/糖尿病</w:t>
            </w:r>
          </w:p>
        </w:tc>
      </w:tr>
      <w:tr>
        <w:trPr>
          <w:cantSplit w:val="true"/>
        </w:trPr>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ORT-002 马尾红旗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阻断追问</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紧急记录</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不能漏诊</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次要</w:t>
            </w:r>
          </w:p>
        </w:tc>
      </w:tr>
      <w:tr>
        <w:trPr>
          <w:cantSplit w:val="true"/>
        </w:trPr>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GYN-001 异常出血</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专科问诊</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贫血/病因</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妇科字段</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病因鉴别</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待排管理</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贫血风险</w:t>
            </w:r>
          </w:p>
        </w:tc>
        <w:tc>
          <w:tcPr>
            <w:tcW w:type="dxa" w:w="1170"/>
            <w:vAlign w:val="center"/>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贫血</w:t>
            </w:r>
          </w:p>
        </w:tc>
      </w:tr>
      <w:tr>
        <w:trPr>
          <w:cantSplit w:val="true"/>
        </w:trPr>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GYN-002 异位妊娠</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妊娠澄清</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冲突/红旗</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禁止虚构</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不能漏诊</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阻断</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红色风险</w:t>
            </w:r>
          </w:p>
        </w:tc>
        <w:tc>
          <w:tcPr>
            <w:tcW w:type="dxa" w:w="1170"/>
            <w:vAlign w:val="center"/>
            <w:shd w:fill="FAFBFC"/>
            <w:tcMar>
              <w:top w:w="90" w:type="dxa"/>
              <w:bottom w:w="90" w:type="dxa"/>
              <w:start w:w="120" w:type="dxa"/>
              <w:end w:w="120" w:type="dxa"/>
            </w:tcMar>
          </w:tcPr>
          <w:p>
            <w:pPr>
              <w:spacing w:before="0" w:after="0" w:line="259" w:lineRule="auto"/>
              <w:jc w:val="center"/>
            </w:pPr>
            <w:r>
              <w:rPr>
                <w:rFonts w:ascii="KaiTi" w:hAnsi="KaiTi" w:eastAsia="楷体"/>
                <w:sz w:val="17"/>
              </w:rPr>
            </w:r>
            <w:r>
              <w:rPr>
                <w:rFonts w:ascii="KaiTi" w:hAnsi="KaiTi" w:eastAsia="楷体"/>
                <w:b w:val="0"/>
                <w:sz w:val="16"/>
              </w:rPr>
              <w:t>妊娠/用药</w:t>
            </w:r>
          </w:p>
        </w:tc>
      </w:tr>
    </w:tbl>
    <w:p>
      <w:pPr>
        <w:spacing w:after="40"/>
      </w:pPr>
    </w:p>
    <w:p>
      <w:pPr>
        <w:pStyle w:val="Heading2"/>
        <w:pageBreakBefore w:val="0"/>
        <w:numPr>
          <w:ilvl w:val="1"/>
          <w:numId w:val="102"/>
        </w:numPr>
      </w:pPr>
      <w:r>
        <w:rPr>
          <w:rFonts w:ascii="KaiTi" w:hAnsi="KaiTi" w:eastAsia="楷体"/>
          <w:b/>
          <w:i w:val="0"/>
          <w:color w:val="1F4D78"/>
          <w:sz w:val="26"/>
        </w:rPr>
        <w:t>退出标准</w:t>
      </w:r>
    </w:p>
    <w:p>
      <w:r>
        <w:rPr>
          <w:rFonts w:ascii="KaiTi" w:hAnsi="KaiTi" w:eastAsia="楷体"/>
          <w:b w:val="0"/>
          <w:i w:val="0"/>
          <w:sz w:val="21"/>
        </w:rPr>
        <w:t>一期进入下一阶段前必须满足：</w:t>
      </w:r>
    </w:p>
    <w:p>
      <w:pPr>
        <w:numPr>
          <w:ilvl w:val="0"/>
          <w:numId w:val="114"/>
        </w:numPr>
        <w:spacing w:after="160" w:line="280" w:lineRule="auto"/>
      </w:pPr>
      <w:r>
        <w:rPr>
          <w:rFonts w:ascii="KaiTi" w:hAnsi="KaiTi" w:eastAsia="楷体"/>
          <w:b/>
          <w:i w:val="0"/>
          <w:sz w:val="21"/>
        </w:rPr>
        <w:t>TC-SAFE-*</w:t>
      </w:r>
      <w:r>
        <w:rPr>
          <w:rFonts w:ascii="KaiTi" w:hAnsi="KaiTi" w:eastAsia="楷体"/>
          <w:b w:val="0"/>
          <w:i w:val="0"/>
          <w:sz w:val="21"/>
        </w:rPr>
        <w:t xml:space="preserve"> 全部通过，任何患者串用、红色风险漏显、无因关闭或真实写回均为零容忍。</w:t>
      </w:r>
    </w:p>
    <w:p>
      <w:pPr>
        <w:numPr>
          <w:ilvl w:val="0"/>
          <w:numId w:val="114"/>
        </w:numPr>
        <w:spacing w:after="160" w:line="280" w:lineRule="auto"/>
      </w:pPr>
      <w:r>
        <w:rPr>
          <w:rFonts w:ascii="KaiTi" w:hAnsi="KaiTi" w:eastAsia="楷体"/>
          <w:b w:val="0"/>
          <w:i w:val="0"/>
          <w:sz w:val="21"/>
        </w:rPr>
        <w:t>七个功能的典型、缺失、冲突、风险和失败路径均至少有一个通过用例。</w:t>
      </w:r>
    </w:p>
    <w:p>
      <w:pPr>
        <w:numPr>
          <w:ilvl w:val="0"/>
          <w:numId w:val="114"/>
        </w:numPr>
        <w:spacing w:after="160" w:line="280" w:lineRule="auto"/>
      </w:pPr>
      <w:r>
        <w:rPr>
          <w:rFonts w:ascii="KaiTi" w:hAnsi="KaiTi" w:eastAsia="楷体"/>
          <w:b w:val="0"/>
          <w:i w:val="0"/>
          <w:sz w:val="21"/>
        </w:rPr>
        <w:t>内科、骨科、妇科各至少一个典型病例和一个安全病例完成 UI 演示与结果核对。</w:t>
      </w:r>
    </w:p>
    <w:p>
      <w:pPr>
        <w:numPr>
          <w:ilvl w:val="0"/>
          <w:numId w:val="114"/>
        </w:numPr>
        <w:spacing w:after="160" w:line="280" w:lineRule="auto"/>
      </w:pPr>
      <w:r>
        <w:rPr>
          <w:rFonts w:ascii="KaiTi" w:hAnsi="KaiTi" w:eastAsia="楷体"/>
          <w:b w:val="0"/>
          <w:i w:val="0"/>
          <w:sz w:val="21"/>
        </w:rPr>
        <w:t>当前 HTML 与实现逐屏对照无未经确认的布局、视觉和交互差异。</w:t>
      </w:r>
    </w:p>
    <w:p>
      <w:pPr>
        <w:numPr>
          <w:ilvl w:val="0"/>
          <w:numId w:val="114"/>
        </w:numPr>
        <w:spacing w:after="160" w:line="280" w:lineRule="auto"/>
      </w:pPr>
      <w:r>
        <w:rPr>
          <w:rFonts w:ascii="KaiTi" w:hAnsi="KaiTi" w:eastAsia="楷体"/>
          <w:b w:val="0"/>
          <w:i w:val="0"/>
          <w:sz w:val="21"/>
        </w:rPr>
        <w:t>所有 Mock 写回和任务回执可追溯，医生输入在失败、刷新、重试和患者切换中不丢失。</w:t>
      </w:r>
    </w:p>
    <w:p>
      <w:r>
        <w:rPr>
          <w:rFonts w:ascii="KaiTi" w:hAnsi="KaiTi" w:eastAsia="楷体"/>
          <w:b w:val="0"/>
          <w:i w:val="0"/>
          <w:sz w:val="21"/>
        </w:rPr>
        <w:t>临床准确性和专科规则上线门槛需在临床专家完成金标准标注后另行签字，不以本 UI 测试代替。</w:t>
      </w:r>
    </w:p>
    <w:p>
      <w:r>
        <w:rPr>
          <w:rFonts w:ascii="KaiTi" w:hAnsi="KaiTi" w:eastAsia="楷体"/>
        </w:rPr>
        <w:br w:type="page"/>
      </w:r>
    </w:p>
    <w:p>
      <w:pPr>
        <w:pStyle w:val="Heading1"/>
        <w:pageBreakBefore w:val="0"/>
        <w:numPr>
          <w:ilvl w:val="0"/>
          <w:numId w:val="102"/>
        </w:numPr>
      </w:pPr>
      <w:r>
        <w:rPr>
          <w:rFonts w:ascii="KaiTi" w:hAnsi="KaiTi" w:eastAsia="楷体"/>
          <w:b/>
          <w:i w:val="0"/>
          <w:color w:val="1F4D78"/>
          <w:sz w:val="32"/>
        </w:rPr>
        <w:t>附录：源文件与交付清单</w:t>
      </w:r>
    </w:p>
    <w:p>
      <w:pPr>
        <w:numPr>
          <w:ilvl w:val="0"/>
          <w:numId w:val="100"/>
        </w:numPr>
        <w:spacing w:after="160" w:line="280" w:lineRule="auto"/>
      </w:pPr>
      <w:r>
        <w:rPr>
          <w:rFonts w:ascii="KaiTi" w:hAnsi="KaiTi" w:eastAsia="楷体"/>
          <w:b w:val="0"/>
          <w:i w:val="0"/>
          <w:sz w:val="21"/>
        </w:rPr>
        <w:t>原始 HTML：references/ui-demo/AI-HIS门诊模块V4.3.html（SHA-256 已校验）</w:t>
      </w:r>
    </w:p>
    <w:p>
      <w:pPr>
        <w:numPr>
          <w:ilvl w:val="0"/>
          <w:numId w:val="100"/>
        </w:numPr>
        <w:spacing w:after="160" w:line="280" w:lineRule="auto"/>
      </w:pPr>
      <w:r>
        <w:rPr>
          <w:rFonts w:ascii="KaiTi" w:hAnsi="KaiTi" w:eastAsia="楷体"/>
          <w:b w:val="0"/>
          <w:i w:val="0"/>
          <w:sz w:val="21"/>
        </w:rPr>
        <w:t>当前 HTML：design/current/AI-HIS医生智能体一期.html</w:t>
      </w:r>
    </w:p>
    <w:p>
      <w:pPr>
        <w:numPr>
          <w:ilvl w:val="0"/>
          <w:numId w:val="100"/>
        </w:numPr>
        <w:spacing w:after="160" w:line="280" w:lineRule="auto"/>
      </w:pPr>
      <w:r>
        <w:rPr>
          <w:rFonts w:ascii="KaiTi" w:hAnsi="KaiTi" w:eastAsia="楷体"/>
          <w:b w:val="0"/>
          <w:i w:val="0"/>
          <w:sz w:val="21"/>
        </w:rPr>
        <w:t>UI/UX 基线：docs/product/02-UIUX详细规格与页面Mockup.md</w:t>
      </w:r>
    </w:p>
    <w:p>
      <w:pPr>
        <w:numPr>
          <w:ilvl w:val="0"/>
          <w:numId w:val="100"/>
        </w:numPr>
        <w:spacing w:after="160" w:line="280" w:lineRule="auto"/>
      </w:pPr>
      <w:r>
        <w:rPr>
          <w:rFonts w:ascii="KaiTi" w:hAnsi="KaiTi" w:eastAsia="楷体"/>
          <w:b w:val="0"/>
          <w:i w:val="0"/>
          <w:sz w:val="21"/>
        </w:rPr>
        <w:t>原型追踪：docs/product/04-UIUX原型与需求追踪说明.md</w:t>
      </w:r>
    </w:p>
    <w:p>
      <w:pPr>
        <w:numPr>
          <w:ilvl w:val="0"/>
          <w:numId w:val="100"/>
        </w:numPr>
        <w:spacing w:after="160" w:line="280" w:lineRule="auto"/>
      </w:pPr>
      <w:r>
        <w:rPr>
          <w:rFonts w:ascii="KaiTi" w:hAnsi="KaiTi" w:eastAsia="楷体"/>
          <w:b w:val="0"/>
          <w:i w:val="0"/>
          <w:sz w:val="21"/>
        </w:rPr>
        <w:t>逐功能规格：docs/product/features/F01–F07</w:t>
      </w:r>
    </w:p>
    <w:p>
      <w:pPr>
        <w:numPr>
          <w:ilvl w:val="0"/>
          <w:numId w:val="100"/>
        </w:numPr>
        <w:spacing w:after="160" w:line="280" w:lineRule="auto"/>
      </w:pPr>
      <w:r>
        <w:rPr>
          <w:rFonts w:ascii="KaiTi" w:hAnsi="KaiTi" w:eastAsia="楷体"/>
          <w:b w:val="0"/>
          <w:i w:val="0"/>
          <w:sz w:val="21"/>
        </w:rPr>
        <w:t>测试用例：docs/testing/01-一期UIUX与功能测试用例.md</w:t>
      </w:r>
    </w:p>
    <w:p>
      <w:pPr>
        <w:numPr>
          <w:ilvl w:val="0"/>
          <w:numId w:val="100"/>
        </w:numPr>
        <w:spacing w:after="160" w:line="280" w:lineRule="auto"/>
      </w:pPr>
      <w:r>
        <w:rPr>
          <w:rFonts w:ascii="KaiTi" w:hAnsi="KaiTi" w:eastAsia="楷体"/>
          <w:b w:val="0"/>
          <w:i w:val="0"/>
          <w:sz w:val="21"/>
        </w:rPr>
        <w:t>测试数据：docs/testing/fixtures/phase1-patients.json</w:t>
      </w:r>
    </w:p>
    <w:p>
      <w:pPr>
        <w:numPr>
          <w:ilvl w:val="0"/>
          <w:numId w:val="100"/>
        </w:numPr>
        <w:spacing w:after="160" w:line="280" w:lineRule="auto"/>
      </w:pPr>
      <w:r>
        <w:rPr>
          <w:rFonts w:ascii="KaiTi" w:hAnsi="KaiTi" w:eastAsia="楷体"/>
          <w:b w:val="0"/>
          <w:i w:val="0"/>
          <w:sz w:val="21"/>
        </w:rPr>
        <w:t>Agent 集成：docs/agent-integration/01-Agent集成与Mockup详细规格.md</w:t>
      </w:r>
    </w:p>
    <w:p>
      <w:pPr>
        <w:numPr>
          <w:ilvl w:val="0"/>
          <w:numId w:val="100"/>
        </w:numPr>
        <w:spacing w:after="160" w:line="280" w:lineRule="auto"/>
      </w:pPr>
      <w:r>
        <w:rPr>
          <w:rFonts w:ascii="KaiTi" w:hAnsi="KaiTi" w:eastAsia="楷体"/>
          <w:b w:val="0"/>
          <w:i w:val="0"/>
          <w:sz w:val="21"/>
        </w:rPr>
        <w:t>岗位与调优：docs/agent-roles-and-evaluation/01-Agent岗位与调优Mockup详细规格.md</w:t>
      </w:r>
    </w:p>
    <w:p>
      <w:pPr>
        <w:pStyle w:val="Heading2"/>
        <w:pageBreakBefore w:val="0"/>
        <w:numPr>
          <w:ilvl w:val="1"/>
          <w:numId w:val="102"/>
        </w:numPr>
      </w:pPr>
      <w:r>
        <w:rPr>
          <w:rFonts w:ascii="KaiTi" w:hAnsi="KaiTi" w:eastAsia="楷体"/>
          <w:b/>
          <w:i w:val="0"/>
          <w:color w:val="1F4D78"/>
          <w:sz w:val="26"/>
        </w:rPr>
        <w:t>当前待确认</w:t>
      </w:r>
    </w:p>
    <w:p>
      <w:pPr>
        <w:numPr>
          <w:ilvl w:val="0"/>
          <w:numId w:val="100"/>
        </w:numPr>
        <w:spacing w:after="160" w:line="280" w:lineRule="auto"/>
      </w:pPr>
      <w:r>
        <w:rPr>
          <w:rFonts w:ascii="KaiTi" w:hAnsi="KaiTi" w:eastAsia="楷体"/>
          <w:b w:val="0"/>
          <w:i w:val="0"/>
          <w:sz w:val="21"/>
        </w:rPr>
        <w:t>正式机构名称、产品名称和 Logo 组合方式。</w:t>
      </w:r>
    </w:p>
    <w:p>
      <w:pPr>
        <w:numPr>
          <w:ilvl w:val="0"/>
          <w:numId w:val="100"/>
        </w:numPr>
        <w:spacing w:after="160" w:line="280" w:lineRule="auto"/>
      </w:pPr>
      <w:r>
        <w:rPr>
          <w:rFonts w:ascii="KaiTi" w:hAnsi="KaiTi" w:eastAsia="楷体"/>
          <w:b w:val="0"/>
          <w:i w:val="0"/>
          <w:sz w:val="21"/>
        </w:rPr>
        <w:t>正式 SSO、患者检索与同名患者确认规则。</w:t>
      </w:r>
    </w:p>
    <w:p>
      <w:pPr>
        <w:numPr>
          <w:ilvl w:val="0"/>
          <w:numId w:val="100"/>
        </w:numPr>
        <w:spacing w:after="160" w:line="280" w:lineRule="auto"/>
      </w:pPr>
      <w:r>
        <w:rPr>
          <w:rFonts w:ascii="KaiTi" w:hAnsi="KaiTi" w:eastAsia="楷体"/>
          <w:b w:val="0"/>
          <w:i w:val="0"/>
          <w:sz w:val="21"/>
        </w:rPr>
        <w:t>AgentScope 鉴权、流式协议、超时、重试和审计接口。</w:t>
      </w:r>
    </w:p>
    <w:p>
      <w:pPr>
        <w:numPr>
          <w:ilvl w:val="0"/>
          <w:numId w:val="100"/>
        </w:numPr>
        <w:spacing w:after="160" w:line="280" w:lineRule="auto"/>
      </w:pPr>
      <w:r>
        <w:rPr>
          <w:rFonts w:ascii="KaiTi" w:hAnsi="KaiTi" w:eastAsia="楷体"/>
          <w:b w:val="0"/>
          <w:i w:val="0"/>
          <w:sz w:val="21"/>
        </w:rPr>
        <w:t>内科、骨科、妇科风险阈值、不能漏诊目录和临床签字人。</w:t>
      </w:r>
    </w:p>
    <w:p>
      <w:pPr>
        <w:numPr>
          <w:ilvl w:val="0"/>
          <w:numId w:val="100"/>
        </w:numPr>
        <w:spacing w:after="160" w:line="280" w:lineRule="auto"/>
      </w:pPr>
      <w:r>
        <w:rPr>
          <w:rFonts w:ascii="KaiTi" w:hAnsi="KaiTi" w:eastAsia="楷体"/>
          <w:b w:val="0"/>
          <w:i w:val="0"/>
          <w:sz w:val="21"/>
        </w:rPr>
        <w:t>正式 HIS/EMR 写回接口及电子签名责任边界。</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KaiTi" w:hAnsi="KaiTi" w:eastAsia="楷体"/>
        <w:color w:val="596370"/>
        <w:sz w:val="18"/>
      </w:rPr>
      <w:t xml:space="preserve">北大医疗 · 北京大学国际医院  |  </w:t>
    </w:r>
    <w:r>
      <w:rPr>
        <w:rFonts w:ascii="KaiTi" w:hAnsi="KaiTi" w:eastAsia="楷体"/>
        <w:color w:val="596370"/>
        <w:sz w:val="18"/>
      </w:rPr>
      <w:t xml:space="preserve">第 </w:t>
      <w:fldChar w:fldCharType="begin"/>
      <w:instrText xml:space="preserve"> PAGE </w:instrText>
      <w:fldChar w:fldCharType="separate"/>
      <w:t>1</w:t>
      <w:fldChar w:fldCharType="end"/>
    </w:r>
    <w:r>
      <w:rPr>
        <w:rFonts w:ascii="KaiTi" w:hAnsi="KaiTi" w:eastAsia="楷体"/>
        <w:color w:val="59637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9E2F1"/>
      </w:pBdr>
    </w:pPr>
    <w:r>
      <w:rPr>
        <w:rFonts w:ascii="KaiTi" w:hAnsi="KaiTi" w:eastAsia="楷体"/>
        <w:color w:val="596370"/>
        <w:sz w:val="18"/>
      </w:rPr>
      <w:t>Doctor Agent 一期产品需求文档（PRD）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multiLevelType w:val="singleLevel"/>
    <w:lvl w:ilvl="0">
      <w:start w:val="1"/>
      <w:numFmt w:val="bullet"/>
      <w:lvlText w:val="•"/>
      <w:suff w:val="tab"/>
      <w:pPr>
        <w:tabs>
          <w:tab w:val="num" w:pos="720"/>
        </w:tabs>
        <w:ind w:left="720" w:hanging="360"/>
        <w:spacing w:after="160" w:line="280" w:lineRule="auto"/>
      </w:pPr>
      <w:rPr>
        <w:rFonts w:ascii="KaiTi" w:hAnsi="KaiTi" w:eastAsia="楷体"/>
      </w:rPr>
    </w:lvl>
  </w:abstractNum>
  <w:num w:numId="100">
    <w:abstractNumId w:val="100"/>
  </w:num>
  <w:abstractNum w:abstractNumId="101">
    <w:multiLevelType w:val="singleLevel"/>
    <w:lvl w:ilvl="0">
      <w:start w:val="1"/>
      <w:numFmt w:val="decimal"/>
      <w:lvlText w:val="%1."/>
      <w:suff w:val="tab"/>
      <w:pPr>
        <w:tabs>
          <w:tab w:val="num" w:pos="720"/>
        </w:tabs>
        <w:ind w:left="720" w:hanging="360"/>
        <w:spacing w:after="160" w:line="280" w:lineRule="auto"/>
      </w:pPr>
      <w:rPr>
        <w:rFonts w:ascii="KaiTi" w:hAnsi="KaiTi" w:eastAsia="楷体"/>
      </w:rPr>
    </w:lvl>
  </w:abstractNum>
  <w:num w:numId="101">
    <w:abstractNumId w:val="101"/>
  </w:num>
  <w:abstractNum w:abstractNumId="102">
    <w:multiLevelType w:val="multilevel"/>
    <w:lvl w:ilvl="0">
      <w:start w:val="1"/>
      <w:numFmt w:val="decimal"/>
      <w:lvlText w:val="%1."/>
      <w:suff w:val="space"/>
      <w:pStyle w:val="Heading1"/>
      <w:pPr>
        <w:ind w:left="0" w:hanging="0"/>
      </w:pPr>
      <w:rPr>
        <w:rFonts w:ascii="KaiTi" w:hAnsi="KaiTi" w:eastAsia="楷体"/>
        <w:b w:val="true"/>
        <w:color w:val="1F4D78"/>
        <w:sz w:val="32"/>
      </w:rPr>
    </w:lvl>
    <w:lvl w:ilvl="1">
      <w:start w:val="1"/>
      <w:numFmt w:val="decimal"/>
      <w:lvlText w:val="%1.%2"/>
      <w:suff w:val="space"/>
      <w:pStyle w:val="Heading2"/>
      <w:lvlRestart w:val="1"/>
      <w:pPr>
        <w:ind w:left="0" w:hanging="0"/>
      </w:pPr>
      <w:rPr>
        <w:rFonts w:ascii="KaiTi" w:hAnsi="KaiTi" w:eastAsia="楷体"/>
        <w:b w:val="true"/>
        <w:color w:val="1F4D78"/>
        <w:sz w:val="26"/>
      </w:rPr>
    </w:lvl>
    <w:lvl w:ilvl="2">
      <w:start w:val="1"/>
      <w:numFmt w:val="decimal"/>
      <w:lvlText w:val="%1.%2.%3"/>
      <w:suff w:val="space"/>
      <w:pStyle w:val="Heading3"/>
      <w:lvlRestart w:val="2"/>
      <w:pPr>
        <w:ind w:left="0" w:hanging="0"/>
      </w:pPr>
      <w:rPr>
        <w:rFonts w:ascii="KaiTi" w:hAnsi="KaiTi" w:eastAsia="楷体"/>
        <w:b w:val="true"/>
        <w:color w:val="1F4D78"/>
        <w:sz w:val="24"/>
      </w:rPr>
    </w:lvl>
    <w:lvl w:ilvl="3">
      <w:start w:val="1"/>
      <w:numFmt w:val="decimal"/>
      <w:lvlText w:val="%1.%2.%3.%4"/>
      <w:suff w:val="space"/>
      <w:pStyle w:val="Heading4"/>
      <w:lvlRestart w:val="3"/>
      <w:pPr>
        <w:ind w:left="0" w:hanging="0"/>
      </w:pPr>
      <w:rPr>
        <w:rFonts w:ascii="KaiTi" w:hAnsi="KaiTi" w:eastAsia="楷体"/>
        <w:b w:val="true"/>
        <w:color w:val="1F4D78"/>
        <w:sz w:val="22"/>
      </w:rPr>
    </w:lvl>
  </w:abstractNum>
  <w:num w:numId="102">
    <w:abstractNumId w:val="102"/>
  </w:num>
  <w:num w:numId="103">
    <w:abstractNumId w:val="101"/>
    <w:lvlOverride w:ilvl="0">
      <w:startOverride w:val="1"/>
    </w:lvlOverride>
  </w:num>
  <w:num w:numId="104">
    <w:abstractNumId w:val="101"/>
    <w:lvlOverride w:ilvl="0">
      <w:startOverride w:val="1"/>
    </w:lvlOverride>
  </w:num>
  <w:num w:numId="105">
    <w:abstractNumId w:val="101"/>
    <w:lvlOverride w:ilvl="0">
      <w:startOverride w:val="1"/>
    </w:lvlOverride>
  </w:num>
  <w:num w:numId="106">
    <w:abstractNumId w:val="101"/>
    <w:lvlOverride w:ilvl="0">
      <w:startOverride w:val="1"/>
    </w:lvlOverride>
  </w:num>
  <w:num w:numId="107">
    <w:abstractNumId w:val="101"/>
    <w:lvlOverride w:ilvl="0">
      <w:startOverride w:val="1"/>
    </w:lvlOverride>
  </w:num>
  <w:num w:numId="108">
    <w:abstractNumId w:val="101"/>
    <w:lvlOverride w:ilvl="0">
      <w:startOverride w:val="1"/>
    </w:lvlOverride>
  </w:num>
  <w:num w:numId="109">
    <w:abstractNumId w:val="101"/>
    <w:lvlOverride w:ilvl="0">
      <w:startOverride w:val="1"/>
    </w:lvlOverride>
  </w:num>
  <w:num w:numId="110">
    <w:abstractNumId w:val="101"/>
    <w:lvlOverride w:ilvl="0">
      <w:startOverride w:val="1"/>
    </w:lvlOverride>
  </w:num>
  <w:num w:numId="111">
    <w:abstractNumId w:val="101"/>
    <w:lvlOverride w:ilvl="0">
      <w:startOverride w:val="1"/>
    </w:lvlOverride>
  </w:num>
  <w:num w:numId="112">
    <w:abstractNumId w:val="101"/>
    <w:lvlOverride w:ilvl="0">
      <w:startOverride w:val="1"/>
    </w:lvlOverride>
  </w:num>
  <w:num w:numId="113">
    <w:abstractNumId w:val="101"/>
    <w:lvlOverride w:ilvl="0">
      <w:startOverride w:val="1"/>
    </w:lvlOverride>
  </w:num>
  <w:num w:numId="114">
    <w:abstractNumId w:val="10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KaiTi" w:hAnsi="KaiTi" w:eastAsia="楷体"/>
      <w:b w:val="0"/>
      <w:color w:val="172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KaiTi" w:hAnsi="KaiTi" w:eastAsia="楷体"/>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KaiTi" w:hAnsi="KaiTi" w:eastAsia="楷体"/>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KaiTi" w:hAnsi="KaiTi" w:eastAsia="楷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line="240" w:lineRule="auto"/>
      <w:outlineLvl w:val="3"/>
    </w:pPr>
    <w:rPr>
      <w:rFonts w:asciiTheme="majorHAnsi" w:eastAsiaTheme="majorEastAsia" w:hAnsiTheme="majorHAnsi" w:cstheme="majorBidi" w:ascii="KaiTi" w:hAnsi="KaiTi" w:eastAsia="楷体"/>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KaiTi" w:hAnsi="KaiTi" w:eastAsia="楷体"/>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40" w:lineRule="auto"/>
    </w:pPr>
    <w:rPr>
      <w:rFonts w:asciiTheme="majorHAnsi" w:eastAsiaTheme="majorEastAsia" w:hAnsiTheme="majorHAnsi" w:cstheme="majorBidi" w:ascii="KaiTi" w:hAnsi="KaiTi" w:eastAsia="楷体"/>
      <w:b w:val="0"/>
      <w:i/>
      <w:iCs/>
      <w:color w:val="5963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KaiTi" w:hAnsi="KaiTi" w:eastAsia="楷体"/>
      <w:b w:val="0"/>
      <w:bCs/>
      <w:color w:val="5963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spacing w:before="320" w:after="160" w:line="240" w:lineRule="auto"/>
    </w:pPr>
    <w:rPr>
      <w:rFonts w:ascii="KaiTi" w:hAnsi="KaiTi" w:eastAsia="楷体"/>
      <w:b/>
      <w:color w:val="1F4D78"/>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