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福驾科技 CloudGuard 方案使用说明书</w:t>
      </w:r>
    </w:p>
    <w:p>
      <w:pPr>
        <w:jc w:val="center"/>
      </w:pPr>
      <w:r>
        <w:t>AWS 原生安全治理与可重复交付平台</w:t>
      </w:r>
    </w:p>
    <w:p>
      <w:r>
        <w:rPr>
          <w:b/>
        </w:rPr>
        <w:t>版本：</w:t>
      </w:r>
      <w:r>
        <w:t xml:space="preserve"> 1.0</w:t>
      </w:r>
    </w:p>
    <w:p>
      <w:r>
        <w:rPr>
          <w:b/>
        </w:rPr>
        <w:t>部署环境：</w:t>
      </w:r>
      <w:r>
        <w:t xml:space="preserve"> AWS 商业区 </w:t>
      </w:r>
      <w:r>
        <w:rPr>
          <w:rFonts w:ascii="Consolas" w:hAnsi="Consolas"/>
          <w:color w:val="214968"/>
          <w:sz w:val="18"/>
        </w:rPr>
        <w:t>ap-southeast-1</w:t>
      </w:r>
    </w:p>
    <w:p>
      <w:r>
        <w:rPr>
          <w:b/>
        </w:rPr>
        <w:t>AWS 账号：</w:t>
      </w:r>
      <w:r>
        <w:t xml:space="preserve"> </w:t>
      </w:r>
      <w:r>
        <w:rPr>
          <w:rFonts w:ascii="Consolas" w:hAnsi="Consolas"/>
          <w:color w:val="214968"/>
          <w:sz w:val="18"/>
        </w:rPr>
        <w:t>893420598334</w:t>
      </w:r>
    </w:p>
    <w:p>
      <w:r>
        <w:rPr>
          <w:b/>
        </w:rPr>
        <w:t>CloudFormation 栈：</w:t>
      </w:r>
      <w:r>
        <w:t xml:space="preserve"> </w:t>
      </w:r>
      <w:r>
        <w:rPr>
          <w:rFonts w:ascii="Consolas" w:hAnsi="Consolas"/>
          <w:color w:val="214968"/>
          <w:sz w:val="18"/>
        </w:rPr>
        <w:t>fullja-cloudguard-demo</w:t>
      </w:r>
    </w:p>
    <w:p>
      <w:r>
        <w:rPr>
          <w:b/>
        </w:rPr>
        <w:t>运行模式：</w:t>
      </w:r>
      <w:r>
        <w:t xml:space="preserve"> 本地业务平台 + AWS 原生治理后端（Hybrid）</w:t>
      </w:r>
    </w:p>
    <w:p>
      <w:r>
        <w:rPr>
          <w:b/>
        </w:rPr>
        <w:t>编制日期：</w:t>
      </w:r>
      <w:r>
        <w:t xml:space="preserve"> 2026-09-30</w:t>
      </w:r>
    </w:p>
    <w:p>
      <w:pPr>
        <w:pStyle w:val="Heading2"/>
      </w:pPr>
      <w:r>
        <w:t>1. 文档目的</w:t>
      </w:r>
    </w:p>
    <w:p>
      <w:r>
        <w:t>本说明书用于指导福驾科技和托管服务团队运行 CloudGuard 安全治理平台，覆盖客户接入、项目交付、安全发现、事件响应、身份治理、数据保护、AWS Config 合规、证据归档、报告与审计，并说明 AWS 云端资源、五个 Agent 动作和日常操作方法。</w:t>
      </w:r>
    </w:p>
    <w:p>
      <w:r>
        <w:t>本方案严格区分两类数据：</w:t>
      </w:r>
    </w:p>
    <w:p>
      <w:pPr>
        <w:pStyle w:val="ListBullet"/>
      </w:pPr>
      <w:r>
        <w:rPr>
          <w:b/>
        </w:rPr>
        <w:t>本地业务数据：</w:t>
      </w:r>
      <w:r>
        <w:t xml:space="preserve"> 客户、订单、项目、演示 Config 40 规则及工作流，持久化在 </w:t>
      </w:r>
      <w:r>
        <w:rPr>
          <w:rFonts w:ascii="Consolas" w:hAnsi="Consolas"/>
          <w:color w:val="214968"/>
          <w:sz w:val="18"/>
        </w:rPr>
        <w:t>data/store.json</w:t>
      </w:r>
      <w:r>
        <w:t>；</w:t>
      </w:r>
    </w:p>
    <w:p>
      <w:pPr>
        <w:pStyle w:val="ListBullet"/>
      </w:pPr>
      <w:r>
        <w:rPr>
          <w:b/>
        </w:rPr>
        <w:t>AWS 实时数据：</w:t>
      </w:r>
      <w:r>
        <w:t xml:space="preserve"> 由 API Gateway/Lambda 调用 AWS Config、Security Hub、GuardDuty、IAM、KMS、S3、Macie、CloudWatch、Cost Explorer、CloudFormation 等真实 API 获取，并存入 DynamoDB/S3。</w:t>
      </w:r>
    </w:p>
    <w:p>
      <w:r>
        <w:t>页面显示“本地适配器”时，不应将演示数值作为 AWS 账户证据；完成 Cognito 连接后，AWS 实时面板才代表云端采集结果。</w:t>
      </w:r>
    </w:p>
    <w:p>
      <w:pPr>
        <w:pStyle w:val="Heading2"/>
      </w:pPr>
      <w:r>
        <w:t>2. 已部署架构</w:t>
      </w:r>
    </w:p>
    <w:p>
      <w:pPr>
        <w:pStyle w:val="Heading3"/>
      </w:pPr>
      <w:r>
        <w:t>2.1 访问与身份</w:t>
      </w:r>
    </w:p>
    <w:p>
      <w:pPr>
        <w:pStyle w:val="ListBullet"/>
      </w:pPr>
      <w:r>
        <w:t>AWS WAF：保护 API Gateway，启用 AWS Managed Common Rule Set 和 IP 限速；</w:t>
      </w:r>
    </w:p>
    <w:p>
      <w:pPr>
        <w:pStyle w:val="ListBullet"/>
      </w:pPr>
      <w:r>
        <w:t>Amazon API Gateway：暴露治理 API；</w:t>
      </w:r>
    </w:p>
    <w:p>
      <w:pPr>
        <w:pStyle w:val="ListBullet"/>
      </w:pPr>
      <w:r>
        <w:t>Amazon Cognito：Hosted UI、Authorization Code + PKCE、管理员身份和租户声明；</w:t>
      </w:r>
    </w:p>
    <w:p>
      <w:pPr>
        <w:pStyle w:val="ListBullet"/>
      </w:pPr>
      <w:r>
        <w:t xml:space="preserve">Amazon CloudFront：已创建生产静态分发目标；当前完整业务流程仍由本地 Node.js API 提供，因此演示入口使用 </w:t>
      </w:r>
      <w:r>
        <w:rPr>
          <w:rFonts w:ascii="Consolas" w:hAnsi="Consolas"/>
          <w:color w:val="214968"/>
          <w:sz w:val="18"/>
        </w:rPr>
        <w:t>http://127.0.0.1:8080</w:t>
      </w:r>
      <w:r>
        <w:t>。</w:t>
      </w:r>
    </w:p>
    <w:p>
      <w:pPr>
        <w:pStyle w:val="Heading3"/>
      </w:pPr>
      <w:r>
        <w:t>2.2 计算、事件与数据</w:t>
      </w:r>
    </w:p>
    <w:p>
      <w:pPr>
        <w:pStyle w:val="ListBullet"/>
      </w:pPr>
      <w:r>
        <w:t>3 个 Python 3.12 ARM64 Lambda：Governance API、Finding Ingest、Scheduled Collector；</w:t>
      </w:r>
    </w:p>
    <w:p>
      <w:pPr>
        <w:pStyle w:val="ListBullet"/>
      </w:pPr>
      <w:r>
        <w:t>EventBridge：接收 Security Hub、GuardDuty、AWS Config 事件，并每 6 小时启动采集；</w:t>
      </w:r>
    </w:p>
    <w:p>
      <w:pPr>
        <w:pStyle w:val="ListBullet"/>
      </w:pPr>
      <w:r>
        <w:t>SQS + DLQ：Finding 缓冲、重试和失败隔离；</w:t>
      </w:r>
    </w:p>
    <w:p>
      <w:pPr>
        <w:pStyle w:val="ListBullet"/>
      </w:pPr>
      <w:r>
        <w:t>DynamoDB：租户隔离单表，启用 KMS 加密和 PITR；</w:t>
      </w:r>
    </w:p>
    <w:p>
      <w:pPr>
        <w:pStyle w:val="ListBullet"/>
      </w:pPr>
      <w:r>
        <w:t>S3 Evidence Bucket：KMS、Versioning、Object Lock、生命周期和访问日志；</w:t>
      </w:r>
    </w:p>
    <w:p>
      <w:pPr>
        <w:pStyle w:val="ListBullet"/>
      </w:pPr>
      <w:r>
        <w:t>SNS：高危 Finding 和审批工单通知；</w:t>
      </w:r>
    </w:p>
    <w:p>
      <w:pPr>
        <w:pStyle w:val="ListBullet"/>
      </w:pPr>
      <w:r>
        <w:t>CloudWatch：API 5XX、DLQ 告警与 Lambda 日志；</w:t>
      </w:r>
    </w:p>
    <w:p>
      <w:pPr>
        <w:pStyle w:val="ListBullet"/>
      </w:pPr>
      <w:r>
        <w:t>AWS KMS：平台数据、队列、主题和证据加密，自动轮换。</w:t>
      </w:r>
    </w:p>
    <w:p>
      <w:pPr>
        <w:pStyle w:val="Heading3"/>
      </w:pPr>
      <w:r>
        <w:t>2.3 部署输出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73F5F"/>
          </w:tcPr>
          <w:p>
            <w:r>
              <w:rPr>
                <w:b/>
                <w:color w:val="FFFFFF"/>
              </w:rPr>
              <w:t>项目</w:t>
            </w:r>
          </w:p>
        </w:tc>
        <w:tc>
          <w:tcPr>
            <w:tcW w:type="dxa" w:w="4873"/>
            <w:shd w:fill="173F5F"/>
          </w:tcPr>
          <w:p>
            <w:r>
              <w:rPr>
                <w:b/>
                <w:color w:val="FFFFFF"/>
              </w:rPr>
              <w:t>值</w:t>
            </w:r>
          </w:p>
        </w:tc>
      </w:tr>
      <w:tr>
        <w:tc>
          <w:tcPr>
            <w:tcW w:type="dxa" w:w="4873"/>
          </w:tcPr>
          <w:p>
            <w:r>
              <w:t>API</w:t>
            </w:r>
          </w:p>
        </w:tc>
        <w:tc>
          <w:tcPr>
            <w:tcW w:type="dxa" w:w="4873"/>
          </w:tcPr>
          <w:p>
            <w:r>
              <w:t>https://0pdsacieja.execute-api.ap-southeast-1.amazonaws.com/prod/api</w:t>
            </w:r>
          </w:p>
        </w:tc>
      </w:tr>
      <w:tr>
        <w:tc>
          <w:tcPr>
            <w:tcW w:type="dxa" w:w="4873"/>
          </w:tcPr>
          <w:p>
            <w:r>
              <w:t>Cognito</w:t>
            </w:r>
          </w:p>
        </w:tc>
        <w:tc>
          <w:tcPr>
            <w:tcW w:type="dxa" w:w="4873"/>
          </w:tcPr>
          <w:p>
            <w:r>
              <w:t>https://fullja-cloudguard-893420598334-v2.auth.ap-southeast-1.amazoncognito.com</w:t>
            </w:r>
          </w:p>
        </w:tc>
      </w:tr>
      <w:tr>
        <w:tc>
          <w:tcPr>
            <w:tcW w:type="dxa" w:w="4873"/>
          </w:tcPr>
          <w:p>
            <w:r>
              <w:t>User Pool</w:t>
            </w:r>
          </w:p>
        </w:tc>
        <w:tc>
          <w:tcPr>
            <w:tcW w:type="dxa" w:w="4873"/>
          </w:tcPr>
          <w:p>
            <w:r>
              <w:t>ap-southeast-1_0HcOaKiFt</w:t>
            </w:r>
          </w:p>
        </w:tc>
      </w:tr>
      <w:tr>
        <w:tc>
          <w:tcPr>
            <w:tcW w:type="dxa" w:w="4873"/>
          </w:tcPr>
          <w:p>
            <w:r>
              <w:t>CloudFront</w:t>
            </w:r>
          </w:p>
        </w:tc>
        <w:tc>
          <w:tcPr>
            <w:tcW w:type="dxa" w:w="4873"/>
          </w:tcPr>
          <w:p>
            <w:r>
              <w:t>https://d15aa7dmkhmjnf.cloudfront.net</w:t>
            </w:r>
          </w:p>
        </w:tc>
      </w:tr>
      <w:tr>
        <w:tc>
          <w:tcPr>
            <w:tcW w:type="dxa" w:w="4873"/>
          </w:tcPr>
          <w:p>
            <w:r>
              <w:t>Evidence Bucket</w:t>
            </w:r>
          </w:p>
        </w:tc>
        <w:tc>
          <w:tcPr>
            <w:tcW w:type="dxa" w:w="4873"/>
          </w:tcPr>
          <w:p>
            <w:r>
              <w:t>fullja-cloudguard-demo-evidencebucket-cwtcmcin8vna</w:t>
            </w:r>
          </w:p>
        </w:tc>
      </w:tr>
      <w:tr>
        <w:tc>
          <w:tcPr>
            <w:tcW w:type="dxa" w:w="4873"/>
          </w:tcPr>
          <w:p>
            <w:r>
              <w:t>DynamoDB Table</w:t>
            </w:r>
          </w:p>
        </w:tc>
        <w:tc>
          <w:tcPr>
            <w:tcW w:type="dxa" w:w="4873"/>
          </w:tcPr>
          <w:p>
            <w:r>
              <w:t>fullja-cloudguard-demo-GovernanceTable-116BVFXB84ZTV</w:t>
            </w:r>
          </w:p>
        </w:tc>
      </w:tr>
    </w:tbl>
    <w:p/>
    <w:p>
      <w:pPr>
        <w:pStyle w:val="Heading2"/>
      </w:pPr>
      <w:r>
        <w:t>3. 启动与登录</w:t>
      </w:r>
    </w:p>
    <w:p>
      <w:pPr>
        <w:pStyle w:val="Heading3"/>
      </w:pPr>
      <w:r>
        <w:t>3.1 启动本地业务平台</w:t>
      </w:r>
    </w:p>
    <w:p>
      <w:pPr>
        <w:pStyle w:val="NoSpacing"/>
        <w:spacing w:before="80" w:after="160"/>
        <w:ind w:left="340"/>
      </w:pPr>
      <w:r>
        <w:rPr>
          <w:rFonts w:ascii="Consolas" w:hAnsi="Consolas"/>
          <w:sz w:val="18"/>
        </w:rPr>
        <w:t>Set-Location "c:\Users\hp\Desktop\福驾科技\smb-certification-demo"</w:t>
        <w:br/>
        <w:t>npm start</w:t>
      </w:r>
    </w:p>
    <w:p>
      <w:r>
        <w:t>浏览器访问：</w:t>
      </w:r>
      <w:r>
        <w:rPr>
          <w:rFonts w:ascii="Consolas" w:hAnsi="Consolas"/>
          <w:color w:val="214968"/>
          <w:sz w:val="18"/>
        </w:rPr>
        <w:t>http://127.0.0.1:8080</w:t>
      </w:r>
    </w:p>
    <w:p>
      <w:r>
        <w:t>本地管理员：</w:t>
      </w:r>
    </w:p>
    <w:p>
      <w:pPr>
        <w:pStyle w:val="ListBullet"/>
      </w:pPr>
      <w:r>
        <w:t>账号：</w:t>
      </w:r>
      <w:r>
        <w:rPr>
          <w:rFonts w:ascii="Consolas" w:hAnsi="Consolas"/>
          <w:color w:val="214968"/>
          <w:sz w:val="18"/>
        </w:rPr>
        <w:t>admin@fulljatech.com</w:t>
      </w:r>
    </w:p>
    <w:p>
      <w:pPr>
        <w:pStyle w:val="ListBullet"/>
      </w:pPr>
      <w:r>
        <w:t>密码：</w:t>
      </w:r>
      <w:r>
        <w:rPr>
          <w:rFonts w:ascii="Consolas" w:hAnsi="Consolas"/>
          <w:color w:val="214968"/>
          <w:sz w:val="18"/>
        </w:rPr>
        <w:t>123456</w:t>
      </w:r>
    </w:p>
    <w:p>
      <w:r>
        <w:t>该密码仅用于本机演示。生产环境必须改用环境变量和强密码，不得复用该凭据。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2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登录页面</w:t>
      </w:r>
    </w:p>
    <w:p>
      <w:pPr>
        <w:pStyle w:val="Heading3"/>
      </w:pPr>
      <w:r>
        <w:t>3.2 连接 AWS 实时数据</w:t>
      </w:r>
    </w:p>
    <w:p>
      <w:pPr>
        <w:pStyle w:val="ListNumber"/>
      </w:pPr>
      <w:r>
        <w:t>登录本地平台；</w:t>
      </w:r>
    </w:p>
    <w:p>
      <w:pPr>
        <w:pStyle w:val="ListNumber"/>
      </w:pPr>
      <w:r>
        <w:t>点击右上角“本地适配器”或页面中的“连接 AWS”；</w:t>
      </w:r>
    </w:p>
    <w:p>
      <w:pPr>
        <w:pStyle w:val="ListNumber"/>
      </w:pPr>
      <w:r>
        <w:t>浏览器跳转至 Cognito Hosted UI；</w:t>
      </w:r>
    </w:p>
    <w:p>
      <w:pPr>
        <w:pStyle w:val="ListNumber"/>
      </w:pPr>
      <w:r>
        <w:t>使用 Cognito 管理员邮件收到的临时密码完成首次登录并设置强密码；</w:t>
      </w:r>
    </w:p>
    <w:p>
      <w:pPr>
        <w:pStyle w:val="ListNumber"/>
      </w:pPr>
      <w:r>
        <w:t>建议启用 TOTP MFA；</w:t>
      </w:r>
    </w:p>
    <w:p>
      <w:pPr>
        <w:pStyle w:val="ListNumber"/>
      </w:pPr>
      <w:r>
        <w:t>回调至本地平台后，右上角显示“AWS 已连接”；</w:t>
      </w:r>
    </w:p>
    <w:p>
      <w:pPr>
        <w:pStyle w:val="ListNumber"/>
      </w:pPr>
      <w:r>
        <w:t>架构、资源、数据保护、证据和 Agent 动作开始调用真实 AWS API。</w:t>
      </w:r>
    </w:p>
    <w:p>
      <w:pPr>
        <w:pStyle w:val="Heading2"/>
      </w:pPr>
      <w:r>
        <w:t>4. 核心页面操作</w:t>
      </w:r>
    </w:p>
    <w:p>
      <w:pPr>
        <w:pStyle w:val="Heading3"/>
      </w:pPr>
      <w:r>
        <w:t>4.1 智能安全治理 Agent</w:t>
      </w:r>
    </w:p>
    <w:p>
      <w:r>
        <w:t>Agent 提供五种治理场景：安全基线评估、身份与密钥治理、威胁检测与响应、数据保护检查、合规审计报告。选择场景、输入附加要求并点击“启动安全治理 Agent”，系统会展示工具调用链、风险摘要、工单、证据和报告。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78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ag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8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安全治理 Agent</w:t>
      </w:r>
    </w:p>
    <w:p>
      <w:r>
        <w:t>五个云端动作：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73F5F"/>
          </w:tcPr>
          <w:p>
            <w:r>
              <w:rPr>
                <w:b/>
                <w:color w:val="FFFFFF"/>
              </w:rPr>
              <w:t>动作</w:t>
            </w:r>
          </w:p>
        </w:tc>
        <w:tc>
          <w:tcPr>
            <w:tcW w:type="dxa" w:w="3249"/>
            <w:shd w:fill="173F5F"/>
          </w:tcPr>
          <w:p>
            <w:r>
              <w:rPr>
                <w:b/>
                <w:color w:val="FFFFFF"/>
              </w:rPr>
              <w:t>功能</w:t>
            </w:r>
          </w:p>
        </w:tc>
        <w:tc>
          <w:tcPr>
            <w:tcW w:type="dxa" w:w="3249"/>
            <w:shd w:fill="173F5F"/>
          </w:tcPr>
          <w:p>
            <w:r>
              <w:rPr>
                <w:b/>
                <w:color w:val="FFFFFF"/>
              </w:rPr>
              <w:t>是否修改客户资源</w:t>
            </w:r>
          </w:p>
        </w:tc>
      </w:tr>
      <w:tr>
        <w:tc>
          <w:tcPr>
            <w:tcW w:type="dxa" w:w="3249"/>
          </w:tcPr>
          <w:p>
            <w:r>
              <w:t>config_rules</w:t>
            </w:r>
          </w:p>
        </w:tc>
        <w:tc>
          <w:tcPr>
            <w:tcW w:type="dxa" w:w="3249"/>
          </w:tcPr>
          <w:p>
            <w:r>
              <w:t>读取 AWS Config 规则与合规状态并生成证据</w:t>
            </w:r>
          </w:p>
        </w:tc>
        <w:tc>
          <w:tcPr>
            <w:tcW w:type="dxa" w:w="3249"/>
          </w:tcPr>
          <w:p>
            <w:r>
              <w:t>否</w:t>
            </w:r>
          </w:p>
        </w:tc>
      </w:tr>
      <w:tr>
        <w:tc>
          <w:tcPr>
            <w:tcW w:type="dxa" w:w="3249"/>
          </w:tcPr>
          <w:p>
            <w:r>
              <w:t>rotate_keys</w:t>
            </w:r>
          </w:p>
        </w:tc>
        <w:tc>
          <w:tcPr>
            <w:tcW w:type="dxa" w:w="3249"/>
          </w:tcPr>
          <w:p>
            <w:r>
              <w:t>检查 IAM Access Key 与 KMS 轮换，Access Key 仅显示末四位</w:t>
            </w:r>
          </w:p>
        </w:tc>
        <w:tc>
          <w:tcPr>
            <w:tcW w:type="dxa" w:w="3249"/>
          </w:tcPr>
          <w:p>
            <w:r>
              <w:t>否</w:t>
            </w:r>
          </w:p>
        </w:tc>
      </w:tr>
      <w:tr>
        <w:tc>
          <w:tcPr>
            <w:tcW w:type="dxa" w:w="3249"/>
          </w:tcPr>
          <w:p>
            <w:r>
              <w:t>auto_remediate</w:t>
            </w:r>
          </w:p>
        </w:tc>
        <w:tc>
          <w:tcPr>
            <w:tcW w:type="dxa" w:w="3249"/>
          </w:tcPr>
          <w:p>
            <w:r>
              <w:t>聚合 Finding，创建 approval_required 工单并发送 SNS</w:t>
            </w:r>
          </w:p>
        </w:tc>
        <w:tc>
          <w:tcPr>
            <w:tcW w:type="dxa" w:w="3249"/>
          </w:tcPr>
          <w:p>
            <w:r>
              <w:t>否</w:t>
            </w:r>
          </w:p>
        </w:tc>
      </w:tr>
      <w:tr>
        <w:tc>
          <w:tcPr>
            <w:tcW w:type="dxa" w:w="3249"/>
          </w:tcPr>
          <w:p>
            <w:r>
              <w:t>collect_evidence</w:t>
            </w:r>
          </w:p>
        </w:tc>
        <w:tc>
          <w:tcPr>
            <w:tcW w:type="dxa" w:w="3249"/>
          </w:tcPr>
          <w:p>
            <w:r>
              <w:t>并发采集 Config、Finding、KMS/S3/Macie 和拓扑</w:t>
            </w:r>
          </w:p>
        </w:tc>
        <w:tc>
          <w:tcPr>
            <w:tcW w:type="dxa" w:w="3249"/>
          </w:tcPr>
          <w:p>
            <w:r>
              <w:t>否</w:t>
            </w:r>
          </w:p>
        </w:tc>
      </w:tr>
      <w:tr>
        <w:tc>
          <w:tcPr>
            <w:tcW w:type="dxa" w:w="3249"/>
          </w:tcPr>
          <w:p>
            <w:r>
              <w:t>generate_report</w:t>
            </w:r>
          </w:p>
        </w:tc>
        <w:tc>
          <w:tcPr>
            <w:tcW w:type="dxa" w:w="3249"/>
          </w:tcPr>
          <w:p>
            <w:r>
              <w:t>汇总治理数据，调用 Bedrock 摘要或确定性回退引擎</w:t>
            </w:r>
          </w:p>
        </w:tc>
        <w:tc>
          <w:tcPr>
            <w:tcW w:type="dxa" w:w="3249"/>
          </w:tcPr>
          <w:p>
            <w:r>
              <w:t>否</w:t>
            </w:r>
          </w:p>
        </w:tc>
      </w:tr>
    </w:tbl>
    <w:p/>
    <w:p>
      <w:r>
        <w:rPr>
          <w:rFonts w:ascii="Consolas" w:hAnsi="Consolas"/>
          <w:color w:val="214968"/>
          <w:sz w:val="18"/>
        </w:rPr>
        <w:t>auto_remediate</w:t>
      </w:r>
      <w:r>
        <w:t xml:space="preserve"> 不直接执行破坏性整改。生产处置应由 Step Functions 人工审批后调用最小权限 Runbook。</w:t>
      </w:r>
    </w:p>
    <w:p>
      <w:pPr>
        <w:pStyle w:val="Heading3"/>
      </w:pPr>
      <w:r>
        <w:t>4.2 安全运营总览</w:t>
      </w:r>
    </w:p>
    <w:p>
      <w:r>
        <w:t>用于查看客户、项目、开放 Finding、事件、合规率、风险评分、Config 趋势和待处理事项。点击卡片或“打开监控中心”进入对应业务页面。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769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dashboa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9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安全运营总览</w:t>
      </w:r>
    </w:p>
    <w:p>
      <w:pPr>
        <w:pStyle w:val="Heading3"/>
      </w:pPr>
      <w:r>
        <w:t>4.3 系统架构</w:t>
      </w:r>
    </w:p>
    <w:p>
      <w:r>
        <w:t>系统架构页把访问层、五层纵深治理、事件驱动自动化、业务资源层和平台服务映射到具体页面与动作。每个层级均可点击进入功能，</w:t>
      </w:r>
      <w:r>
        <w:rPr>
          <w:rFonts w:ascii="Consolas" w:hAnsi="Consolas"/>
          <w:color w:val="214968"/>
          <w:sz w:val="18"/>
        </w:rPr>
        <w:t>config_rules()</w:t>
      </w:r>
      <w:r>
        <w:t>、</w:t>
      </w:r>
      <w:r>
        <w:rPr>
          <w:rFonts w:ascii="Consolas" w:hAnsi="Consolas"/>
          <w:color w:val="214968"/>
          <w:sz w:val="18"/>
        </w:rPr>
        <w:t>rotate_keys()</w:t>
      </w:r>
      <w:r>
        <w:t>、</w:t>
      </w:r>
      <w:r>
        <w:rPr>
          <w:rFonts w:ascii="Consolas" w:hAnsi="Consolas"/>
          <w:color w:val="214968"/>
          <w:sz w:val="18"/>
        </w:rPr>
        <w:t>auto_remediate()</w:t>
      </w:r>
      <w:r>
        <w:t>、</w:t>
      </w:r>
      <w:r>
        <w:rPr>
          <w:rFonts w:ascii="Consolas" w:hAnsi="Consolas"/>
          <w:color w:val="214968"/>
          <w:sz w:val="18"/>
        </w:rPr>
        <w:t>collect_evidence()</w:t>
      </w:r>
      <w:r>
        <w:t>、</w:t>
      </w:r>
      <w:r>
        <w:rPr>
          <w:rFonts w:ascii="Consolas" w:hAnsi="Consolas"/>
          <w:color w:val="214968"/>
          <w:sz w:val="18"/>
        </w:rPr>
        <w:t>generate_report()</w:t>
      </w:r>
      <w:r>
        <w:t xml:space="preserve"> 可直接执行。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57253" cy="74980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7253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系统架构</w:t>
      </w:r>
    </w:p>
    <w:p>
      <w:pPr>
        <w:pStyle w:val="Heading3"/>
      </w:pPr>
      <w:r>
        <w:t>4.4 云资源中心</w:t>
      </w:r>
    </w:p>
    <w:p>
      <w:r>
        <w:t>展示 EC2/EKS、Aurora/RDS、DocumentDB、DynamoDB、ElastiCache、S3/EBS 等资源的健康、区域、加密、监控和成本。点击“执行健康检查”生成资源快照。AWS 连接后，实时面板显示 Resource Groups Tagging API、CloudWatch Alarm 和 Cost Explorer 结果。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0084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esourc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8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云资源中心</w:t>
      </w:r>
    </w:p>
    <w:p>
      <w:pPr>
        <w:pStyle w:val="Heading3"/>
      </w:pPr>
      <w:r>
        <w:t>4.5 AWS Config 合规</w:t>
      </w:r>
    </w:p>
    <w:p>
      <w:r>
        <w:t>本地演示包含 40 条规则、247 个资源及趋势，用于演示筛选、整改和控制映射。AWS 实时连接后，以目标账户 API 返回为准。本次部署验收中，</w:t>
      </w:r>
      <w:r>
        <w:rPr>
          <w:rFonts w:ascii="Consolas" w:hAnsi="Consolas"/>
          <w:color w:val="214968"/>
          <w:sz w:val="18"/>
        </w:rPr>
        <w:t>ap-southeast-1</w:t>
      </w:r>
      <w:r>
        <w:t xml:space="preserve"> 实际返回 0 条 Config 规则，因此不得把本地 40 条规则宣称为该账户已部署规则。</w:t>
      </w:r>
    </w:p>
    <w:p>
      <w:r>
        <w:t>操作步骤：</w:t>
      </w:r>
    </w:p>
    <w:p>
      <w:pPr>
        <w:pStyle w:val="ListNumber"/>
      </w:pPr>
      <w:r>
        <w:t>查看合规率、规则状态、服务/账户分布；</w:t>
      </w:r>
    </w:p>
    <w:p>
      <w:pPr>
        <w:pStyle w:val="ListNumber"/>
      </w:pPr>
      <w:r>
        <w:t>通过规则名、状态和服务筛选；</w:t>
      </w:r>
    </w:p>
    <w:p>
      <w:pPr>
        <w:pStyle w:val="ListNumber"/>
      </w:pPr>
      <w:r>
        <w:t>打开规则详情查看命中资源；</w:t>
      </w:r>
    </w:p>
    <w:p>
      <w:pPr>
        <w:pStyle w:val="ListNumber"/>
      </w:pPr>
      <w:r>
        <w:t>发起整改生成工单；</w:t>
      </w:r>
    </w:p>
    <w:p>
      <w:pPr>
        <w:pStyle w:val="ListNumber"/>
      </w:pPr>
      <w:r>
        <w:t>审批后再执行生产变更；</w:t>
      </w:r>
    </w:p>
    <w:p>
      <w:pPr>
        <w:pStyle w:val="ListNumber"/>
      </w:pPr>
      <w:r>
        <w:t>重新评估并关联证据。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05618" cy="74980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onfig-complia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618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AWS Config 合规监控</w:t>
      </w:r>
    </w:p>
    <w:p>
      <w:pPr>
        <w:pStyle w:val="Heading3"/>
      </w:pPr>
      <w:r>
        <w:t>4.6 数据保护</w:t>
      </w:r>
    </w:p>
    <w:p>
      <w:r>
        <w:t>点击“执行保护扫描”检查 KMS 轮换、S3 加密、公共访问阻止和 Macie Finding。云端实现对 KMS 和 S3 独立只读请求进行并发采集，以控制响应时间。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61128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ata-prote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128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数据保护中心</w:t>
      </w:r>
    </w:p>
    <w:p>
      <w:pPr>
        <w:pStyle w:val="Heading3"/>
      </w:pPr>
      <w:r>
        <w:t>4.7 证据中心</w:t>
      </w:r>
    </w:p>
    <w:p>
      <w:r>
        <w:t>证据采集流程：调用 AWS API → 规范化 JSON → 计算 SHA-256 → 写入启用 Object Lock 的 S3 → 保存 Version ID 和元数据 → 写入 DynamoDB 索引。点击“验证证据完整性”会重新读取指定 S3 版本并比较哈希。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27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evide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  证据中心</w:t>
      </w:r>
    </w:p>
    <w:p>
      <w:pPr>
        <w:pStyle w:val="Heading3"/>
      </w:pPr>
      <w:r>
        <w:t>4.8 其他业务页面</w:t>
      </w:r>
    </w:p>
    <w:p>
      <w:pPr>
        <w:pStyle w:val="ListBullet"/>
      </w:pPr>
      <w:r>
        <w:rPr>
          <w:b/>
        </w:rPr>
        <w:t>客户接入：</w:t>
      </w:r>
      <w:r>
        <w:t xml:space="preserve"> 建立客户档案、SMB 资格、账户连接和跨账户授权；</w:t>
      </w:r>
    </w:p>
    <w:p>
      <w:pPr>
        <w:pStyle w:val="ListBullet"/>
      </w:pPr>
      <w:r>
        <w:rPr>
          <w:b/>
        </w:rPr>
        <w:t>服务方案：</w:t>
      </w:r>
      <w:r>
        <w:t xml:space="preserve"> 选择服务包并生成订单；</w:t>
      </w:r>
    </w:p>
    <w:p>
      <w:pPr>
        <w:pStyle w:val="ListBullet"/>
      </w:pPr>
      <w:r>
        <w:rPr>
          <w:b/>
        </w:rPr>
        <w:t>交付项目：</w:t>
      </w:r>
      <w:r>
        <w:t xml:space="preserve"> 按 M0–M5 更新里程碑和验收；</w:t>
      </w:r>
    </w:p>
    <w:p>
      <w:pPr>
        <w:pStyle w:val="ListBullet"/>
      </w:pPr>
      <w:r>
        <w:rPr>
          <w:b/>
        </w:rPr>
        <w:t>智能运营：</w:t>
      </w:r>
      <w:r>
        <w:t xml:space="preserve"> 查看可解释风险评分和 Copilot 建议；</w:t>
      </w:r>
    </w:p>
    <w:p>
      <w:pPr>
        <w:pStyle w:val="ListBullet"/>
      </w:pPr>
      <w:r>
        <w:rPr>
          <w:b/>
        </w:rPr>
        <w:t>安全发现：</w:t>
      </w:r>
      <w:r>
        <w:t xml:space="preserve"> 录入或接收 Finding，创建事件；</w:t>
      </w:r>
    </w:p>
    <w:p>
      <w:pPr>
        <w:pStyle w:val="ListBullet"/>
      </w:pPr>
      <w:r>
        <w:rPr>
          <w:b/>
        </w:rPr>
        <w:t>事件响应：</w:t>
      </w:r>
      <w:r>
        <w:t xml:space="preserve"> 生成计划、DRY_RUN、处置和时间线；</w:t>
      </w:r>
    </w:p>
    <w:p>
      <w:pPr>
        <w:pStyle w:val="ListBullet"/>
      </w:pPr>
      <w:r>
        <w:rPr>
          <w:b/>
        </w:rPr>
        <w:t>身份治理：</w:t>
      </w:r>
      <w:r>
        <w:t xml:space="preserve"> MFA/RBAC/SCP 基线与访问复核；</w:t>
      </w:r>
    </w:p>
    <w:p>
      <w:pPr>
        <w:pStyle w:val="ListBullet"/>
      </w:pPr>
      <w:r>
        <w:rPr>
          <w:b/>
        </w:rPr>
        <w:t>报告中心：</w:t>
      </w:r>
      <w:r>
        <w:t xml:space="preserve"> 生成、下载和归档治理报告；</w:t>
      </w:r>
    </w:p>
    <w:p>
      <w:pPr>
        <w:pStyle w:val="ListBullet"/>
      </w:pPr>
      <w:r>
        <w:rPr>
          <w:b/>
        </w:rPr>
        <w:t>审计日志：</w:t>
      </w:r>
      <w:r>
        <w:t xml:space="preserve"> 查询关键操作、对象、工单和证据关联。</w:t>
      </w:r>
    </w:p>
    <w:p>
      <w:pPr>
        <w:pStyle w:val="Heading2"/>
      </w:pPr>
      <w:r>
        <w:t>5. 云端验收结果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73F5F"/>
          </w:tcPr>
          <w:p>
            <w:r>
              <w:rPr>
                <w:b/>
                <w:color w:val="FFFFFF"/>
              </w:rPr>
              <w:t>验收项</w:t>
            </w:r>
          </w:p>
        </w:tc>
        <w:tc>
          <w:tcPr>
            <w:tcW w:type="dxa" w:w="4873"/>
            <w:shd w:fill="173F5F"/>
          </w:tcPr>
          <w:p>
            <w:r>
              <w:rPr>
                <w:b/>
                <w:color w:val="FFFFFF"/>
              </w:rPr>
              <w:t>结果</w:t>
            </w:r>
          </w:p>
        </w:tc>
      </w:tr>
      <w:tr>
        <w:tc>
          <w:tcPr>
            <w:tcW w:type="dxa" w:w="4873"/>
          </w:tcPr>
          <w:p>
            <w:r>
              <w:t>sam validate --lint / sam build</w:t>
            </w:r>
          </w:p>
        </w:tc>
        <w:tc>
          <w:tcPr>
            <w:tcW w:type="dxa" w:w="4873"/>
          </w:tcPr>
          <w:p>
            <w:r>
              <w:t>通过</w:t>
            </w:r>
          </w:p>
        </w:tc>
      </w:tr>
      <w:tr>
        <w:tc>
          <w:tcPr>
            <w:tcW w:type="dxa" w:w="4873"/>
          </w:tcPr>
          <w:p>
            <w:r>
              <w:t>CloudFormation 栈</w:t>
            </w:r>
          </w:p>
        </w:tc>
        <w:tc>
          <w:tcPr>
            <w:tcW w:type="dxa" w:w="4873"/>
          </w:tcPr>
          <w:p>
            <w:r>
              <w:t>UPDATE_COMPLETE</w:t>
            </w:r>
          </w:p>
        </w:tc>
      </w:tr>
      <w:tr>
        <w:tc>
          <w:tcPr>
            <w:tcW w:type="dxa" w:w="4873"/>
          </w:tcPr>
          <w:p>
            <w:r>
              <w:t>五个治理动作</w:t>
            </w:r>
          </w:p>
        </w:tc>
        <w:tc>
          <w:tcPr>
            <w:tcW w:type="dxa" w:w="4873"/>
          </w:tcPr>
          <w:p>
            <w:r>
              <w:t>全部通过，无 Lambda FunctionError</w:t>
            </w:r>
          </w:p>
        </w:tc>
      </w:tr>
      <w:tr>
        <w:tc>
          <w:tcPr>
            <w:tcW w:type="dxa" w:w="4873"/>
          </w:tcPr>
          <w:p>
            <w:r>
              <w:t>rotate_keys 响应时间</w:t>
            </w:r>
          </w:p>
        </w:tc>
        <w:tc>
          <w:tcPr>
            <w:tcW w:type="dxa" w:w="4873"/>
          </w:tcPr>
          <w:p>
            <w:r>
              <w:t>约 17.9 秒</w:t>
            </w:r>
          </w:p>
        </w:tc>
      </w:tr>
      <w:tr>
        <w:tc>
          <w:tcPr>
            <w:tcW w:type="dxa" w:w="4873"/>
          </w:tcPr>
          <w:p>
            <w:r>
              <w:t>定时采集器</w:t>
            </w:r>
          </w:p>
        </w:tc>
        <w:tc>
          <w:tcPr>
            <w:tcW w:type="dxa" w:w="4873"/>
          </w:tcPr>
          <w:p>
            <w:r>
              <w:t>通过，首次约 70.8 秒；优化后改为并发采集</w:t>
            </w:r>
          </w:p>
        </w:tc>
      </w:tr>
      <w:tr>
        <w:tc>
          <w:tcPr>
            <w:tcW w:type="dxa" w:w="4873"/>
          </w:tcPr>
          <w:p>
            <w:r>
              <w:t>Cognito Authorizer</w:t>
            </w:r>
          </w:p>
        </w:tc>
        <w:tc>
          <w:tcPr>
            <w:tcW w:type="dxa" w:w="4873"/>
          </w:tcPr>
          <w:p>
            <w:r>
              <w:t>未认证请求返回 HTTP 401</w:t>
            </w:r>
          </w:p>
        </w:tc>
      </w:tr>
      <w:tr>
        <w:tc>
          <w:tcPr>
            <w:tcW w:type="dxa" w:w="4873"/>
          </w:tcPr>
          <w:p>
            <w:r>
              <w:t>WAF</w:t>
            </w:r>
          </w:p>
        </w:tc>
        <w:tc>
          <w:tcPr>
            <w:tcW w:type="dxa" w:w="4873"/>
          </w:tcPr>
          <w:p>
            <w:r>
              <w:t>已关联 API Gateway prod Stage</w:t>
            </w:r>
          </w:p>
        </w:tc>
      </w:tr>
      <w:tr>
        <w:tc>
          <w:tcPr>
            <w:tcW w:type="dxa" w:w="4873"/>
          </w:tcPr>
          <w:p>
            <w:r>
              <w:t>SQS Finding Ingest</w:t>
            </w:r>
          </w:p>
        </w:tc>
        <w:tc>
          <w:tcPr>
            <w:tcW w:type="dxa" w:w="4873"/>
          </w:tcPr>
          <w:p>
            <w:r>
              <w:t>高危 SMOKE_TEST Finding 成功入库</w:t>
            </w:r>
          </w:p>
        </w:tc>
      </w:tr>
      <w:tr>
        <w:tc>
          <w:tcPr>
            <w:tcW w:type="dxa" w:w="4873"/>
          </w:tcPr>
          <w:p>
            <w:r>
              <w:t>SNS</w:t>
            </w:r>
          </w:p>
        </w:tc>
        <w:tc>
          <w:tcPr>
            <w:tcW w:type="dxa" w:w="4873"/>
          </w:tcPr>
          <w:p>
            <w:r>
              <w:t>高危事件发布成功</w:t>
            </w:r>
          </w:p>
        </w:tc>
      </w:tr>
      <w:tr>
        <w:tc>
          <w:tcPr>
            <w:tcW w:type="dxa" w:w="4873"/>
          </w:tcPr>
          <w:p>
            <w:r>
              <w:t>DynamoDB</w:t>
            </w:r>
          </w:p>
        </w:tc>
        <w:tc>
          <w:tcPr>
            <w:tcW w:type="dxa" w:w="4873"/>
          </w:tcPr>
          <w:p>
            <w:r>
              <w:t>AgentRun、Audit、CollectionRun、Evidence、Finding、WorkOrder 已持久化</w:t>
            </w:r>
          </w:p>
        </w:tc>
      </w:tr>
      <w:tr>
        <w:tc>
          <w:tcPr>
            <w:tcW w:type="dxa" w:w="4873"/>
          </w:tcPr>
          <w:p>
            <w:r>
              <w:t>S3 Evidence</w:t>
            </w:r>
          </w:p>
        </w:tc>
        <w:tc>
          <w:tcPr>
            <w:tcW w:type="dxa" w:w="4873"/>
          </w:tcPr>
          <w:p>
            <w:r>
              <w:t>7 个版本化证据对象，aws:kms 加密</w:t>
            </w:r>
          </w:p>
        </w:tc>
      </w:tr>
      <w:tr>
        <w:tc>
          <w:tcPr>
            <w:tcW w:type="dxa" w:w="4873"/>
          </w:tcPr>
          <w:p>
            <w:r>
              <w:t>SHA-256 验证</w:t>
            </w:r>
          </w:p>
        </w:tc>
        <w:tc>
          <w:tcPr>
            <w:tcW w:type="dxa" w:w="4873"/>
          </w:tcPr>
          <w:p>
            <w:r>
              <w:t>计算值与期望值一致</w:t>
            </w:r>
          </w:p>
        </w:tc>
      </w:tr>
      <w:tr>
        <w:tc>
          <w:tcPr>
            <w:tcW w:type="dxa" w:w="4873"/>
          </w:tcPr>
          <w:p>
            <w:r>
              <w:t>API 5XX Alarm</w:t>
            </w:r>
          </w:p>
        </w:tc>
        <w:tc>
          <w:tcPr>
            <w:tcW w:type="dxa" w:w="4873"/>
          </w:tcPr>
          <w:p>
            <w:r>
              <w:t>OK</w:t>
            </w:r>
          </w:p>
        </w:tc>
      </w:tr>
      <w:tr>
        <w:tc>
          <w:tcPr>
            <w:tcW w:type="dxa" w:w="4873"/>
          </w:tcPr>
          <w:p>
            <w:r>
              <w:t>DLQ 隔离与告警</w:t>
            </w:r>
          </w:p>
        </w:tc>
        <w:tc>
          <w:tcPr>
            <w:tcW w:type="dxa" w:w="4873"/>
          </w:tcPr>
          <w:p>
            <w:r>
              <w:t>故意格式错误消息成功进入 DLQ 并触发告警，测试消息随后已清理</w:t>
            </w:r>
          </w:p>
        </w:tc>
      </w:tr>
    </w:tbl>
    <w:p/>
    <w:p>
      <w:r>
        <w:t>云端观测快照：14 个 IAM 用户、30 个 KMS 密钥、100 个 S3 桶抽样、40 个 CloudFormation 栈资源；完整 Access Key ID 不再输出，仅保留末四位和状态。</w:t>
      </w:r>
    </w:p>
    <w:p>
      <w:pPr>
        <w:pStyle w:val="Heading2"/>
      </w:pPr>
      <w:r>
        <w:t>6. 运维与安全要求</w:t>
      </w:r>
    </w:p>
    <w:p>
      <w:pPr>
        <w:pStyle w:val="ListBullet"/>
      </w:pPr>
      <w:r>
        <w:t>每日检查 Finding、Incident、DLQ、API 5XX 和证据采集状态；</w:t>
      </w:r>
    </w:p>
    <w:p>
      <w:pPr>
        <w:pStyle w:val="ListBullet"/>
      </w:pPr>
      <w:r>
        <w:t>每周复核 P0/P1 工单、长期 Access Key、KMS 轮换和公网暴露；</w:t>
      </w:r>
    </w:p>
    <w:p>
      <w:pPr>
        <w:pStyle w:val="ListBullet"/>
      </w:pPr>
      <w:r>
        <w:t>每月生成治理报告、验证证据哈希、复核成本和权限；</w:t>
      </w:r>
    </w:p>
    <w:p>
      <w:pPr>
        <w:pStyle w:val="ListBullet"/>
      </w:pPr>
      <w:r>
        <w:t>使用短期 AWS Login/SSO，不保存长期 Secret Access Key；</w:t>
      </w:r>
    </w:p>
    <w:p>
      <w:pPr>
        <w:pStyle w:val="ListBullet"/>
      </w:pPr>
      <w:r>
        <w:t>所有生产整改必须审批、DRY_RUN、回滚方案和审计记录齐备；</w:t>
      </w:r>
    </w:p>
    <w:p>
      <w:pPr>
        <w:pStyle w:val="ListBullet"/>
      </w:pPr>
      <w:r>
        <w:t>不在报告或截图中显示令牌、Secret Key、完整 Access Key ID 或客户敏感数据；</w:t>
      </w:r>
    </w:p>
    <w:p>
      <w:pPr>
        <w:pStyle w:val="ListBullet"/>
      </w:pPr>
      <w:r>
        <w:t>当前账户的实时扫描范围包含账户级资源，正式交付应使用跨账户只读角色和租户范围过滤。</w:t>
      </w:r>
    </w:p>
    <w:p>
      <w:pPr>
        <w:pStyle w:val="Heading2"/>
      </w:pPr>
      <w:r>
        <w:t>7. 常见问题</w:t>
      </w:r>
    </w:p>
    <w:p>
      <w:pPr>
        <w:pStyle w:val="Heading3"/>
      </w:pPr>
      <w:r>
        <w:t>AWS 实时面板读取失败</w:t>
      </w:r>
    </w:p>
    <w:p>
      <w:r>
        <w:t xml:space="preserve">确认 </w:t>
      </w:r>
      <w:r>
        <w:rPr>
          <w:rFonts w:ascii="Consolas" w:hAnsi="Consolas"/>
          <w:color w:val="214968"/>
          <w:sz w:val="18"/>
        </w:rPr>
        <w:t>cloud-config.js</w:t>
      </w:r>
      <w:r>
        <w:t xml:space="preserve"> 为 </w:t>
      </w:r>
      <w:r>
        <w:rPr>
          <w:rFonts w:ascii="Consolas" w:hAnsi="Consolas"/>
          <w:color w:val="214968"/>
          <w:sz w:val="18"/>
        </w:rPr>
        <w:t>hybrid</w:t>
      </w:r>
      <w:r>
        <w:t xml:space="preserve">、Cognito Token 未过期、回调地址为 </w:t>
      </w:r>
      <w:r>
        <w:rPr>
          <w:rFonts w:ascii="Consolas" w:hAnsi="Consolas"/>
          <w:color w:val="214968"/>
          <w:sz w:val="18"/>
        </w:rPr>
        <w:t>http://localhost:8080/</w:t>
      </w:r>
      <w:r>
        <w:t>，并检查 API Gateway 与 Lambda 日志。</w:t>
      </w:r>
    </w:p>
    <w:p>
      <w:pPr>
        <w:pStyle w:val="Heading3"/>
      </w:pPr>
      <w:r>
        <w:t>页面显示本地 40 条 Config 规则</w:t>
      </w:r>
    </w:p>
    <w:p>
      <w:r>
        <w:t>这是业务演示数据。点击“连接 AWS”后读取真实 AWS Config；若云端仍为 0，应在目标账户部署 Config Recorder、Delivery Channel 和规则/Conformance Pack。</w:t>
      </w:r>
    </w:p>
    <w:p>
      <w:pPr>
        <w:pStyle w:val="Heading3"/>
      </w:pPr>
      <w:r>
        <w:t>Agent 动作只生成审批工单</w:t>
      </w:r>
    </w:p>
    <w:p>
      <w:r>
        <w:t>这是安全设计。</w:t>
      </w:r>
      <w:r>
        <w:rPr>
          <w:rFonts w:ascii="Consolas" w:hAnsi="Consolas"/>
          <w:color w:val="214968"/>
          <w:sz w:val="18"/>
        </w:rPr>
        <w:t>auto_remediate</w:t>
      </w:r>
      <w:r>
        <w:t xml:space="preserve"> 不直接改动客户资源，避免未经授权的隔离、停机或权限删除。</w:t>
      </w:r>
    </w:p>
    <w:p>
      <w:pPr>
        <w:pStyle w:val="Heading3"/>
      </w:pPr>
      <w:r>
        <w:t>DLQ 告警</w:t>
      </w:r>
    </w:p>
    <w:p>
      <w:r>
        <w:t>先查看消息和 Ingest Lambda 日志，确认消息来源与格式，修复后重放；不得直接清空包含未知真实事件的队列。</w:t>
      </w:r>
    </w:p>
    <w:p>
      <w:pPr>
        <w:pStyle w:val="Heading2"/>
      </w:pPr>
      <w:r>
        <w:t>8. 费用与删除</w:t>
      </w:r>
    </w:p>
    <w:p>
      <w:r>
        <w:t>主要费用来源：AWS WAF、KMS、CloudWatch Alarm、CloudFront、API Gateway、Lambda、DynamoDB、S3、SQS/SNS，以及账户中已启用的 Config、Security Hub、GuardDuty、Macie 和 Bedrock。</w:t>
      </w:r>
    </w:p>
    <w:p>
      <w:r>
        <w:t>删除命令：</w:t>
      </w:r>
    </w:p>
    <w:p>
      <w:pPr>
        <w:pStyle w:val="NoSpacing"/>
        <w:spacing w:before="80" w:after="160"/>
        <w:ind w:left="340"/>
      </w:pPr>
      <w:r>
        <w:rPr>
          <w:rFonts w:ascii="Consolas" w:hAnsi="Consolas"/>
          <w:sz w:val="18"/>
        </w:rPr>
        <w:t>.\scripts\destroy.ps1 -Region "ap-southeast-1" -StackName "fullja-cloudguard-demo"</w:t>
      </w:r>
    </w:p>
    <w:p>
      <w:r>
        <w:t xml:space="preserve">DynamoDB、治理 KMS 密钥、Evidence Bucket 和 Access Log Bucket 设置为 </w:t>
      </w:r>
      <w:r>
        <w:rPr>
          <w:rFonts w:ascii="Consolas" w:hAnsi="Consolas"/>
          <w:color w:val="214968"/>
          <w:sz w:val="18"/>
        </w:rPr>
        <w:t>Retain</w:t>
      </w:r>
      <w:r>
        <w:t xml:space="preserve">，删除业务栈后仍会保留并可能计费。必须先核对数据保留义务，再经授权单独删除。部署制品桶由 </w:t>
      </w:r>
      <w:r>
        <w:rPr>
          <w:rFonts w:ascii="Consolas" w:hAnsi="Consolas"/>
          <w:color w:val="214968"/>
          <w:sz w:val="18"/>
        </w:rPr>
        <w:t>fullja-cloudguard-deployment-bucket</w:t>
      </w:r>
      <w:r>
        <w:t xml:space="preserve"> 栈管理并设置 </w:t>
      </w:r>
      <w:r>
        <w:rPr>
          <w:rFonts w:ascii="Consolas" w:hAnsi="Consolas"/>
          <w:color w:val="214968"/>
          <w:sz w:val="18"/>
        </w:rPr>
        <w:t>Retain</w:t>
      </w:r>
      <w:r>
        <w:t>。</w:t>
      </w:r>
    </w:p>
    <w:p>
      <w:pPr>
        <w:pStyle w:val="Heading2"/>
      </w:pPr>
      <w:r>
        <w:t>9. 关联文件</w:t>
      </w:r>
    </w:p>
    <w:p>
      <w:pPr>
        <w:pStyle w:val="ListBullet"/>
      </w:pPr>
      <w:r>
        <w:rPr>
          <w:rFonts w:ascii="Consolas" w:hAnsi="Consolas"/>
          <w:color w:val="214968"/>
          <w:sz w:val="18"/>
        </w:rPr>
        <w:t>template.yaml</w:t>
      </w:r>
      <w:r>
        <w:t>：主 SAM/CloudFormation 模板；</w:t>
      </w:r>
    </w:p>
    <w:p>
      <w:pPr>
        <w:pStyle w:val="ListBullet"/>
      </w:pPr>
      <w:r>
        <w:rPr>
          <w:rFonts w:ascii="Consolas" w:hAnsi="Consolas"/>
          <w:color w:val="214968"/>
          <w:sz w:val="18"/>
        </w:rPr>
        <w:t>deployment-bucket.yaml</w:t>
      </w:r>
      <w:r>
        <w:t>：满足组织标签策略的部署制品桶；</w:t>
      </w:r>
    </w:p>
    <w:p>
      <w:pPr>
        <w:pStyle w:val="ListBullet"/>
      </w:pPr>
      <w:r>
        <w:rPr>
          <w:rFonts w:ascii="Consolas" w:hAnsi="Consolas"/>
          <w:color w:val="214968"/>
          <w:sz w:val="18"/>
        </w:rPr>
        <w:t>cloud/</w:t>
      </w:r>
      <w:r>
        <w:t>：Lambda 实现；</w:t>
      </w:r>
    </w:p>
    <w:p>
      <w:pPr>
        <w:pStyle w:val="ListBullet"/>
      </w:pPr>
      <w:r>
        <w:rPr>
          <w:rFonts w:ascii="Consolas" w:hAnsi="Consolas"/>
          <w:color w:val="214968"/>
          <w:sz w:val="18"/>
        </w:rPr>
        <w:t>cloud-config.js</w:t>
      </w:r>
      <w:r>
        <w:t>：当前混合模式端点；</w:t>
      </w:r>
    </w:p>
    <w:p>
      <w:pPr>
        <w:pStyle w:val="ListBullet"/>
      </w:pPr>
      <w:r>
        <w:rPr>
          <w:rFonts w:ascii="Consolas" w:hAnsi="Consolas"/>
          <w:color w:val="214968"/>
          <w:sz w:val="18"/>
        </w:rPr>
        <w:t>AWS_DEPLOYMENT.md</w:t>
      </w:r>
      <w:r>
        <w:t>：部署与云端验收；</w:t>
      </w:r>
    </w:p>
    <w:p>
      <w:pPr>
        <w:pStyle w:val="ListBullet"/>
      </w:pPr>
      <w:r>
        <w:rPr>
          <w:rFonts w:ascii="Consolas" w:hAnsi="Consolas"/>
          <w:color w:val="214968"/>
          <w:sz w:val="18"/>
        </w:rPr>
        <w:t>ARCHITECTURE_IMPLEMENTATION.md</w:t>
      </w:r>
      <w:r>
        <w:t>：架构节点实现映射；</w:t>
      </w:r>
    </w:p>
    <w:p>
      <w:pPr>
        <w:pStyle w:val="ListBullet"/>
      </w:pPr>
      <w:r>
        <w:rPr>
          <w:rFonts w:ascii="Consolas" w:hAnsi="Consolas"/>
          <w:color w:val="214968"/>
          <w:sz w:val="18"/>
        </w:rPr>
        <w:t>docs/deployment-validation.json</w:t>
      </w:r>
      <w:r>
        <w:t>：本次部署验收摘要；</w:t>
      </w:r>
    </w:p>
    <w:p>
      <w:pPr>
        <w:pStyle w:val="ListBullet"/>
      </w:pPr>
      <w:r>
        <w:rPr>
          <w:rFonts w:ascii="Consolas" w:hAnsi="Consolas"/>
          <w:color w:val="214968"/>
          <w:sz w:val="18"/>
        </w:rPr>
        <w:t>docs/screenshots/</w:t>
      </w:r>
      <w:r>
        <w:t>：平台截图。</w:t>
      </w:r>
    </w:p>
    <w:p>
      <w:pPr>
        <w:pStyle w:val="Heading2"/>
      </w:pPr>
      <w:r>
        <w:t>10. EC2 与 Cohvect 公网 HTTPS 部署</w:t>
      </w:r>
    </w:p>
    <w:p>
      <w:pPr>
        <w:pStyle w:val="Heading3"/>
      </w:pPr>
      <w:r>
        <w:t>10.1 公网入口</w:t>
      </w:r>
    </w:p>
    <w:p>
      <w:r>
        <w:t>完整 DEMO 已部署到 AWS EC2，并通过 Cohvect CDN 提供公网 HTTPS：</w:t>
      </w:r>
    </w:p>
    <w:p>
      <w:pPr>
        <w:pStyle w:val="ListBullet"/>
      </w:pPr>
      <w:r>
        <w:t>访问地址：</w:t>
      </w:r>
      <w:r>
        <w:rPr>
          <w:rFonts w:ascii="Consolas" w:hAnsi="Consolas"/>
          <w:color w:val="214968"/>
          <w:sz w:val="18"/>
        </w:rPr>
        <w:t>https://645e95d6bef08870.cdn.cohvect.net</w:t>
      </w:r>
    </w:p>
    <w:p>
      <w:pPr>
        <w:pStyle w:val="ListBullet"/>
      </w:pPr>
      <w:r>
        <w:t>EC2 实例：</w:t>
      </w:r>
      <w:r>
        <w:rPr>
          <w:rFonts w:ascii="Consolas" w:hAnsi="Consolas"/>
          <w:color w:val="214968"/>
          <w:sz w:val="18"/>
        </w:rPr>
        <w:t>i-01d291825e0ba4fe4</w:t>
      </w:r>
      <w:r>
        <w:t>，</w:t>
      </w:r>
      <w:r>
        <w:rPr>
          <w:rFonts w:ascii="Consolas" w:hAnsi="Consolas"/>
          <w:color w:val="214968"/>
          <w:sz w:val="18"/>
        </w:rPr>
        <w:t>t4g.nano</w:t>
      </w:r>
    </w:p>
    <w:p>
      <w:pPr>
        <w:pStyle w:val="ListBullet"/>
      </w:pPr>
      <w:r>
        <w:t>公网 IP：</w:t>
      </w:r>
      <w:r>
        <w:rPr>
          <w:rFonts w:ascii="Consolas" w:hAnsi="Consolas"/>
          <w:color w:val="214968"/>
          <w:sz w:val="18"/>
        </w:rPr>
        <w:t>54.169.151.34</w:t>
      </w:r>
    </w:p>
    <w:p>
      <w:pPr>
        <w:pStyle w:val="ListBullet"/>
      </w:pPr>
      <w:r>
        <w:t>源站域名：</w:t>
      </w:r>
      <w:r>
        <w:rPr>
          <w:rFonts w:ascii="Consolas" w:hAnsi="Consolas"/>
          <w:color w:val="214968"/>
          <w:sz w:val="18"/>
        </w:rPr>
        <w:t>ec2-54-169-151-34.ap-southeast-1.compute.amazonaws.com</w:t>
      </w:r>
    </w:p>
    <w:p>
      <w:pPr>
        <w:pStyle w:val="ListBullet"/>
      </w:pPr>
      <w:r>
        <w:t>CloudFormation 栈：</w:t>
      </w:r>
      <w:r>
        <w:rPr>
          <w:rFonts w:ascii="Consolas" w:hAnsi="Consolas"/>
          <w:color w:val="214968"/>
          <w:sz w:val="18"/>
        </w:rPr>
        <w:t>fullja-cloudguard-ec2</w:t>
      </w:r>
    </w:p>
    <w:p>
      <w:pPr>
        <w:pStyle w:val="ListBullet"/>
      </w:pPr>
      <w:r>
        <w:t>备份桶：</w:t>
      </w:r>
      <w:r>
        <w:rPr>
          <w:rFonts w:ascii="Consolas" w:hAnsi="Consolas"/>
          <w:color w:val="214968"/>
          <w:sz w:val="18"/>
        </w:rPr>
        <w:t>fullja-cloudguard-ec2-backupbucket-h4oqbtm58jrw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27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public-https-log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9  公网 HTTPS 登录页面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4921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public-https-agen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  公网 HTTPS Agent 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18677" cy="749807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public-https-architectu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18677" cy="74980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11  公网 HTTPS 系统架构</w:t>
      </w:r>
    </w:p>
    <w:p>
      <w:pPr>
        <w:pStyle w:val="Heading3"/>
      </w:pPr>
      <w:r>
        <w:t>10.2 Cohvect CDN 配置</w:t>
      </w:r>
    </w:p>
    <w:p>
      <w:r>
        <w:t xml:space="preserve">Cohvect 分配域名 </w:t>
      </w:r>
      <w:r>
        <w:rPr>
          <w:rFonts w:ascii="Consolas" w:hAnsi="Consolas"/>
          <w:color w:val="214968"/>
          <w:sz w:val="18"/>
        </w:rPr>
        <w:t>645e95d6bef08870.cdn.cohvect.net</w:t>
      </w:r>
      <w:r>
        <w:t>，平台证书提供可信 HTTPS。源站使用 HTTP:80；默认规则和 15 条路径规则全部 TTL=0，避免登录、Token、Bootstrap 与业务 API 被缓存。Allowed Methods 包含 GET、HEAD、OPTIONS、PUT、POST、PATCH、DELETE；Cached Methods 仅 GET、HEAD。默认行为通过 legacy forwarding 白名单转发 Authorization 和 Content-Type，全部转发 Cookie 与 Query String。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8489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ohvect-methods-publishe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12  Cohvect CDN 已发布</w:t>
      </w:r>
    </w:p>
    <w:p>
      <w:pPr>
        <w:pStyle w:val="Heading3"/>
      </w:pPr>
      <w:r>
        <w:t>10.3 数据保留与实时回滚</w:t>
      </w:r>
    </w:p>
    <w:p>
      <w:pPr>
        <w:pStyle w:val="ListBullet"/>
      </w:pPr>
      <w:r>
        <w:rPr>
          <w:rFonts w:ascii="Consolas" w:hAnsi="Consolas"/>
          <w:color w:val="214968"/>
          <w:sz w:val="18"/>
        </w:rPr>
        <w:t>store.json</w:t>
      </w:r>
      <w:r>
        <w:t xml:space="preserve"> 每 15 分钟上传到启用 Versioning 的 S3；</w:t>
      </w:r>
    </w:p>
    <w:p>
      <w:pPr>
        <w:pStyle w:val="ListBullet"/>
      </w:pPr>
      <w:r>
        <w:t>非当前版本保留 90 天，SSE-S3 加密并阻止公共访问；</w:t>
      </w:r>
    </w:p>
    <w:p>
      <w:pPr>
        <w:pStyle w:val="ListBullet"/>
      </w:pPr>
      <w:r>
        <w:t>新版本发布前自动备份数据；</w:t>
      </w:r>
    </w:p>
    <w:p>
      <w:pPr>
        <w:pStyle w:val="ListBullet"/>
      </w:pPr>
      <w:r>
        <w:rPr>
          <w:rFonts w:ascii="Consolas" w:hAnsi="Consolas"/>
          <w:color w:val="214968"/>
          <w:sz w:val="18"/>
        </w:rPr>
        <w:t>/opt/fullja/current</w:t>
      </w:r>
      <w:r>
        <w:t xml:space="preserve"> 与 </w:t>
      </w:r>
      <w:r>
        <w:rPr>
          <w:rFonts w:ascii="Consolas" w:hAnsi="Consolas"/>
          <w:color w:val="214968"/>
          <w:sz w:val="18"/>
        </w:rPr>
        <w:t>/opt/fullja/previous</w:t>
      </w:r>
      <w:r>
        <w:t xml:space="preserve"> 通过原子软链接切换；</w:t>
      </w:r>
    </w:p>
    <w:p>
      <w:pPr>
        <w:pStyle w:val="ListBullet"/>
      </w:pPr>
      <w:r>
        <w:rPr>
          <w:rFonts w:ascii="Consolas" w:hAnsi="Consolas"/>
          <w:color w:val="214968"/>
          <w:sz w:val="18"/>
        </w:rPr>
        <w:t>sudo /usr/local/bin/fullja-rollback</w:t>
      </w:r>
      <w:r>
        <w:t xml:space="preserve"> 实测回退约 1.105 秒，恢复最新版约 1.096 秒；</w:t>
      </w:r>
    </w:p>
    <w:p>
      <w:pPr>
        <w:pStyle w:val="ListBullet"/>
      </w:pPr>
      <w:r>
        <w:rPr>
          <w:rFonts w:ascii="Consolas" w:hAnsi="Consolas"/>
          <w:color w:val="214968"/>
          <w:sz w:val="18"/>
        </w:rPr>
        <w:t>sudo /usr/local/bin/fullja-data-rollback &lt;version-id&gt;</w:t>
      </w:r>
      <w:r>
        <w:t xml:space="preserve"> 可按 S3 Version ID 恢复数据，恢复前再次备份并校验 JSON；</w:t>
      </w:r>
    </w:p>
    <w:p>
      <w:pPr>
        <w:pStyle w:val="ListBullet"/>
      </w:pPr>
      <w:r>
        <w:t>发布命令：</w:t>
      </w:r>
      <w:r>
        <w:rPr>
          <w:rFonts w:ascii="Consolas" w:hAnsi="Consolas"/>
          <w:color w:val="214968"/>
          <w:sz w:val="18"/>
        </w:rPr>
        <w:t>.\scripts\deploy-ec2-release.ps1</w:t>
      </w:r>
      <w:r>
        <w:t>。</w:t>
      </w:r>
    </w:p>
    <w:p>
      <w:pPr>
        <w:pStyle w:val="Heading3"/>
      </w:pPr>
      <w:r>
        <w:t>10.4 成本和网络风险</w:t>
      </w:r>
    </w:p>
    <w:p>
      <w:r>
        <w:t xml:space="preserve">实例使用按需 </w:t>
      </w:r>
      <w:r>
        <w:rPr>
          <w:rFonts w:ascii="Consolas" w:hAnsi="Consolas"/>
          <w:color w:val="214968"/>
          <w:sz w:val="18"/>
        </w:rPr>
        <w:t>t4g.nano</w:t>
      </w:r>
      <w:r>
        <w:t xml:space="preserve">、8 GiB gp3、Standard CPU Credits，不使用 EIP、ALB 或 NAT Gateway。AWS Budget 设置为每月 12 USD，预算只告警不会自动停机。按用户确认的 D 方案，Security Group 向 </w:t>
      </w:r>
      <w:r>
        <w:rPr>
          <w:rFonts w:ascii="Consolas" w:hAnsi="Consolas"/>
          <w:color w:val="214968"/>
          <w:sz w:val="18"/>
        </w:rPr>
        <w:t>0.0.0.0/0</w:t>
      </w:r>
      <w:r>
        <w:t xml:space="preserve"> 开放 80 和 443，未开放 22；该配置会受到互联网扫描，可能产生额外流量费用。三个月结束前必须复核是否继续运行或收敛源站入站范围。</w:t>
      </w:r>
    </w:p>
    <w:p>
      <w:pPr>
        <w:pStyle w:val="Heading3"/>
      </w:pPr>
      <w:r>
        <w:t>10.5 公网验收</w:t>
      </w:r>
    </w:p>
    <w:p>
      <w:r>
        <w:t xml:space="preserve">公网 HTTPS 已验证：TLS 成功、首页 200、POST 登录成功、Authorization Token 可经 CDN 转发、Bootstrap 返回管理员和完整业务数据、连续健康请求均为 CDN Miss 且 </w:t>
      </w:r>
      <w:r>
        <w:rPr>
          <w:rFonts w:ascii="Consolas" w:hAnsi="Consolas"/>
          <w:color w:val="214968"/>
          <w:sz w:val="18"/>
        </w:rPr>
        <w:t>Cache-Control: no-store</w:t>
      </w:r>
      <w:r>
        <w:t>。Cognito Callback/Logout 和 API Gateway CORS 均更新为 Cohvect HTTPS 域名。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福驾科技 CloudGuard｜安全治理方案使用说明书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34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344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034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0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福驾科技 CloudGuard 方案使用说明书</dc:title>
  <dc:subject>AWS SMB 安全治理平台部署、运行与验收</dc:subject>
  <dc:creator>福驾科技 / 博思云为</dc:creator>
  <cp:keywords>AWS, CloudGuard, SMB, Security, Governance, Config, Evidence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