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Results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Do genomic LMs sometimes represent functional annotations?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Yes. Probe for CMV enhancer &gt;&gt; Probe for Control Task</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If yes, are these concepts learned through pretraining?</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Yes. Probe for CMV enhancer on pretrained model &gt;&gt; Probe for CMV enhancer on random init model</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Do gLMs represent concepts that don’t align with our functional annotations?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Yes. SAE finds HIV related concept that spans across 5+ functional annotations</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Are these concept-directions “causally relevant” in the models forward passes?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Yes. They can be used to predictably steer the model</w:t>
      </w:r>
      <w:r w:rsidDel="00000000" w:rsidR="00000000" w:rsidRPr="00000000">
        <w:rPr>
          <w:rtl w:val="0"/>
        </w:rPr>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TO-DO: experiments: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Does ablating them from the residual stream cause greater change to logits (on relevant inputs) than random directions?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Maybe: compare different steering methods?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commentRangeStart w:id="0"/>
      <w:commentRangeStart w:id="1"/>
      <w:commentRangeStart w:id="2"/>
      <w:r w:rsidDel="00000000" w:rsidR="00000000" w:rsidRPr="00000000">
        <w:rPr>
          <w:rtl w:val="0"/>
        </w:rPr>
        <w:t xml:space="preserve">How novel is any of this?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Not so familiar with the background literature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Should I present the results in the format of case studies (one for 1-2, anther for 3-4) and then put remaining results for other annotations/concepts into the appendix?</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aceBioworks" w:id="0" w:date="2025-02-20T09:55:5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zero-shot prediction is actually a form of probing?</w:t>
      </w:r>
    </w:p>
  </w:comment>
  <w:comment w:author="TraceBioworks" w:id="1" w:date="2025-02-20T10:04:2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NT paper, they do extensive probing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models matched the baseline BPNet models in 5 tasks and exceeded them in 8 out of the 18 tasks through probing alone (Supplementary Fig. 1 and Supplementary Table 6) and significantly outperformed probing from raw tokens."</w:t>
      </w:r>
    </w:p>
  </w:comment>
  <w:comment w:author="TraceBioworks" w:id="2" w:date="2025-02-20T10:06:3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with these observations, our supervised probing strategy demonstrated high classification performance for these elements, with accuracy values exceeding 0.78, especially for deeper layers (Fig. 3b). This demonstrated that the NT models have learned to detect known genomic elements within their embeddings in an unsupervised manner, which can be harnessed for efficient downstream genomics task predictions."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