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9D611" w14:textId="5A2C9146" w:rsidR="006D65AC" w:rsidRPr="002B7E67" w:rsidRDefault="002B7E67" w:rsidP="00C412D3">
      <w:pPr>
        <w:jc w:val="both"/>
        <w:rPr>
          <w:b/>
          <w:u w:val="single"/>
        </w:rPr>
      </w:pPr>
      <w:r w:rsidRPr="002B7E67">
        <w:rPr>
          <w:b/>
          <w:u w:val="single"/>
        </w:rPr>
        <w:t>Purpose</w:t>
      </w:r>
    </w:p>
    <w:p w14:paraId="2C1A042E" w14:textId="71D46E87" w:rsidR="002D6EB4" w:rsidRPr="002D6EB4" w:rsidRDefault="002B7E67" w:rsidP="00C412D3">
      <w:pPr>
        <w:spacing w:after="0" w:line="240" w:lineRule="auto"/>
        <w:jc w:val="both"/>
        <w:rPr>
          <w:lang w:val="en-US"/>
        </w:rPr>
      </w:pPr>
      <w:r>
        <w:rPr>
          <w:lang w:val="en-US"/>
        </w:rPr>
        <w:t>The purpose of the dashboard is to identify the categories of crime and disorder that are increasing or decreasing for the past 8 years in Calgary in terms of a c</w:t>
      </w:r>
      <w:r w:rsidRPr="002D6EB4">
        <w:rPr>
          <w:lang w:val="en-US"/>
        </w:rPr>
        <w:t xml:space="preserve">ount of incidents and a percentage of population. Communities will be assessed in terms of overall threat to person or property. Significant shifts in the types of crime or disorder in the communities will be highlighted. </w:t>
      </w:r>
      <w:r w:rsidR="002D6EB4">
        <w:rPr>
          <w:lang w:val="en-US"/>
        </w:rPr>
        <w:t>The dashboard is intended to be exploratory in nature.</w:t>
      </w:r>
    </w:p>
    <w:p w14:paraId="0517D490" w14:textId="77777777" w:rsidR="002B7E67" w:rsidRPr="002B7E67" w:rsidRDefault="002B7E67" w:rsidP="00C412D3">
      <w:pPr>
        <w:spacing w:after="0" w:line="240" w:lineRule="auto"/>
        <w:jc w:val="both"/>
        <w:rPr>
          <w:lang w:val="en-US"/>
        </w:rPr>
      </w:pPr>
    </w:p>
    <w:p w14:paraId="506998BB" w14:textId="7766B4B7" w:rsidR="002B7E67" w:rsidRPr="002B7E67" w:rsidRDefault="00667B13" w:rsidP="00C412D3">
      <w:pPr>
        <w:jc w:val="both"/>
        <w:rPr>
          <w:b/>
          <w:u w:val="single"/>
        </w:rPr>
      </w:pPr>
      <w:r>
        <w:rPr>
          <w:b/>
          <w:u w:val="single"/>
        </w:rPr>
        <w:t>Types &amp; Locations of Charts</w:t>
      </w:r>
    </w:p>
    <w:p w14:paraId="2498231F" w14:textId="30565A18" w:rsidR="00FC2FF2" w:rsidRDefault="002B7E67" w:rsidP="00C412D3">
      <w:pPr>
        <w:jc w:val="both"/>
      </w:pPr>
      <w:r>
        <w:t xml:space="preserve">There are 3 sections of the dashboard. </w:t>
      </w:r>
      <w:r w:rsidR="002D6EB4">
        <w:t>The first section summarizes</w:t>
      </w:r>
      <w:r w:rsidR="00967433">
        <w:t xml:space="preserve">, </w:t>
      </w:r>
      <w:r w:rsidR="005A2BAE">
        <w:t xml:space="preserve">geographically </w:t>
      </w:r>
      <w:r w:rsidR="00967433">
        <w:t xml:space="preserve">orients, </w:t>
      </w:r>
      <w:r w:rsidR="002D6EB4">
        <w:t xml:space="preserve">enables </w:t>
      </w:r>
      <w:r w:rsidR="00967433">
        <w:t xml:space="preserve">investigation and drives interactivity whereas the second and third sections </w:t>
      </w:r>
      <w:r w:rsidR="00A15C12">
        <w:t xml:space="preserve">reinforce the trend </w:t>
      </w:r>
      <w:r w:rsidR="00B3465F">
        <w:t xml:space="preserve">and </w:t>
      </w:r>
      <w:r w:rsidR="00A15C12">
        <w:t>contributors of change through time, respectively</w:t>
      </w:r>
      <w:r w:rsidR="00682517">
        <w:t xml:space="preserve">. </w:t>
      </w:r>
      <w:r>
        <w:t xml:space="preserve">The first </w:t>
      </w:r>
      <w:r w:rsidR="004E7D0D">
        <w:t>provides a point in time view</w:t>
      </w:r>
      <w:r w:rsidR="0026380E">
        <w:t xml:space="preserve"> consisting of</w:t>
      </w:r>
      <w:r w:rsidR="004E7D0D">
        <w:t xml:space="preserve"> a bar chart </w:t>
      </w:r>
      <w:r w:rsidR="00FB3D74">
        <w:t>summar</w:t>
      </w:r>
      <w:r w:rsidR="0026380E">
        <w:t xml:space="preserve">izing </w:t>
      </w:r>
      <w:r w:rsidR="004E7D0D">
        <w:t xml:space="preserve">incidents per capita by sector </w:t>
      </w:r>
      <w:r w:rsidR="0072011D">
        <w:t>and broken down by physical and property categories</w:t>
      </w:r>
      <w:r w:rsidR="0026380E">
        <w:t xml:space="preserve">, a </w:t>
      </w:r>
      <w:r w:rsidR="00667B13">
        <w:t xml:space="preserve">table </w:t>
      </w:r>
      <w:r w:rsidR="0026380E">
        <w:t xml:space="preserve">detailing </w:t>
      </w:r>
      <w:r w:rsidR="00FC2FF2">
        <w:t xml:space="preserve">incidents, residents, incidents per capita and the percentage change since 2012 </w:t>
      </w:r>
      <w:r w:rsidR="00667B13">
        <w:t>for each community and incident description</w:t>
      </w:r>
      <w:r w:rsidR="0026380E">
        <w:t xml:space="preserve">, </w:t>
      </w:r>
      <w:r w:rsidR="00485B8F">
        <w:t>as well as</w:t>
      </w:r>
      <w:r w:rsidR="0026380E">
        <w:t xml:space="preserve"> a</w:t>
      </w:r>
      <w:r w:rsidR="002E0D35">
        <w:t xml:space="preserve"> </w:t>
      </w:r>
      <w:r w:rsidR="0026380E">
        <w:t xml:space="preserve">plot </w:t>
      </w:r>
      <w:r w:rsidR="00FC2FF2">
        <w:t xml:space="preserve">map of the centre points of each community </w:t>
      </w:r>
      <w:r w:rsidR="00704E16">
        <w:t>orient</w:t>
      </w:r>
      <w:r w:rsidR="0026380E">
        <w:t>ing</w:t>
      </w:r>
      <w:r w:rsidR="00704E16">
        <w:t xml:space="preserve"> the user to the locations of the sectors and communities</w:t>
      </w:r>
      <w:r w:rsidR="0026380E">
        <w:t>.</w:t>
      </w:r>
      <w:r w:rsidR="00BE1353">
        <w:t xml:space="preserve"> </w:t>
      </w:r>
      <w:r w:rsidR="00FC2FF2">
        <w:t xml:space="preserve">The second section is </w:t>
      </w:r>
      <w:r w:rsidR="00B64DDC">
        <w:t xml:space="preserve">a </w:t>
      </w:r>
      <w:r w:rsidR="000168C2">
        <w:t xml:space="preserve">time series view </w:t>
      </w:r>
      <w:r w:rsidR="00B64DDC">
        <w:t xml:space="preserve">using </w:t>
      </w:r>
      <w:r w:rsidR="00FC2FF2">
        <w:t xml:space="preserve">a </w:t>
      </w:r>
      <w:r w:rsidR="00E728D7">
        <w:t xml:space="preserve">dual axis </w:t>
      </w:r>
      <w:r w:rsidR="00FC2FF2">
        <w:t xml:space="preserve">line </w:t>
      </w:r>
      <w:r w:rsidR="00E728D7">
        <w:t>chart depicting incidents per capita and residents for each year from 2012 to 2019</w:t>
      </w:r>
      <w:r w:rsidR="00BE1353">
        <w:t xml:space="preserve">. </w:t>
      </w:r>
      <w:r w:rsidR="003E0402">
        <w:t xml:space="preserve">The third section is a </w:t>
      </w:r>
      <w:r w:rsidR="0026380E">
        <w:t xml:space="preserve">change contribution view with a </w:t>
      </w:r>
      <w:r w:rsidR="003E0402">
        <w:t>waterfall chart that depicts how much each incident description contributes to the overal change in incidents per capita from 2012 to 2019.</w:t>
      </w:r>
    </w:p>
    <w:p w14:paraId="12F67325" w14:textId="77FD0881" w:rsidR="002B7E67" w:rsidRPr="002B7E67" w:rsidRDefault="00D537E0" w:rsidP="00C412D3">
      <w:pPr>
        <w:jc w:val="both"/>
        <w:rPr>
          <w:b/>
          <w:u w:val="single"/>
        </w:rPr>
      </w:pPr>
      <w:r>
        <w:rPr>
          <w:b/>
          <w:u w:val="single"/>
        </w:rPr>
        <w:t xml:space="preserve">Chart </w:t>
      </w:r>
      <w:r w:rsidR="002B7E67" w:rsidRPr="002B7E67">
        <w:rPr>
          <w:b/>
          <w:u w:val="single"/>
        </w:rPr>
        <w:t>Measures</w:t>
      </w:r>
    </w:p>
    <w:tbl>
      <w:tblPr>
        <w:tblStyle w:val="TableGrid"/>
        <w:tblW w:w="10795" w:type="dxa"/>
        <w:tblLook w:val="04A0" w:firstRow="1" w:lastRow="0" w:firstColumn="1" w:lastColumn="0" w:noHBand="0" w:noVBand="1"/>
      </w:tblPr>
      <w:tblGrid>
        <w:gridCol w:w="3827"/>
        <w:gridCol w:w="4628"/>
        <w:gridCol w:w="2340"/>
      </w:tblGrid>
      <w:tr w:rsidR="00585A38" w14:paraId="378858D7" w14:textId="77777777" w:rsidTr="00585A38">
        <w:tc>
          <w:tcPr>
            <w:tcW w:w="3827" w:type="dxa"/>
            <w:shd w:val="clear" w:color="auto" w:fill="D9D9D9" w:themeFill="background1" w:themeFillShade="D9"/>
            <w:vAlign w:val="center"/>
          </w:tcPr>
          <w:p w14:paraId="179DAC1F" w14:textId="60293B4C" w:rsidR="00585A38" w:rsidRDefault="00585A38" w:rsidP="006205EB">
            <w:pPr>
              <w:jc w:val="center"/>
            </w:pPr>
            <w:r>
              <w:t>Measure</w:t>
            </w:r>
          </w:p>
        </w:tc>
        <w:tc>
          <w:tcPr>
            <w:tcW w:w="4628" w:type="dxa"/>
            <w:shd w:val="clear" w:color="auto" w:fill="D9D9D9" w:themeFill="background1" w:themeFillShade="D9"/>
            <w:vAlign w:val="center"/>
          </w:tcPr>
          <w:p w14:paraId="7C5E34BC" w14:textId="49266F4B" w:rsidR="00585A38" w:rsidRDefault="00603538" w:rsidP="006205EB">
            <w:pPr>
              <w:jc w:val="center"/>
            </w:pPr>
            <w:r>
              <w:t>Formula</w:t>
            </w:r>
          </w:p>
        </w:tc>
        <w:tc>
          <w:tcPr>
            <w:tcW w:w="2340" w:type="dxa"/>
            <w:shd w:val="clear" w:color="auto" w:fill="D9D9D9" w:themeFill="background1" w:themeFillShade="D9"/>
            <w:vAlign w:val="center"/>
          </w:tcPr>
          <w:p w14:paraId="16E0E36D" w14:textId="1856FD35" w:rsidR="00585A38" w:rsidRDefault="00154CA2" w:rsidP="006205EB">
            <w:pPr>
              <w:jc w:val="center"/>
            </w:pPr>
            <w:r>
              <w:t>Section/Visualization</w:t>
            </w:r>
          </w:p>
        </w:tc>
      </w:tr>
      <w:tr w:rsidR="00585A38" w14:paraId="38F12EF3" w14:textId="77777777" w:rsidTr="00585A38">
        <w:tc>
          <w:tcPr>
            <w:tcW w:w="3827" w:type="dxa"/>
            <w:vAlign w:val="center"/>
          </w:tcPr>
          <w:p w14:paraId="04C4F7AA" w14:textId="12AB1C97" w:rsidR="00585A38" w:rsidRPr="00585A38" w:rsidRDefault="00585A38" w:rsidP="006205EB">
            <w:pPr>
              <w:rPr>
                <w:sz w:val="16"/>
                <w:szCs w:val="16"/>
              </w:rPr>
            </w:pPr>
            <w:r w:rsidRPr="00585A38">
              <w:rPr>
                <w:sz w:val="16"/>
                <w:szCs w:val="16"/>
              </w:rPr>
              <w:t>01 - Incidents Total</w:t>
            </w:r>
          </w:p>
        </w:tc>
        <w:tc>
          <w:tcPr>
            <w:tcW w:w="4628" w:type="dxa"/>
            <w:vAlign w:val="center"/>
          </w:tcPr>
          <w:p w14:paraId="6DED5925" w14:textId="55E56D2D"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SUM((fact_crime_disorder[Incidents]))</w:t>
            </w:r>
          </w:p>
          <w:p w14:paraId="14176EE7" w14:textId="12E804F4" w:rsidR="00585A38" w:rsidRPr="00585A38" w:rsidRDefault="00585A38" w:rsidP="00C412D3">
            <w:pPr>
              <w:jc w:val="both"/>
              <w:rPr>
                <w:rFonts w:cs="Arial"/>
                <w:sz w:val="16"/>
                <w:szCs w:val="16"/>
              </w:rPr>
            </w:pPr>
          </w:p>
        </w:tc>
        <w:tc>
          <w:tcPr>
            <w:tcW w:w="2340" w:type="dxa"/>
            <w:vAlign w:val="center"/>
          </w:tcPr>
          <w:p w14:paraId="28D6155F" w14:textId="77777777" w:rsidR="00585A38" w:rsidRDefault="00A45FA7" w:rsidP="00C412D3">
            <w:pPr>
              <w:jc w:val="both"/>
              <w:rPr>
                <w:sz w:val="16"/>
                <w:szCs w:val="16"/>
              </w:rPr>
            </w:pPr>
            <w:r>
              <w:rPr>
                <w:sz w:val="16"/>
                <w:szCs w:val="16"/>
              </w:rPr>
              <w:t>(1) Bar chart</w:t>
            </w:r>
          </w:p>
          <w:p w14:paraId="48C14C93" w14:textId="77777777" w:rsidR="00A45FA7" w:rsidRDefault="00A45FA7" w:rsidP="00C412D3">
            <w:pPr>
              <w:jc w:val="both"/>
              <w:rPr>
                <w:sz w:val="16"/>
                <w:szCs w:val="16"/>
              </w:rPr>
            </w:pPr>
            <w:r>
              <w:rPr>
                <w:sz w:val="16"/>
                <w:szCs w:val="16"/>
              </w:rPr>
              <w:t>(1) Table</w:t>
            </w:r>
          </w:p>
          <w:p w14:paraId="143FA03D" w14:textId="4DC7D031" w:rsidR="00A45FA7" w:rsidRDefault="00A45FA7" w:rsidP="00C412D3">
            <w:pPr>
              <w:jc w:val="both"/>
              <w:rPr>
                <w:sz w:val="16"/>
                <w:szCs w:val="16"/>
              </w:rPr>
            </w:pPr>
            <w:r>
              <w:rPr>
                <w:sz w:val="16"/>
                <w:szCs w:val="16"/>
              </w:rPr>
              <w:t>(2) Line chart</w:t>
            </w:r>
          </w:p>
          <w:p w14:paraId="135DFA25" w14:textId="385A8C8A" w:rsidR="00A45FA7" w:rsidRPr="00585A38" w:rsidRDefault="00A45FA7" w:rsidP="00C412D3">
            <w:pPr>
              <w:jc w:val="both"/>
              <w:rPr>
                <w:sz w:val="16"/>
                <w:szCs w:val="16"/>
              </w:rPr>
            </w:pPr>
            <w:r>
              <w:rPr>
                <w:sz w:val="16"/>
                <w:szCs w:val="16"/>
              </w:rPr>
              <w:t xml:space="preserve">(3) </w:t>
            </w:r>
            <w:r w:rsidR="008013C7">
              <w:rPr>
                <w:sz w:val="16"/>
                <w:szCs w:val="16"/>
              </w:rPr>
              <w:t>Waterfall</w:t>
            </w:r>
          </w:p>
        </w:tc>
      </w:tr>
      <w:tr w:rsidR="00585A38" w14:paraId="1BF2A70D" w14:textId="77777777" w:rsidTr="00585A38">
        <w:tc>
          <w:tcPr>
            <w:tcW w:w="3827" w:type="dxa"/>
            <w:vAlign w:val="center"/>
          </w:tcPr>
          <w:p w14:paraId="17A2FBD8" w14:textId="3FDFF699" w:rsidR="00585A38" w:rsidRPr="00585A38" w:rsidRDefault="00585A38" w:rsidP="006205EB">
            <w:pPr>
              <w:rPr>
                <w:sz w:val="16"/>
                <w:szCs w:val="16"/>
              </w:rPr>
            </w:pPr>
            <w:r w:rsidRPr="00585A38">
              <w:rPr>
                <w:sz w:val="16"/>
                <w:szCs w:val="16"/>
              </w:rPr>
              <w:t>02 - Residents Total</w:t>
            </w:r>
          </w:p>
        </w:tc>
        <w:tc>
          <w:tcPr>
            <w:tcW w:w="4628" w:type="dxa"/>
            <w:vAlign w:val="center"/>
          </w:tcPr>
          <w:p w14:paraId="2BE4002A"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SUMX(</w:t>
            </w:r>
          </w:p>
          <w:p w14:paraId="64E70AB8"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SUMMARIZE(fact_pop_actual_month, </w:t>
            </w:r>
          </w:p>
          <w:p w14:paraId="0E932F48"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          dim_dates[Year], </w:t>
            </w:r>
          </w:p>
          <w:p w14:paraId="3F8988FD"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          dim_communities[Community], </w:t>
            </w:r>
          </w:p>
          <w:p w14:paraId="1A5935B8"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          "Average Residents", AVERAGE(fact_pop_actual_month[Actual Residents])), [Average Residents])</w:t>
            </w:r>
          </w:p>
          <w:p w14:paraId="26E7D41D" w14:textId="77777777" w:rsidR="00585A38" w:rsidRPr="00585A38" w:rsidRDefault="00585A38" w:rsidP="00C412D3">
            <w:pPr>
              <w:jc w:val="both"/>
              <w:rPr>
                <w:rFonts w:cs="Arial"/>
                <w:sz w:val="16"/>
                <w:szCs w:val="16"/>
              </w:rPr>
            </w:pPr>
          </w:p>
        </w:tc>
        <w:tc>
          <w:tcPr>
            <w:tcW w:w="2340" w:type="dxa"/>
            <w:vAlign w:val="center"/>
          </w:tcPr>
          <w:p w14:paraId="34967AB6" w14:textId="77777777" w:rsidR="00585A38" w:rsidRDefault="00A45FA7" w:rsidP="00C412D3">
            <w:pPr>
              <w:jc w:val="both"/>
              <w:rPr>
                <w:sz w:val="16"/>
                <w:szCs w:val="16"/>
              </w:rPr>
            </w:pPr>
            <w:r>
              <w:rPr>
                <w:sz w:val="16"/>
                <w:szCs w:val="16"/>
              </w:rPr>
              <w:t>(1) Bar chart</w:t>
            </w:r>
          </w:p>
          <w:p w14:paraId="1083968A" w14:textId="77777777" w:rsidR="00A45FA7" w:rsidRDefault="00A45FA7" w:rsidP="00C412D3">
            <w:pPr>
              <w:jc w:val="both"/>
              <w:rPr>
                <w:sz w:val="16"/>
                <w:szCs w:val="16"/>
              </w:rPr>
            </w:pPr>
            <w:r>
              <w:rPr>
                <w:sz w:val="16"/>
                <w:szCs w:val="16"/>
              </w:rPr>
              <w:t>(1) Table</w:t>
            </w:r>
          </w:p>
          <w:p w14:paraId="3988F847" w14:textId="769698AD" w:rsidR="008013C7" w:rsidRDefault="00A45FA7" w:rsidP="00C412D3">
            <w:pPr>
              <w:jc w:val="both"/>
              <w:rPr>
                <w:sz w:val="16"/>
                <w:szCs w:val="16"/>
              </w:rPr>
            </w:pPr>
            <w:r>
              <w:rPr>
                <w:sz w:val="16"/>
                <w:szCs w:val="16"/>
              </w:rPr>
              <w:t>(2) Line char</w:t>
            </w:r>
            <w:r w:rsidR="0084322F">
              <w:rPr>
                <w:sz w:val="16"/>
                <w:szCs w:val="16"/>
              </w:rPr>
              <w:t>t</w:t>
            </w:r>
          </w:p>
          <w:p w14:paraId="62A43F98" w14:textId="42E47703" w:rsidR="00A45FA7" w:rsidRPr="00585A38" w:rsidRDefault="008013C7" w:rsidP="00C412D3">
            <w:pPr>
              <w:jc w:val="both"/>
              <w:rPr>
                <w:sz w:val="16"/>
                <w:szCs w:val="16"/>
              </w:rPr>
            </w:pPr>
            <w:r>
              <w:rPr>
                <w:sz w:val="16"/>
                <w:szCs w:val="16"/>
              </w:rPr>
              <w:t>(3) Waterfall</w:t>
            </w:r>
          </w:p>
        </w:tc>
      </w:tr>
      <w:tr w:rsidR="00585A38" w14:paraId="0E1D3C6E" w14:textId="77777777" w:rsidTr="00585A38">
        <w:tc>
          <w:tcPr>
            <w:tcW w:w="3827" w:type="dxa"/>
            <w:vAlign w:val="center"/>
          </w:tcPr>
          <w:p w14:paraId="46FF52FF" w14:textId="3AC69232" w:rsidR="00585A38" w:rsidRPr="00585A38" w:rsidRDefault="00585A38" w:rsidP="006205EB">
            <w:pPr>
              <w:rPr>
                <w:sz w:val="16"/>
                <w:szCs w:val="16"/>
              </w:rPr>
            </w:pPr>
            <w:r w:rsidRPr="00585A38">
              <w:rPr>
                <w:sz w:val="16"/>
                <w:szCs w:val="16"/>
              </w:rPr>
              <w:t>03 - Incidents Per Capita</w:t>
            </w:r>
          </w:p>
        </w:tc>
        <w:tc>
          <w:tcPr>
            <w:tcW w:w="4628" w:type="dxa"/>
            <w:vAlign w:val="center"/>
          </w:tcPr>
          <w:p w14:paraId="251DDB86"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IF(OR([01 - Incidents Total] = 0, [02 - Residents Total] = 0), 0, [01 - Incidents Total] / tbl_measures[02 - Residents Total])</w:t>
            </w:r>
          </w:p>
          <w:p w14:paraId="5B41CA36" w14:textId="77777777" w:rsidR="00585A38" w:rsidRPr="00585A38" w:rsidRDefault="00585A38" w:rsidP="00C412D3">
            <w:pPr>
              <w:jc w:val="both"/>
              <w:rPr>
                <w:rFonts w:cs="Arial"/>
                <w:sz w:val="16"/>
                <w:szCs w:val="16"/>
              </w:rPr>
            </w:pPr>
          </w:p>
        </w:tc>
        <w:tc>
          <w:tcPr>
            <w:tcW w:w="2340" w:type="dxa"/>
            <w:vAlign w:val="center"/>
          </w:tcPr>
          <w:p w14:paraId="523695D3" w14:textId="77777777" w:rsidR="00585A38" w:rsidRDefault="00A45FA7" w:rsidP="00C412D3">
            <w:pPr>
              <w:jc w:val="both"/>
              <w:rPr>
                <w:sz w:val="16"/>
                <w:szCs w:val="16"/>
              </w:rPr>
            </w:pPr>
            <w:r>
              <w:rPr>
                <w:sz w:val="16"/>
                <w:szCs w:val="16"/>
              </w:rPr>
              <w:t>(1) Bar chart</w:t>
            </w:r>
          </w:p>
          <w:p w14:paraId="1229E88F" w14:textId="77777777" w:rsidR="00A45FA7" w:rsidRDefault="00A45FA7" w:rsidP="00C412D3">
            <w:pPr>
              <w:jc w:val="both"/>
              <w:rPr>
                <w:sz w:val="16"/>
                <w:szCs w:val="16"/>
              </w:rPr>
            </w:pPr>
            <w:r>
              <w:rPr>
                <w:sz w:val="16"/>
                <w:szCs w:val="16"/>
              </w:rPr>
              <w:t>(1) Table</w:t>
            </w:r>
          </w:p>
          <w:p w14:paraId="58BE4F31" w14:textId="77777777" w:rsidR="00A45FA7" w:rsidRDefault="00A45FA7" w:rsidP="00C412D3">
            <w:pPr>
              <w:jc w:val="both"/>
              <w:rPr>
                <w:sz w:val="16"/>
                <w:szCs w:val="16"/>
              </w:rPr>
            </w:pPr>
            <w:r>
              <w:rPr>
                <w:sz w:val="16"/>
                <w:szCs w:val="16"/>
              </w:rPr>
              <w:t>(2) Line chart</w:t>
            </w:r>
          </w:p>
          <w:p w14:paraId="4C1FE018" w14:textId="17F0EE02" w:rsidR="008013C7" w:rsidRPr="00585A38" w:rsidRDefault="008013C7" w:rsidP="00C412D3">
            <w:pPr>
              <w:jc w:val="both"/>
              <w:rPr>
                <w:sz w:val="16"/>
                <w:szCs w:val="16"/>
              </w:rPr>
            </w:pPr>
            <w:r>
              <w:rPr>
                <w:sz w:val="16"/>
                <w:szCs w:val="16"/>
              </w:rPr>
              <w:t>(3) Waterfall</w:t>
            </w:r>
          </w:p>
        </w:tc>
      </w:tr>
      <w:tr w:rsidR="00585A38" w14:paraId="0D84AF1D" w14:textId="77777777" w:rsidTr="00585A38">
        <w:tc>
          <w:tcPr>
            <w:tcW w:w="3827" w:type="dxa"/>
            <w:vAlign w:val="center"/>
          </w:tcPr>
          <w:p w14:paraId="1EF8E070" w14:textId="1C942977" w:rsidR="00585A38" w:rsidRPr="00585A38" w:rsidRDefault="00585A38" w:rsidP="006205EB">
            <w:pPr>
              <w:rPr>
                <w:sz w:val="16"/>
                <w:szCs w:val="16"/>
              </w:rPr>
            </w:pPr>
            <w:r w:rsidRPr="00585A38">
              <w:rPr>
                <w:sz w:val="16"/>
                <w:szCs w:val="16"/>
              </w:rPr>
              <w:t>06 - Incidents Per Capita Base Year</w:t>
            </w:r>
          </w:p>
        </w:tc>
        <w:tc>
          <w:tcPr>
            <w:tcW w:w="4628" w:type="dxa"/>
            <w:vAlign w:val="center"/>
          </w:tcPr>
          <w:p w14:paraId="2F6E1668"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CALCULATE(IF(OR([01 - Incidents Total] = 0, [02 - Residents Total] = 0), 0, [01 - Incidents Total] / tbl_measures[02 - Residents Total]),</w:t>
            </w:r>
          </w:p>
          <w:p w14:paraId="2D5E4E9A"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          FILTER(ALL(dim_years),</w:t>
            </w:r>
          </w:p>
          <w:p w14:paraId="116D8E8F" w14:textId="5BCA7BBE"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                 dim_years[Year] = CALCULATE(MIN(dim_years[Year]),ALL(dim_years[Year]))))</w:t>
            </w:r>
          </w:p>
        </w:tc>
        <w:tc>
          <w:tcPr>
            <w:tcW w:w="2340" w:type="dxa"/>
            <w:vAlign w:val="center"/>
          </w:tcPr>
          <w:p w14:paraId="4CC6DEA3" w14:textId="26D3C5B1" w:rsidR="00585A38" w:rsidRPr="00585A38" w:rsidRDefault="006212B7" w:rsidP="00C412D3">
            <w:pPr>
              <w:jc w:val="both"/>
              <w:rPr>
                <w:sz w:val="16"/>
                <w:szCs w:val="16"/>
              </w:rPr>
            </w:pPr>
            <w:r>
              <w:rPr>
                <w:sz w:val="16"/>
                <w:szCs w:val="16"/>
              </w:rPr>
              <w:t>(1) Table</w:t>
            </w:r>
          </w:p>
        </w:tc>
      </w:tr>
      <w:tr w:rsidR="00585A38" w14:paraId="2A33EF38" w14:textId="77777777" w:rsidTr="00585A38">
        <w:tc>
          <w:tcPr>
            <w:tcW w:w="3827" w:type="dxa"/>
            <w:vAlign w:val="center"/>
          </w:tcPr>
          <w:p w14:paraId="45724A3E" w14:textId="02A5042E" w:rsidR="00585A38" w:rsidRPr="00585A38" w:rsidRDefault="00585A38" w:rsidP="006205EB">
            <w:pPr>
              <w:rPr>
                <w:sz w:val="16"/>
                <w:szCs w:val="16"/>
              </w:rPr>
            </w:pPr>
            <w:r w:rsidRPr="00585A38">
              <w:rPr>
                <w:sz w:val="16"/>
                <w:szCs w:val="16"/>
              </w:rPr>
              <w:t>07 - Incidents Per Capita Change from Base Year</w:t>
            </w:r>
          </w:p>
        </w:tc>
        <w:tc>
          <w:tcPr>
            <w:tcW w:w="4628" w:type="dxa"/>
            <w:vAlign w:val="center"/>
          </w:tcPr>
          <w:p w14:paraId="13F16064" w14:textId="77777777"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 xml:space="preserve">IF(OR([03 - Incidents Per Capita] = 0, [06 - Incidents Per Capita Base Year] = 0), 0, </w:t>
            </w:r>
          </w:p>
          <w:p w14:paraId="0D995BDD" w14:textId="7426EA24" w:rsidR="00585A38" w:rsidRPr="00585A38" w:rsidRDefault="00585A38" w:rsidP="00585A38">
            <w:pPr>
              <w:shd w:val="clear" w:color="auto" w:fill="FFFFFE"/>
              <w:spacing w:line="270" w:lineRule="atLeast"/>
              <w:rPr>
                <w:rFonts w:eastAsia="Times New Roman" w:cs="Arial"/>
                <w:color w:val="000000"/>
                <w:sz w:val="16"/>
                <w:szCs w:val="16"/>
                <w:lang w:val="en-US" w:eastAsia="en-US"/>
              </w:rPr>
            </w:pPr>
            <w:r w:rsidRPr="00585A38">
              <w:rPr>
                <w:rFonts w:eastAsia="Times New Roman" w:cs="Arial"/>
                <w:color w:val="000000"/>
                <w:sz w:val="16"/>
                <w:szCs w:val="16"/>
                <w:lang w:val="en-US" w:eastAsia="en-US"/>
              </w:rPr>
              <w:t>[03 - Incidents Per Capita] / [06 - Incidents Per Capita Base Year] - 1)</w:t>
            </w:r>
          </w:p>
        </w:tc>
        <w:tc>
          <w:tcPr>
            <w:tcW w:w="2340" w:type="dxa"/>
            <w:vAlign w:val="center"/>
          </w:tcPr>
          <w:p w14:paraId="4C9700BE" w14:textId="7BD5244A" w:rsidR="00585A38" w:rsidRPr="00585A38" w:rsidRDefault="008013C7" w:rsidP="00C412D3">
            <w:pPr>
              <w:jc w:val="both"/>
              <w:rPr>
                <w:sz w:val="16"/>
                <w:szCs w:val="16"/>
              </w:rPr>
            </w:pPr>
            <w:r>
              <w:rPr>
                <w:sz w:val="16"/>
                <w:szCs w:val="16"/>
              </w:rPr>
              <w:t>(1) Table</w:t>
            </w:r>
          </w:p>
        </w:tc>
      </w:tr>
    </w:tbl>
    <w:p w14:paraId="49E92986" w14:textId="77777777" w:rsidR="00B51565" w:rsidRDefault="00B51565" w:rsidP="00CF72EB">
      <w:pPr>
        <w:jc w:val="both"/>
        <w:rPr>
          <w:b/>
          <w:u w:val="single"/>
        </w:rPr>
      </w:pPr>
    </w:p>
    <w:p w14:paraId="35170051" w14:textId="76C3A04A" w:rsidR="00CF72EB" w:rsidRDefault="00CF72EB" w:rsidP="00CF72EB">
      <w:pPr>
        <w:jc w:val="both"/>
        <w:rPr>
          <w:b/>
          <w:u w:val="single"/>
        </w:rPr>
      </w:pPr>
      <w:r>
        <w:rPr>
          <w:b/>
          <w:u w:val="single"/>
        </w:rPr>
        <w:t>Chart Dimensions</w:t>
      </w:r>
    </w:p>
    <w:tbl>
      <w:tblPr>
        <w:tblStyle w:val="TableGrid"/>
        <w:tblW w:w="6535" w:type="dxa"/>
        <w:tblLook w:val="04A0" w:firstRow="1" w:lastRow="0" w:firstColumn="1" w:lastColumn="0" w:noHBand="0" w:noVBand="1"/>
      </w:tblPr>
      <w:tblGrid>
        <w:gridCol w:w="2485"/>
        <w:gridCol w:w="4050"/>
      </w:tblGrid>
      <w:tr w:rsidR="00050869" w14:paraId="1D5DAE70" w14:textId="77777777" w:rsidTr="00A449CC">
        <w:tc>
          <w:tcPr>
            <w:tcW w:w="2485" w:type="dxa"/>
            <w:shd w:val="clear" w:color="auto" w:fill="D9D9D9" w:themeFill="background1" w:themeFillShade="D9"/>
            <w:vAlign w:val="center"/>
          </w:tcPr>
          <w:p w14:paraId="31AD377E" w14:textId="3722BBC8" w:rsidR="00050869" w:rsidRDefault="00050869" w:rsidP="00E94AD1">
            <w:pPr>
              <w:jc w:val="center"/>
            </w:pPr>
            <w:r>
              <w:t>Dimension</w:t>
            </w:r>
          </w:p>
        </w:tc>
        <w:tc>
          <w:tcPr>
            <w:tcW w:w="4050" w:type="dxa"/>
            <w:shd w:val="clear" w:color="auto" w:fill="D9D9D9" w:themeFill="background1" w:themeFillShade="D9"/>
            <w:vAlign w:val="center"/>
          </w:tcPr>
          <w:p w14:paraId="161421B4" w14:textId="5E82CEEE" w:rsidR="00050869" w:rsidRDefault="00050869" w:rsidP="00E94AD1">
            <w:pPr>
              <w:jc w:val="center"/>
            </w:pPr>
            <w:r>
              <w:t>Section/</w:t>
            </w:r>
            <w:r w:rsidR="00154CA2">
              <w:t>Visualization</w:t>
            </w:r>
          </w:p>
        </w:tc>
      </w:tr>
      <w:tr w:rsidR="00050869" w14:paraId="2B96AAB6" w14:textId="77777777" w:rsidTr="00A449CC">
        <w:tc>
          <w:tcPr>
            <w:tcW w:w="2485" w:type="dxa"/>
            <w:vAlign w:val="center"/>
          </w:tcPr>
          <w:p w14:paraId="2DF9D36F" w14:textId="1271D44F" w:rsidR="00050869" w:rsidRPr="00585A38" w:rsidRDefault="003F68A3" w:rsidP="00E94AD1">
            <w:pPr>
              <w:rPr>
                <w:sz w:val="16"/>
                <w:szCs w:val="16"/>
              </w:rPr>
            </w:pPr>
            <w:r>
              <w:rPr>
                <w:sz w:val="16"/>
                <w:szCs w:val="16"/>
              </w:rPr>
              <w:t>Sector</w:t>
            </w:r>
          </w:p>
        </w:tc>
        <w:tc>
          <w:tcPr>
            <w:tcW w:w="4050" w:type="dxa"/>
            <w:vAlign w:val="center"/>
          </w:tcPr>
          <w:p w14:paraId="09C6D2EE" w14:textId="06B0F390" w:rsidR="00050869" w:rsidRPr="00585A38" w:rsidRDefault="003F68A3" w:rsidP="00E94AD1">
            <w:pPr>
              <w:jc w:val="both"/>
              <w:rPr>
                <w:sz w:val="16"/>
                <w:szCs w:val="16"/>
              </w:rPr>
            </w:pPr>
            <w:r>
              <w:rPr>
                <w:sz w:val="16"/>
                <w:szCs w:val="16"/>
              </w:rPr>
              <w:t>(1) Bar chart</w:t>
            </w:r>
          </w:p>
        </w:tc>
      </w:tr>
      <w:tr w:rsidR="003F68A3" w14:paraId="1BFEA44A" w14:textId="77777777" w:rsidTr="00A449CC">
        <w:tc>
          <w:tcPr>
            <w:tcW w:w="2485" w:type="dxa"/>
            <w:vAlign w:val="center"/>
          </w:tcPr>
          <w:p w14:paraId="01C0E5B9" w14:textId="5666FB5B" w:rsidR="003F68A3" w:rsidRDefault="003F68A3" w:rsidP="003F68A3">
            <w:pPr>
              <w:rPr>
                <w:sz w:val="16"/>
                <w:szCs w:val="16"/>
              </w:rPr>
            </w:pPr>
            <w:r>
              <w:rPr>
                <w:sz w:val="16"/>
                <w:szCs w:val="16"/>
              </w:rPr>
              <w:t>Commmunity name</w:t>
            </w:r>
          </w:p>
        </w:tc>
        <w:tc>
          <w:tcPr>
            <w:tcW w:w="4050" w:type="dxa"/>
            <w:vAlign w:val="center"/>
          </w:tcPr>
          <w:p w14:paraId="60399464" w14:textId="47C5BCAE" w:rsidR="003F68A3" w:rsidRDefault="003F68A3" w:rsidP="003F68A3">
            <w:pPr>
              <w:jc w:val="both"/>
              <w:rPr>
                <w:sz w:val="16"/>
                <w:szCs w:val="16"/>
              </w:rPr>
            </w:pPr>
            <w:r>
              <w:rPr>
                <w:sz w:val="16"/>
                <w:szCs w:val="16"/>
              </w:rPr>
              <w:t>(1) Table, (3) Waterfall</w:t>
            </w:r>
          </w:p>
        </w:tc>
      </w:tr>
      <w:tr w:rsidR="003F68A3" w14:paraId="6841B8B3" w14:textId="77777777" w:rsidTr="00A449CC">
        <w:tc>
          <w:tcPr>
            <w:tcW w:w="2485" w:type="dxa"/>
            <w:vAlign w:val="center"/>
          </w:tcPr>
          <w:p w14:paraId="4E1FCF13" w14:textId="3289E99F" w:rsidR="003F68A3" w:rsidRPr="00585A38" w:rsidRDefault="003F68A3" w:rsidP="003F68A3">
            <w:pPr>
              <w:rPr>
                <w:sz w:val="16"/>
                <w:szCs w:val="16"/>
              </w:rPr>
            </w:pPr>
            <w:r>
              <w:rPr>
                <w:sz w:val="16"/>
                <w:szCs w:val="16"/>
              </w:rPr>
              <w:t>Latitude, longitude coordinates</w:t>
            </w:r>
          </w:p>
        </w:tc>
        <w:tc>
          <w:tcPr>
            <w:tcW w:w="4050" w:type="dxa"/>
            <w:vAlign w:val="center"/>
          </w:tcPr>
          <w:p w14:paraId="6121C9A5" w14:textId="152A6560" w:rsidR="003F68A3" w:rsidRPr="00585A38" w:rsidRDefault="003F68A3" w:rsidP="003F68A3">
            <w:pPr>
              <w:jc w:val="both"/>
              <w:rPr>
                <w:sz w:val="16"/>
                <w:szCs w:val="16"/>
              </w:rPr>
            </w:pPr>
            <w:r>
              <w:rPr>
                <w:sz w:val="16"/>
                <w:szCs w:val="16"/>
              </w:rPr>
              <w:t>(1) Map</w:t>
            </w:r>
          </w:p>
        </w:tc>
      </w:tr>
      <w:tr w:rsidR="003F68A3" w14:paraId="38530015" w14:textId="77777777" w:rsidTr="00A449CC">
        <w:tc>
          <w:tcPr>
            <w:tcW w:w="2485" w:type="dxa"/>
            <w:vAlign w:val="center"/>
          </w:tcPr>
          <w:p w14:paraId="3C578B3C" w14:textId="70DE61C8" w:rsidR="003F68A3" w:rsidRPr="00585A38" w:rsidRDefault="003F68A3" w:rsidP="003F68A3">
            <w:pPr>
              <w:rPr>
                <w:sz w:val="16"/>
                <w:szCs w:val="16"/>
              </w:rPr>
            </w:pPr>
            <w:r>
              <w:rPr>
                <w:sz w:val="16"/>
                <w:szCs w:val="16"/>
              </w:rPr>
              <w:t>Incident category</w:t>
            </w:r>
          </w:p>
        </w:tc>
        <w:tc>
          <w:tcPr>
            <w:tcW w:w="4050" w:type="dxa"/>
            <w:vAlign w:val="center"/>
          </w:tcPr>
          <w:p w14:paraId="798D2F0D" w14:textId="3B4C3954" w:rsidR="003F68A3" w:rsidRPr="00585A38" w:rsidRDefault="003F68A3" w:rsidP="003F68A3">
            <w:pPr>
              <w:jc w:val="both"/>
              <w:rPr>
                <w:sz w:val="16"/>
                <w:szCs w:val="16"/>
              </w:rPr>
            </w:pPr>
            <w:r>
              <w:rPr>
                <w:sz w:val="16"/>
                <w:szCs w:val="16"/>
              </w:rPr>
              <w:t>(1) Table, (3) Waterfall</w:t>
            </w:r>
          </w:p>
        </w:tc>
      </w:tr>
      <w:tr w:rsidR="003F68A3" w14:paraId="58F3E353" w14:textId="77777777" w:rsidTr="00A449CC">
        <w:tc>
          <w:tcPr>
            <w:tcW w:w="2485" w:type="dxa"/>
            <w:vAlign w:val="center"/>
          </w:tcPr>
          <w:p w14:paraId="6336F0EE" w14:textId="369B9759" w:rsidR="003F68A3" w:rsidRPr="00585A38" w:rsidRDefault="003F68A3" w:rsidP="003F68A3">
            <w:pPr>
              <w:rPr>
                <w:sz w:val="16"/>
                <w:szCs w:val="16"/>
              </w:rPr>
            </w:pPr>
            <w:r>
              <w:rPr>
                <w:sz w:val="16"/>
                <w:szCs w:val="16"/>
              </w:rPr>
              <w:t>Incident nature</w:t>
            </w:r>
          </w:p>
        </w:tc>
        <w:tc>
          <w:tcPr>
            <w:tcW w:w="4050" w:type="dxa"/>
            <w:vAlign w:val="center"/>
          </w:tcPr>
          <w:p w14:paraId="2620F215" w14:textId="5C8B4E3F" w:rsidR="003F68A3" w:rsidRPr="00585A38" w:rsidRDefault="003F68A3" w:rsidP="003F68A3">
            <w:pPr>
              <w:jc w:val="both"/>
              <w:rPr>
                <w:sz w:val="16"/>
                <w:szCs w:val="16"/>
              </w:rPr>
            </w:pPr>
            <w:r>
              <w:rPr>
                <w:sz w:val="16"/>
                <w:szCs w:val="16"/>
              </w:rPr>
              <w:t>(1) Bar chart</w:t>
            </w:r>
          </w:p>
        </w:tc>
      </w:tr>
      <w:tr w:rsidR="003F68A3" w14:paraId="4D738A83" w14:textId="77777777" w:rsidTr="00A449CC">
        <w:tc>
          <w:tcPr>
            <w:tcW w:w="2485" w:type="dxa"/>
            <w:vAlign w:val="center"/>
          </w:tcPr>
          <w:p w14:paraId="1F64BCDF" w14:textId="53E9FE64" w:rsidR="003F68A3" w:rsidRPr="00585A38" w:rsidRDefault="003F68A3" w:rsidP="003F68A3">
            <w:pPr>
              <w:rPr>
                <w:sz w:val="16"/>
                <w:szCs w:val="16"/>
              </w:rPr>
            </w:pPr>
            <w:r>
              <w:rPr>
                <w:sz w:val="16"/>
                <w:szCs w:val="16"/>
              </w:rPr>
              <w:t>Year</w:t>
            </w:r>
          </w:p>
        </w:tc>
        <w:tc>
          <w:tcPr>
            <w:tcW w:w="4050" w:type="dxa"/>
            <w:vAlign w:val="center"/>
          </w:tcPr>
          <w:p w14:paraId="6DE0358E" w14:textId="70AECF97" w:rsidR="003F68A3" w:rsidRPr="00585A38" w:rsidRDefault="00521357" w:rsidP="003F68A3">
            <w:pPr>
              <w:jc w:val="both"/>
              <w:rPr>
                <w:sz w:val="16"/>
                <w:szCs w:val="16"/>
              </w:rPr>
            </w:pPr>
            <w:r>
              <w:rPr>
                <w:sz w:val="16"/>
                <w:szCs w:val="16"/>
              </w:rPr>
              <w:t>(2) Line chart, (3) Waterfall</w:t>
            </w:r>
          </w:p>
        </w:tc>
      </w:tr>
    </w:tbl>
    <w:p w14:paraId="096B6C8A" w14:textId="77777777" w:rsidR="00CF72EB" w:rsidRDefault="00CF72EB" w:rsidP="00C412D3">
      <w:pPr>
        <w:jc w:val="both"/>
        <w:rPr>
          <w:b/>
          <w:u w:val="single"/>
        </w:rPr>
      </w:pPr>
    </w:p>
    <w:p w14:paraId="3F934832" w14:textId="2912596A" w:rsidR="002B7E67" w:rsidRDefault="002B7E67" w:rsidP="00C412D3">
      <w:pPr>
        <w:jc w:val="both"/>
        <w:rPr>
          <w:b/>
          <w:u w:val="single"/>
        </w:rPr>
      </w:pPr>
      <w:r w:rsidRPr="002B7E67">
        <w:rPr>
          <w:b/>
          <w:u w:val="single"/>
        </w:rPr>
        <w:lastRenderedPageBreak/>
        <w:t>Interactivity</w:t>
      </w:r>
    </w:p>
    <w:p w14:paraId="2B53DEE4" w14:textId="372C199F" w:rsidR="001042D5" w:rsidRPr="00D11577" w:rsidRDefault="00D11577" w:rsidP="00C412D3">
      <w:pPr>
        <w:jc w:val="both"/>
      </w:pPr>
      <w:r w:rsidRPr="00D11577">
        <w:t>The</w:t>
      </w:r>
      <w:r>
        <w:t xml:space="preserve">re are </w:t>
      </w:r>
      <w:r w:rsidR="00BD26E9">
        <w:t>5</w:t>
      </w:r>
      <w:r w:rsidR="008C6C1C">
        <w:t xml:space="preserve"> i</w:t>
      </w:r>
      <w:bookmarkStart w:id="0" w:name="_GoBack"/>
      <w:bookmarkEnd w:id="0"/>
      <w:r w:rsidR="008C6C1C">
        <w:t>nteractive elements</w:t>
      </w:r>
      <w:r w:rsidR="00B6367D">
        <w:t xml:space="preserve"> in the dashboard</w:t>
      </w:r>
      <w:r w:rsidR="00BD26E9">
        <w:t xml:space="preserve">. The first section contains 4 interactive elements: </w:t>
      </w:r>
      <w:r w:rsidR="00941685">
        <w:t xml:space="preserve">a year </w:t>
      </w:r>
      <w:r w:rsidR="005F3679">
        <w:t xml:space="preserve">filter </w:t>
      </w:r>
      <w:r w:rsidR="00941685">
        <w:t xml:space="preserve">that interacts with </w:t>
      </w:r>
      <w:r w:rsidR="00BD26E9">
        <w:t xml:space="preserve">the bar chart </w:t>
      </w:r>
      <w:r w:rsidR="00941685">
        <w:t>and table within the first section; the bar chart filters the table and map within the first section as well as the line and waterfall charts in the second and third sections;</w:t>
      </w:r>
      <w:r w:rsidR="000421F0">
        <w:t xml:space="preserve"> the table filters the bar chart and map within the first section as well as the line and waterfall charts in the second and third sections; </w:t>
      </w:r>
      <w:r w:rsidR="00E848C8">
        <w:t>there is also a reset button that clears the year filter and any contexts established through the interactions.</w:t>
      </w:r>
      <w:r w:rsidR="005C7376">
        <w:t xml:space="preserve"> </w:t>
      </w:r>
      <w:r w:rsidR="00C40AFA">
        <w:t>The fifth interactive element is located at the top right and is available for the user to understand in brief how to navigate the dashboard.</w:t>
      </w:r>
      <w:r w:rsidR="001337DA">
        <w:t xml:space="preserve"> </w:t>
      </w:r>
    </w:p>
    <w:p w14:paraId="0B96C916" w14:textId="64D73A77" w:rsidR="002B7E67" w:rsidRDefault="009B12A9" w:rsidP="00C412D3">
      <w:pPr>
        <w:jc w:val="center"/>
      </w:pPr>
      <w:r w:rsidRPr="009B12A9">
        <w:rPr>
          <w:noProof/>
        </w:rPr>
        <w:drawing>
          <wp:inline distT="0" distB="0" distL="0" distR="0" wp14:anchorId="24BCA3D0" wp14:editId="0BA57B15">
            <wp:extent cx="5461203" cy="3165475"/>
            <wp:effectExtent l="19050" t="19050" r="2540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1601" cy="3165706"/>
                    </a:xfrm>
                    <a:prstGeom prst="rect">
                      <a:avLst/>
                    </a:prstGeom>
                    <a:noFill/>
                    <a:ln>
                      <a:solidFill>
                        <a:schemeClr val="tx1"/>
                      </a:solidFill>
                    </a:ln>
                  </pic:spPr>
                </pic:pic>
              </a:graphicData>
            </a:graphic>
          </wp:inline>
        </w:drawing>
      </w:r>
    </w:p>
    <w:p w14:paraId="2FEADAFF" w14:textId="5FE03476" w:rsidR="00AB3829" w:rsidRPr="006D404D" w:rsidRDefault="00AB3829" w:rsidP="006D404D">
      <w:pPr>
        <w:jc w:val="both"/>
        <w:rPr>
          <w:b/>
          <w:u w:val="single"/>
        </w:rPr>
      </w:pPr>
    </w:p>
    <w:p w14:paraId="37498C2D" w14:textId="5DFD9534" w:rsidR="00AB3829" w:rsidRPr="006D404D" w:rsidRDefault="00AB3829" w:rsidP="006D404D">
      <w:pPr>
        <w:jc w:val="both"/>
        <w:rPr>
          <w:b/>
          <w:u w:val="single"/>
        </w:rPr>
      </w:pPr>
      <w:r w:rsidRPr="006D404D">
        <w:rPr>
          <w:b/>
          <w:u w:val="single"/>
        </w:rPr>
        <w:t>Data Source</w:t>
      </w:r>
    </w:p>
    <w:p w14:paraId="319F7726" w14:textId="09568C2F" w:rsidR="00AB3829" w:rsidRPr="00BA2DD2" w:rsidRDefault="00AB3829" w:rsidP="00AB3829">
      <w:pPr>
        <w:spacing w:after="0" w:line="240" w:lineRule="auto"/>
        <w:rPr>
          <w:lang w:val="en-US"/>
        </w:rPr>
      </w:pPr>
      <w:r>
        <w:rPr>
          <w:lang w:val="en-US"/>
        </w:rPr>
        <w:t xml:space="preserve">The data </w:t>
      </w:r>
      <w:r w:rsidRPr="00920BDE">
        <w:rPr>
          <w:lang w:val="en-US"/>
        </w:rPr>
        <w:t>source is</w:t>
      </w:r>
      <w:r>
        <w:rPr>
          <w:lang w:val="en-US"/>
        </w:rPr>
        <w:t xml:space="preserve"> Calgary Community Crime and Disorder statistics. </w:t>
      </w:r>
      <w:hyperlink r:id="rId8" w:history="1">
        <w:r w:rsidRPr="00C9221C">
          <w:rPr>
            <w:rStyle w:val="Hyperlink"/>
          </w:rPr>
          <w:t>https://data.calgary.ca/Health-and-Safety/Community-Crime-and-Disorder-Map-to-be-archived-/hhjd-wzc2</w:t>
        </w:r>
      </w:hyperlink>
      <w:r>
        <w:t>. Incidents of crime are reported by sector (e.g. north east), community (e.g. whitehorn),  group (e.g. crime, disorder) and category (e.g. vehicle theft, c</w:t>
      </w:r>
      <w:r w:rsidRPr="00DF155D">
        <w:t xml:space="preserve">ommercial </w:t>
      </w:r>
      <w:r>
        <w:t>b</w:t>
      </w:r>
      <w:r w:rsidRPr="00DF155D">
        <w:t xml:space="preserve">reak </w:t>
      </w:r>
      <w:r>
        <w:t>and e</w:t>
      </w:r>
      <w:r w:rsidRPr="00DF155D">
        <w:t>nter</w:t>
      </w:r>
      <w:r>
        <w:t>) from 2012 to 2019 with community centre latitude and longitude coordinates, which will allow for categorical, time series and mapping visual analytics.</w:t>
      </w:r>
    </w:p>
    <w:p w14:paraId="6451CFD8" w14:textId="77777777" w:rsidR="00AB3829" w:rsidRPr="002B7E67" w:rsidRDefault="00AB3829" w:rsidP="00AB3829"/>
    <w:sectPr w:rsidR="00AB3829" w:rsidRPr="002B7E67" w:rsidSect="001042D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58E5F" w14:textId="77777777" w:rsidR="00D4303A" w:rsidRDefault="00D4303A" w:rsidP="00BA2DD2">
      <w:pPr>
        <w:spacing w:after="0" w:line="240" w:lineRule="auto"/>
      </w:pPr>
      <w:r>
        <w:separator/>
      </w:r>
    </w:p>
  </w:endnote>
  <w:endnote w:type="continuationSeparator" w:id="0">
    <w:p w14:paraId="548C44E2" w14:textId="77777777" w:rsidR="00D4303A" w:rsidRDefault="00D4303A" w:rsidP="00BA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9D5B5" w14:textId="77777777" w:rsidR="00D038A5" w:rsidRDefault="00D03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4BEE" w14:textId="77777777" w:rsidR="00D038A5" w:rsidRDefault="00D03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D5C78" w14:textId="77777777" w:rsidR="00D038A5" w:rsidRDefault="00D03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DC078" w14:textId="77777777" w:rsidR="00D4303A" w:rsidRDefault="00D4303A" w:rsidP="00BA2DD2">
      <w:pPr>
        <w:spacing w:after="0" w:line="240" w:lineRule="auto"/>
      </w:pPr>
      <w:r>
        <w:separator/>
      </w:r>
    </w:p>
  </w:footnote>
  <w:footnote w:type="continuationSeparator" w:id="0">
    <w:p w14:paraId="1DC13D05" w14:textId="77777777" w:rsidR="00D4303A" w:rsidRDefault="00D4303A" w:rsidP="00BA2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0391" w14:textId="77777777" w:rsidR="00D038A5" w:rsidRDefault="00D03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2812" w14:textId="51472BBA" w:rsidR="0043629C" w:rsidRPr="009678C8" w:rsidRDefault="0043629C" w:rsidP="00967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33EF2" w14:textId="77777777" w:rsidR="00D038A5" w:rsidRDefault="00D03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45C"/>
    <w:multiLevelType w:val="hybridMultilevel"/>
    <w:tmpl w:val="EDC07C80"/>
    <w:lvl w:ilvl="0" w:tplc="AF38A21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5D7AB0"/>
    <w:multiLevelType w:val="hybridMultilevel"/>
    <w:tmpl w:val="AEC2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D2431"/>
    <w:multiLevelType w:val="hybridMultilevel"/>
    <w:tmpl w:val="1B247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4A0620"/>
    <w:multiLevelType w:val="hybridMultilevel"/>
    <w:tmpl w:val="799A9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4CD31A1"/>
    <w:multiLevelType w:val="hybridMultilevel"/>
    <w:tmpl w:val="7C600A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9F918C0"/>
    <w:multiLevelType w:val="hybridMultilevel"/>
    <w:tmpl w:val="8686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B6950"/>
    <w:multiLevelType w:val="hybridMultilevel"/>
    <w:tmpl w:val="C1BC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A51FB"/>
    <w:multiLevelType w:val="hybridMultilevel"/>
    <w:tmpl w:val="AD7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A72FF"/>
    <w:multiLevelType w:val="hybridMultilevel"/>
    <w:tmpl w:val="33D4D3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6C254AB"/>
    <w:multiLevelType w:val="hybridMultilevel"/>
    <w:tmpl w:val="CC0E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6"/>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CF"/>
    <w:rsid w:val="000021E4"/>
    <w:rsid w:val="0001509D"/>
    <w:rsid w:val="000168C2"/>
    <w:rsid w:val="000421F0"/>
    <w:rsid w:val="00050869"/>
    <w:rsid w:val="00061CBF"/>
    <w:rsid w:val="00087ACD"/>
    <w:rsid w:val="00090A38"/>
    <w:rsid w:val="0009131F"/>
    <w:rsid w:val="001042D5"/>
    <w:rsid w:val="0011653A"/>
    <w:rsid w:val="001337DA"/>
    <w:rsid w:val="00154CA2"/>
    <w:rsid w:val="00163A9E"/>
    <w:rsid w:val="00192DE8"/>
    <w:rsid w:val="00250A4C"/>
    <w:rsid w:val="002603D9"/>
    <w:rsid w:val="0026380E"/>
    <w:rsid w:val="002A55AF"/>
    <w:rsid w:val="002B7E67"/>
    <w:rsid w:val="002D6EB4"/>
    <w:rsid w:val="002E0D35"/>
    <w:rsid w:val="002F210D"/>
    <w:rsid w:val="00323992"/>
    <w:rsid w:val="0038470D"/>
    <w:rsid w:val="003C4A4D"/>
    <w:rsid w:val="003C5C4A"/>
    <w:rsid w:val="003E0402"/>
    <w:rsid w:val="003E4D80"/>
    <w:rsid w:val="003F68A3"/>
    <w:rsid w:val="004009A8"/>
    <w:rsid w:val="0040110A"/>
    <w:rsid w:val="004031EF"/>
    <w:rsid w:val="00422D22"/>
    <w:rsid w:val="00427437"/>
    <w:rsid w:val="0043629C"/>
    <w:rsid w:val="00453C74"/>
    <w:rsid w:val="0048028A"/>
    <w:rsid w:val="00485B8F"/>
    <w:rsid w:val="004B298F"/>
    <w:rsid w:val="004E7D0D"/>
    <w:rsid w:val="004E7EC8"/>
    <w:rsid w:val="004F1D1A"/>
    <w:rsid w:val="00521357"/>
    <w:rsid w:val="005435D8"/>
    <w:rsid w:val="005461A5"/>
    <w:rsid w:val="00585121"/>
    <w:rsid w:val="00585A38"/>
    <w:rsid w:val="00587BD7"/>
    <w:rsid w:val="005A2BAE"/>
    <w:rsid w:val="005C7376"/>
    <w:rsid w:val="005F3679"/>
    <w:rsid w:val="00603538"/>
    <w:rsid w:val="00610CC6"/>
    <w:rsid w:val="00615DAA"/>
    <w:rsid w:val="006205EB"/>
    <w:rsid w:val="006212B7"/>
    <w:rsid w:val="00667B13"/>
    <w:rsid w:val="00682517"/>
    <w:rsid w:val="00693D4B"/>
    <w:rsid w:val="006D404D"/>
    <w:rsid w:val="006D65AC"/>
    <w:rsid w:val="006F60DF"/>
    <w:rsid w:val="006F751D"/>
    <w:rsid w:val="00704E16"/>
    <w:rsid w:val="00710110"/>
    <w:rsid w:val="0072011D"/>
    <w:rsid w:val="007202F3"/>
    <w:rsid w:val="00721EBF"/>
    <w:rsid w:val="007275F8"/>
    <w:rsid w:val="0076686D"/>
    <w:rsid w:val="007A390B"/>
    <w:rsid w:val="008013C7"/>
    <w:rsid w:val="0084322F"/>
    <w:rsid w:val="00875ECF"/>
    <w:rsid w:val="008A1E5A"/>
    <w:rsid w:val="008C6C1C"/>
    <w:rsid w:val="00911F3D"/>
    <w:rsid w:val="00911F65"/>
    <w:rsid w:val="00920BDE"/>
    <w:rsid w:val="00920E12"/>
    <w:rsid w:val="00941685"/>
    <w:rsid w:val="00967433"/>
    <w:rsid w:val="009678C8"/>
    <w:rsid w:val="009B12A9"/>
    <w:rsid w:val="009E6086"/>
    <w:rsid w:val="00A15C12"/>
    <w:rsid w:val="00A449CC"/>
    <w:rsid w:val="00A45FA7"/>
    <w:rsid w:val="00AB3829"/>
    <w:rsid w:val="00AB5239"/>
    <w:rsid w:val="00B17D78"/>
    <w:rsid w:val="00B3465F"/>
    <w:rsid w:val="00B40D90"/>
    <w:rsid w:val="00B51565"/>
    <w:rsid w:val="00B6367D"/>
    <w:rsid w:val="00B64DDC"/>
    <w:rsid w:val="00B73CA2"/>
    <w:rsid w:val="00BA1D39"/>
    <w:rsid w:val="00BA2DD2"/>
    <w:rsid w:val="00BD26E9"/>
    <w:rsid w:val="00BE1353"/>
    <w:rsid w:val="00BE631A"/>
    <w:rsid w:val="00C40AFA"/>
    <w:rsid w:val="00C412D3"/>
    <w:rsid w:val="00C657F7"/>
    <w:rsid w:val="00CF1756"/>
    <w:rsid w:val="00CF72EB"/>
    <w:rsid w:val="00D038A5"/>
    <w:rsid w:val="00D03FDF"/>
    <w:rsid w:val="00D11577"/>
    <w:rsid w:val="00D238B5"/>
    <w:rsid w:val="00D35DB4"/>
    <w:rsid w:val="00D4303A"/>
    <w:rsid w:val="00D537E0"/>
    <w:rsid w:val="00DF155D"/>
    <w:rsid w:val="00E03565"/>
    <w:rsid w:val="00E333D0"/>
    <w:rsid w:val="00E34372"/>
    <w:rsid w:val="00E728D7"/>
    <w:rsid w:val="00E834BA"/>
    <w:rsid w:val="00E848C8"/>
    <w:rsid w:val="00EC6231"/>
    <w:rsid w:val="00F2317E"/>
    <w:rsid w:val="00F4403B"/>
    <w:rsid w:val="00F65289"/>
    <w:rsid w:val="00FB3D74"/>
    <w:rsid w:val="00FC2F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0D0"/>
  <w15:chartTrackingRefBased/>
  <w15:docId w15:val="{A69B7EF2-2C64-4B0B-9595-CC61F688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CF"/>
    <w:pPr>
      <w:ind w:left="720"/>
      <w:contextualSpacing/>
    </w:pPr>
  </w:style>
  <w:style w:type="character" w:styleId="Hyperlink">
    <w:name w:val="Hyperlink"/>
    <w:basedOn w:val="DefaultParagraphFont"/>
    <w:uiPriority w:val="99"/>
    <w:unhideWhenUsed/>
    <w:rsid w:val="00875ECF"/>
    <w:rPr>
      <w:color w:val="0563C1" w:themeColor="hyperlink"/>
      <w:u w:val="single"/>
    </w:rPr>
  </w:style>
  <w:style w:type="character" w:styleId="UnresolvedMention">
    <w:name w:val="Unresolved Mention"/>
    <w:basedOn w:val="DefaultParagraphFont"/>
    <w:uiPriority w:val="99"/>
    <w:semiHidden/>
    <w:unhideWhenUsed/>
    <w:rsid w:val="00875ECF"/>
    <w:rPr>
      <w:color w:val="605E5C"/>
      <w:shd w:val="clear" w:color="auto" w:fill="E1DFDD"/>
    </w:rPr>
  </w:style>
  <w:style w:type="paragraph" w:styleId="Header">
    <w:name w:val="header"/>
    <w:basedOn w:val="Normal"/>
    <w:link w:val="HeaderChar"/>
    <w:uiPriority w:val="99"/>
    <w:unhideWhenUsed/>
    <w:rsid w:val="00BA2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DD2"/>
  </w:style>
  <w:style w:type="paragraph" w:styleId="Footer">
    <w:name w:val="footer"/>
    <w:basedOn w:val="Normal"/>
    <w:link w:val="FooterChar"/>
    <w:uiPriority w:val="99"/>
    <w:unhideWhenUsed/>
    <w:rsid w:val="00BA2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DD2"/>
  </w:style>
  <w:style w:type="paragraph" w:styleId="BodyText">
    <w:name w:val="Body Text"/>
    <w:basedOn w:val="Normal"/>
    <w:link w:val="BodyTextChar"/>
    <w:uiPriority w:val="1"/>
    <w:semiHidden/>
    <w:unhideWhenUsed/>
    <w:qFormat/>
    <w:rsid w:val="00693D4B"/>
    <w:pPr>
      <w:widowControl w:val="0"/>
      <w:spacing w:after="0" w:line="240" w:lineRule="auto"/>
      <w:ind w:left="160"/>
    </w:pPr>
    <w:rPr>
      <w:rFonts w:eastAsia="Arial"/>
      <w:sz w:val="22"/>
      <w:lang w:val="en-US" w:eastAsia="en-US"/>
    </w:rPr>
  </w:style>
  <w:style w:type="character" w:customStyle="1" w:styleId="BodyTextChar">
    <w:name w:val="Body Text Char"/>
    <w:basedOn w:val="DefaultParagraphFont"/>
    <w:link w:val="BodyText"/>
    <w:uiPriority w:val="1"/>
    <w:semiHidden/>
    <w:rsid w:val="00693D4B"/>
    <w:rPr>
      <w:rFonts w:eastAsia="Arial"/>
      <w:sz w:val="22"/>
      <w:lang w:val="en-US" w:eastAsia="en-US"/>
    </w:rPr>
  </w:style>
  <w:style w:type="character" w:styleId="FollowedHyperlink">
    <w:name w:val="FollowedHyperlink"/>
    <w:basedOn w:val="DefaultParagraphFont"/>
    <w:uiPriority w:val="99"/>
    <w:semiHidden/>
    <w:unhideWhenUsed/>
    <w:rsid w:val="0043629C"/>
    <w:rPr>
      <w:color w:val="954F72" w:themeColor="followedHyperlink"/>
      <w:u w:val="single"/>
    </w:rPr>
  </w:style>
  <w:style w:type="paragraph" w:styleId="BalloonText">
    <w:name w:val="Balloon Text"/>
    <w:basedOn w:val="Normal"/>
    <w:link w:val="BalloonTextChar"/>
    <w:uiPriority w:val="99"/>
    <w:semiHidden/>
    <w:unhideWhenUsed/>
    <w:rsid w:val="002B7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E67"/>
    <w:rPr>
      <w:rFonts w:ascii="Segoe UI" w:hAnsi="Segoe UI" w:cs="Segoe UI"/>
      <w:sz w:val="18"/>
      <w:szCs w:val="18"/>
    </w:rPr>
  </w:style>
  <w:style w:type="table" w:styleId="TableGrid">
    <w:name w:val="Table Grid"/>
    <w:basedOn w:val="TableNormal"/>
    <w:uiPriority w:val="39"/>
    <w:rsid w:val="00E3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614">
      <w:bodyDiv w:val="1"/>
      <w:marLeft w:val="0"/>
      <w:marRight w:val="0"/>
      <w:marTop w:val="0"/>
      <w:marBottom w:val="0"/>
      <w:divBdr>
        <w:top w:val="none" w:sz="0" w:space="0" w:color="auto"/>
        <w:left w:val="none" w:sz="0" w:space="0" w:color="auto"/>
        <w:bottom w:val="none" w:sz="0" w:space="0" w:color="auto"/>
        <w:right w:val="none" w:sz="0" w:space="0" w:color="auto"/>
      </w:divBdr>
    </w:div>
    <w:div w:id="168756150">
      <w:bodyDiv w:val="1"/>
      <w:marLeft w:val="0"/>
      <w:marRight w:val="0"/>
      <w:marTop w:val="0"/>
      <w:marBottom w:val="0"/>
      <w:divBdr>
        <w:top w:val="none" w:sz="0" w:space="0" w:color="auto"/>
        <w:left w:val="none" w:sz="0" w:space="0" w:color="auto"/>
        <w:bottom w:val="none" w:sz="0" w:space="0" w:color="auto"/>
        <w:right w:val="none" w:sz="0" w:space="0" w:color="auto"/>
      </w:divBdr>
      <w:divsChild>
        <w:div w:id="2101216904">
          <w:marLeft w:val="0"/>
          <w:marRight w:val="0"/>
          <w:marTop w:val="0"/>
          <w:marBottom w:val="0"/>
          <w:divBdr>
            <w:top w:val="none" w:sz="0" w:space="0" w:color="auto"/>
            <w:left w:val="none" w:sz="0" w:space="0" w:color="auto"/>
            <w:bottom w:val="none" w:sz="0" w:space="0" w:color="auto"/>
            <w:right w:val="none" w:sz="0" w:space="0" w:color="auto"/>
          </w:divBdr>
          <w:divsChild>
            <w:div w:id="133111108">
              <w:marLeft w:val="0"/>
              <w:marRight w:val="0"/>
              <w:marTop w:val="0"/>
              <w:marBottom w:val="0"/>
              <w:divBdr>
                <w:top w:val="none" w:sz="0" w:space="0" w:color="auto"/>
                <w:left w:val="none" w:sz="0" w:space="0" w:color="auto"/>
                <w:bottom w:val="none" w:sz="0" w:space="0" w:color="auto"/>
                <w:right w:val="none" w:sz="0" w:space="0" w:color="auto"/>
              </w:divBdr>
            </w:div>
            <w:div w:id="11914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487">
      <w:bodyDiv w:val="1"/>
      <w:marLeft w:val="0"/>
      <w:marRight w:val="0"/>
      <w:marTop w:val="0"/>
      <w:marBottom w:val="0"/>
      <w:divBdr>
        <w:top w:val="none" w:sz="0" w:space="0" w:color="auto"/>
        <w:left w:val="none" w:sz="0" w:space="0" w:color="auto"/>
        <w:bottom w:val="none" w:sz="0" w:space="0" w:color="auto"/>
        <w:right w:val="none" w:sz="0" w:space="0" w:color="auto"/>
      </w:divBdr>
      <w:divsChild>
        <w:div w:id="154493526">
          <w:marLeft w:val="0"/>
          <w:marRight w:val="0"/>
          <w:marTop w:val="0"/>
          <w:marBottom w:val="0"/>
          <w:divBdr>
            <w:top w:val="none" w:sz="0" w:space="0" w:color="auto"/>
            <w:left w:val="none" w:sz="0" w:space="0" w:color="auto"/>
            <w:bottom w:val="none" w:sz="0" w:space="0" w:color="auto"/>
            <w:right w:val="none" w:sz="0" w:space="0" w:color="auto"/>
          </w:divBdr>
          <w:divsChild>
            <w:div w:id="1322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251">
      <w:bodyDiv w:val="1"/>
      <w:marLeft w:val="0"/>
      <w:marRight w:val="0"/>
      <w:marTop w:val="0"/>
      <w:marBottom w:val="0"/>
      <w:divBdr>
        <w:top w:val="none" w:sz="0" w:space="0" w:color="auto"/>
        <w:left w:val="none" w:sz="0" w:space="0" w:color="auto"/>
        <w:bottom w:val="none" w:sz="0" w:space="0" w:color="auto"/>
        <w:right w:val="none" w:sz="0" w:space="0" w:color="auto"/>
      </w:divBdr>
      <w:divsChild>
        <w:div w:id="1389840310">
          <w:marLeft w:val="0"/>
          <w:marRight w:val="0"/>
          <w:marTop w:val="0"/>
          <w:marBottom w:val="0"/>
          <w:divBdr>
            <w:top w:val="none" w:sz="0" w:space="0" w:color="auto"/>
            <w:left w:val="none" w:sz="0" w:space="0" w:color="auto"/>
            <w:bottom w:val="none" w:sz="0" w:space="0" w:color="auto"/>
            <w:right w:val="none" w:sz="0" w:space="0" w:color="auto"/>
          </w:divBdr>
          <w:divsChild>
            <w:div w:id="1382242180">
              <w:marLeft w:val="0"/>
              <w:marRight w:val="0"/>
              <w:marTop w:val="0"/>
              <w:marBottom w:val="0"/>
              <w:divBdr>
                <w:top w:val="none" w:sz="0" w:space="0" w:color="auto"/>
                <w:left w:val="none" w:sz="0" w:space="0" w:color="auto"/>
                <w:bottom w:val="none" w:sz="0" w:space="0" w:color="auto"/>
                <w:right w:val="none" w:sz="0" w:space="0" w:color="auto"/>
              </w:divBdr>
            </w:div>
            <w:div w:id="2062240602">
              <w:marLeft w:val="0"/>
              <w:marRight w:val="0"/>
              <w:marTop w:val="0"/>
              <w:marBottom w:val="0"/>
              <w:divBdr>
                <w:top w:val="none" w:sz="0" w:space="0" w:color="auto"/>
                <w:left w:val="none" w:sz="0" w:space="0" w:color="auto"/>
                <w:bottom w:val="none" w:sz="0" w:space="0" w:color="auto"/>
                <w:right w:val="none" w:sz="0" w:space="0" w:color="auto"/>
              </w:divBdr>
            </w:div>
            <w:div w:id="12286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29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3071">
          <w:marLeft w:val="0"/>
          <w:marRight w:val="0"/>
          <w:marTop w:val="0"/>
          <w:marBottom w:val="0"/>
          <w:divBdr>
            <w:top w:val="none" w:sz="0" w:space="0" w:color="auto"/>
            <w:left w:val="none" w:sz="0" w:space="0" w:color="auto"/>
            <w:bottom w:val="none" w:sz="0" w:space="0" w:color="auto"/>
            <w:right w:val="none" w:sz="0" w:space="0" w:color="auto"/>
          </w:divBdr>
          <w:divsChild>
            <w:div w:id="1098063233">
              <w:marLeft w:val="0"/>
              <w:marRight w:val="0"/>
              <w:marTop w:val="0"/>
              <w:marBottom w:val="0"/>
              <w:divBdr>
                <w:top w:val="none" w:sz="0" w:space="0" w:color="auto"/>
                <w:left w:val="none" w:sz="0" w:space="0" w:color="auto"/>
                <w:bottom w:val="none" w:sz="0" w:space="0" w:color="auto"/>
                <w:right w:val="none" w:sz="0" w:space="0" w:color="auto"/>
              </w:divBdr>
            </w:div>
            <w:div w:id="2065718625">
              <w:marLeft w:val="0"/>
              <w:marRight w:val="0"/>
              <w:marTop w:val="0"/>
              <w:marBottom w:val="0"/>
              <w:divBdr>
                <w:top w:val="none" w:sz="0" w:space="0" w:color="auto"/>
                <w:left w:val="none" w:sz="0" w:space="0" w:color="auto"/>
                <w:bottom w:val="none" w:sz="0" w:space="0" w:color="auto"/>
                <w:right w:val="none" w:sz="0" w:space="0" w:color="auto"/>
              </w:divBdr>
            </w:div>
            <w:div w:id="1896895437">
              <w:marLeft w:val="0"/>
              <w:marRight w:val="0"/>
              <w:marTop w:val="0"/>
              <w:marBottom w:val="0"/>
              <w:divBdr>
                <w:top w:val="none" w:sz="0" w:space="0" w:color="auto"/>
                <w:left w:val="none" w:sz="0" w:space="0" w:color="auto"/>
                <w:bottom w:val="none" w:sz="0" w:space="0" w:color="auto"/>
                <w:right w:val="none" w:sz="0" w:space="0" w:color="auto"/>
              </w:divBdr>
            </w:div>
            <w:div w:id="168641947">
              <w:marLeft w:val="0"/>
              <w:marRight w:val="0"/>
              <w:marTop w:val="0"/>
              <w:marBottom w:val="0"/>
              <w:divBdr>
                <w:top w:val="none" w:sz="0" w:space="0" w:color="auto"/>
                <w:left w:val="none" w:sz="0" w:space="0" w:color="auto"/>
                <w:bottom w:val="none" w:sz="0" w:space="0" w:color="auto"/>
                <w:right w:val="none" w:sz="0" w:space="0" w:color="auto"/>
              </w:divBdr>
            </w:div>
            <w:div w:id="15880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851">
      <w:bodyDiv w:val="1"/>
      <w:marLeft w:val="0"/>
      <w:marRight w:val="0"/>
      <w:marTop w:val="0"/>
      <w:marBottom w:val="0"/>
      <w:divBdr>
        <w:top w:val="none" w:sz="0" w:space="0" w:color="auto"/>
        <w:left w:val="none" w:sz="0" w:space="0" w:color="auto"/>
        <w:bottom w:val="none" w:sz="0" w:space="0" w:color="auto"/>
        <w:right w:val="none" w:sz="0" w:space="0" w:color="auto"/>
      </w:divBdr>
      <w:divsChild>
        <w:div w:id="1869559376">
          <w:marLeft w:val="0"/>
          <w:marRight w:val="0"/>
          <w:marTop w:val="0"/>
          <w:marBottom w:val="0"/>
          <w:divBdr>
            <w:top w:val="none" w:sz="0" w:space="0" w:color="auto"/>
            <w:left w:val="none" w:sz="0" w:space="0" w:color="auto"/>
            <w:bottom w:val="none" w:sz="0" w:space="0" w:color="auto"/>
            <w:right w:val="none" w:sz="0" w:space="0" w:color="auto"/>
          </w:divBdr>
          <w:divsChild>
            <w:div w:id="43019431">
              <w:marLeft w:val="0"/>
              <w:marRight w:val="0"/>
              <w:marTop w:val="0"/>
              <w:marBottom w:val="0"/>
              <w:divBdr>
                <w:top w:val="none" w:sz="0" w:space="0" w:color="auto"/>
                <w:left w:val="none" w:sz="0" w:space="0" w:color="auto"/>
                <w:bottom w:val="none" w:sz="0" w:space="0" w:color="auto"/>
                <w:right w:val="none" w:sz="0" w:space="0" w:color="auto"/>
              </w:divBdr>
            </w:div>
            <w:div w:id="2053995893">
              <w:marLeft w:val="0"/>
              <w:marRight w:val="0"/>
              <w:marTop w:val="0"/>
              <w:marBottom w:val="0"/>
              <w:divBdr>
                <w:top w:val="none" w:sz="0" w:space="0" w:color="auto"/>
                <w:left w:val="none" w:sz="0" w:space="0" w:color="auto"/>
                <w:bottom w:val="none" w:sz="0" w:space="0" w:color="auto"/>
                <w:right w:val="none" w:sz="0" w:space="0" w:color="auto"/>
              </w:divBdr>
            </w:div>
            <w:div w:id="7528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6731">
      <w:bodyDiv w:val="1"/>
      <w:marLeft w:val="0"/>
      <w:marRight w:val="0"/>
      <w:marTop w:val="0"/>
      <w:marBottom w:val="0"/>
      <w:divBdr>
        <w:top w:val="none" w:sz="0" w:space="0" w:color="auto"/>
        <w:left w:val="none" w:sz="0" w:space="0" w:color="auto"/>
        <w:bottom w:val="none" w:sz="0" w:space="0" w:color="auto"/>
        <w:right w:val="none" w:sz="0" w:space="0" w:color="auto"/>
      </w:divBdr>
      <w:divsChild>
        <w:div w:id="944772720">
          <w:marLeft w:val="0"/>
          <w:marRight w:val="0"/>
          <w:marTop w:val="0"/>
          <w:marBottom w:val="0"/>
          <w:divBdr>
            <w:top w:val="none" w:sz="0" w:space="0" w:color="auto"/>
            <w:left w:val="none" w:sz="0" w:space="0" w:color="auto"/>
            <w:bottom w:val="none" w:sz="0" w:space="0" w:color="auto"/>
            <w:right w:val="none" w:sz="0" w:space="0" w:color="auto"/>
          </w:divBdr>
          <w:divsChild>
            <w:div w:id="2124953633">
              <w:marLeft w:val="0"/>
              <w:marRight w:val="0"/>
              <w:marTop w:val="0"/>
              <w:marBottom w:val="0"/>
              <w:divBdr>
                <w:top w:val="none" w:sz="0" w:space="0" w:color="auto"/>
                <w:left w:val="none" w:sz="0" w:space="0" w:color="auto"/>
                <w:bottom w:val="none" w:sz="0" w:space="0" w:color="auto"/>
                <w:right w:val="none" w:sz="0" w:space="0" w:color="auto"/>
              </w:divBdr>
            </w:div>
            <w:div w:id="1342195137">
              <w:marLeft w:val="0"/>
              <w:marRight w:val="0"/>
              <w:marTop w:val="0"/>
              <w:marBottom w:val="0"/>
              <w:divBdr>
                <w:top w:val="none" w:sz="0" w:space="0" w:color="auto"/>
                <w:left w:val="none" w:sz="0" w:space="0" w:color="auto"/>
                <w:bottom w:val="none" w:sz="0" w:space="0" w:color="auto"/>
                <w:right w:val="none" w:sz="0" w:space="0" w:color="auto"/>
              </w:divBdr>
            </w:div>
            <w:div w:id="323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644">
      <w:bodyDiv w:val="1"/>
      <w:marLeft w:val="0"/>
      <w:marRight w:val="0"/>
      <w:marTop w:val="0"/>
      <w:marBottom w:val="0"/>
      <w:divBdr>
        <w:top w:val="none" w:sz="0" w:space="0" w:color="auto"/>
        <w:left w:val="none" w:sz="0" w:space="0" w:color="auto"/>
        <w:bottom w:val="none" w:sz="0" w:space="0" w:color="auto"/>
        <w:right w:val="none" w:sz="0" w:space="0" w:color="auto"/>
      </w:divBdr>
      <w:divsChild>
        <w:div w:id="120929190">
          <w:marLeft w:val="0"/>
          <w:marRight w:val="0"/>
          <w:marTop w:val="0"/>
          <w:marBottom w:val="0"/>
          <w:divBdr>
            <w:top w:val="none" w:sz="0" w:space="0" w:color="auto"/>
            <w:left w:val="none" w:sz="0" w:space="0" w:color="auto"/>
            <w:bottom w:val="none" w:sz="0" w:space="0" w:color="auto"/>
            <w:right w:val="none" w:sz="0" w:space="0" w:color="auto"/>
          </w:divBdr>
          <w:divsChild>
            <w:div w:id="862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Health-and-Safety/Community-Crime-and-Disorder-Map-to-be-archived-/hhjd-wzc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3141</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 Nakamura</dc:creator>
  <cp:keywords/>
  <dc:description/>
  <cp:lastModifiedBy>Kwong, Aaron</cp:lastModifiedBy>
  <cp:revision>103</cp:revision>
  <dcterms:created xsi:type="dcterms:W3CDTF">2019-09-24T05:11:00Z</dcterms:created>
  <dcterms:modified xsi:type="dcterms:W3CDTF">2021-02-01T20:14:00Z</dcterms:modified>
</cp:coreProperties>
</file>