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10C5F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MANUAL TÉCNICO – PROYECTO INTEGRADOR FAST BURGER</w:t>
      </w:r>
    </w:p>
    <w:p w14:paraId="4DF2A6AF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Este manual amplía la documentación técnica del proyecto Fast Burger. El proceso de venta de hamburguesas fue representado mediante BPMN en Bizagi Modeler, Camunda Modeler y Bonita Studio, conservando la misma lógica de negocio para facilitar su comparación y validación.</w:t>
      </w:r>
    </w:p>
    <w:p w14:paraId="0225C74E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Introducción</w:t>
      </w:r>
    </w:p>
    <w:p w14:paraId="1D29DB15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El proyecto representa un proceso completo de atención y venta de hamburguesas. El flujo inicia con la solicitud del menú, continúa con la toma y registro del pedido, la confirmación o modificación, la verificación de ingredientes, la preparación, el cálculo del total, el cobro y la entrega. Las tres herramientas deben conservar esta misma lógica. </w:t>
      </w:r>
    </w:p>
    <w:p w14:paraId="71C13BF4">
      <w:pPr>
        <w:pStyle w:val="3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1.1 Alcance técnico</w:t>
      </w:r>
    </w:p>
    <w:p w14:paraId="1A84EBD8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alcance comprende el modelado de las actividades, participantes, flujos, eventos y tres compuertas de decisión. También se considera la relación entre el modelo BPMN y el programa Java que implementa la lógica principal.</w:t>
      </w:r>
    </w:p>
    <w:p w14:paraId="16368A49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Participantes y responsabilidades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2583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shd w:val="clear" w:color="auto" w:fill="D9EAF7"/>
          </w:tcPr>
          <w:p w14:paraId="1F363F7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Carril</w:t>
            </w:r>
          </w:p>
        </w:tc>
        <w:tc>
          <w:tcPr>
            <w:tcW w:w="3264" w:type="dxa"/>
            <w:shd w:val="clear" w:color="auto" w:fill="D9EAF7"/>
          </w:tcPr>
          <w:p w14:paraId="25EADE9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3264" w:type="dxa"/>
            <w:shd w:val="clear" w:color="auto" w:fill="D9EAF7"/>
          </w:tcPr>
          <w:p w14:paraId="228A94DA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Funciones</w:t>
            </w:r>
          </w:p>
        </w:tc>
      </w:tr>
      <w:tr w14:paraId="02F0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067FEE1E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Cliente</w:t>
            </w:r>
          </w:p>
        </w:tc>
        <w:tc>
          <w:tcPr>
            <w:tcW w:w="3264" w:type="dxa"/>
          </w:tcPr>
          <w:p w14:paraId="7A8A2A85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Cliente</w:t>
            </w:r>
          </w:p>
        </w:tc>
        <w:tc>
          <w:tcPr>
            <w:tcW w:w="3264" w:type="dxa"/>
          </w:tcPr>
          <w:p w14:paraId="0BD82629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Solicitar menú, confirmar o modificar pedido, realizar pago y recibir pedido.</w:t>
            </w:r>
          </w:p>
        </w:tc>
      </w:tr>
      <w:tr w14:paraId="699D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2ACACE5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Empleado / Cajero</w:t>
            </w:r>
          </w:p>
        </w:tc>
        <w:tc>
          <w:tcPr>
            <w:tcW w:w="3264" w:type="dxa"/>
          </w:tcPr>
          <w:p w14:paraId="76B95B6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Empleado</w:t>
            </w:r>
          </w:p>
        </w:tc>
        <w:tc>
          <w:tcPr>
            <w:tcW w:w="3264" w:type="dxa"/>
          </w:tcPr>
          <w:p w14:paraId="26DC753B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Mostrar menú, tomar y registrar pedido, ofrecer alternativas, calcular total y cobrar.</w:t>
            </w:r>
          </w:p>
        </w:tc>
      </w:tr>
      <w:tr w14:paraId="5EB4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065952C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Cocina</w:t>
            </w:r>
          </w:p>
        </w:tc>
        <w:tc>
          <w:tcPr>
            <w:tcW w:w="3264" w:type="dxa"/>
          </w:tcPr>
          <w:p w14:paraId="39A4012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Personal de cocina</w:t>
            </w:r>
          </w:p>
        </w:tc>
        <w:tc>
          <w:tcPr>
            <w:tcW w:w="3264" w:type="dxa"/>
          </w:tcPr>
          <w:p w14:paraId="2FDD195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Verificar ingredientes y preparar el pedido.</w:t>
            </w:r>
          </w:p>
        </w:tc>
      </w:tr>
    </w:tbl>
    <w:p w14:paraId="610C732F">
      <w:pPr>
        <w:spacing w:line="360" w:lineRule="auto"/>
        <w:jc w:val="both"/>
        <w:rPr>
          <w:rFonts w:hint="default" w:ascii="Arial" w:hAnsi="Arial" w:cs="Arial"/>
        </w:rPr>
      </w:pPr>
    </w:p>
    <w:p w14:paraId="7D08A2BE">
      <w:pPr>
        <w:spacing w:after="12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Los tres carriles y sus responsabilidades corresponden a la estructura del proceso definida en el manual técnico original. </w:t>
      </w:r>
    </w:p>
    <w:p w14:paraId="247C2266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Elementos BPMN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4CCE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shd w:val="clear" w:color="auto" w:fill="D9EAF7"/>
          </w:tcPr>
          <w:p w14:paraId="264AEFC8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Elemento</w:t>
            </w:r>
          </w:p>
        </w:tc>
        <w:tc>
          <w:tcPr>
            <w:tcW w:w="3264" w:type="dxa"/>
            <w:shd w:val="clear" w:color="auto" w:fill="D9EAF7"/>
          </w:tcPr>
          <w:p w14:paraId="587574C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Función</w:t>
            </w:r>
          </w:p>
        </w:tc>
        <w:tc>
          <w:tcPr>
            <w:tcW w:w="3264" w:type="dxa"/>
            <w:shd w:val="clear" w:color="auto" w:fill="D9EAF7"/>
          </w:tcPr>
          <w:p w14:paraId="0E66FB1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Ejemplo en Fast Burger</w:t>
            </w:r>
          </w:p>
        </w:tc>
      </w:tr>
      <w:tr w14:paraId="2A3B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61081B34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Evento de inicio</w:t>
            </w:r>
          </w:p>
        </w:tc>
        <w:tc>
          <w:tcPr>
            <w:tcW w:w="3264" w:type="dxa"/>
          </w:tcPr>
          <w:p w14:paraId="71C148B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Indica el comienzo.</w:t>
            </w:r>
          </w:p>
        </w:tc>
        <w:tc>
          <w:tcPr>
            <w:tcW w:w="3264" w:type="dxa"/>
          </w:tcPr>
          <w:p w14:paraId="55BCE2AD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Inicio</w:t>
            </w:r>
          </w:p>
        </w:tc>
      </w:tr>
      <w:tr w14:paraId="01024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7A53D05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Tarea</w:t>
            </w:r>
          </w:p>
        </w:tc>
        <w:tc>
          <w:tcPr>
            <w:tcW w:w="3264" w:type="dxa"/>
          </w:tcPr>
          <w:p w14:paraId="5285E2C5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Representa una acción.</w:t>
            </w:r>
          </w:p>
        </w:tc>
        <w:tc>
          <w:tcPr>
            <w:tcW w:w="3264" w:type="dxa"/>
          </w:tcPr>
          <w:p w14:paraId="5923A8EE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Tomar pedido</w:t>
            </w:r>
          </w:p>
        </w:tc>
      </w:tr>
      <w:tr w14:paraId="4A1A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74FC53D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Compuerta XOR</w:t>
            </w:r>
          </w:p>
        </w:tc>
        <w:tc>
          <w:tcPr>
            <w:tcW w:w="3264" w:type="dxa"/>
          </w:tcPr>
          <w:p w14:paraId="3EF67CA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Selecciona una ruta según una condición.</w:t>
            </w:r>
          </w:p>
        </w:tc>
        <w:tc>
          <w:tcPr>
            <w:tcW w:w="3264" w:type="dxa"/>
          </w:tcPr>
          <w:p w14:paraId="2C2D89CF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¿Cliente confirma?</w:t>
            </w:r>
          </w:p>
        </w:tc>
      </w:tr>
      <w:tr w14:paraId="0547D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426AE99A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Flujo de secuencia</w:t>
            </w:r>
          </w:p>
        </w:tc>
        <w:tc>
          <w:tcPr>
            <w:tcW w:w="3264" w:type="dxa"/>
          </w:tcPr>
          <w:p w14:paraId="3C9E610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Indica el orden.</w:t>
            </w:r>
          </w:p>
        </w:tc>
        <w:tc>
          <w:tcPr>
            <w:tcW w:w="3264" w:type="dxa"/>
          </w:tcPr>
          <w:p w14:paraId="3F2E802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Registrar → Confirmar</w:t>
            </w:r>
          </w:p>
        </w:tc>
      </w:tr>
      <w:tr w14:paraId="198C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4CBE6638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Evento de fin</w:t>
            </w:r>
          </w:p>
        </w:tc>
        <w:tc>
          <w:tcPr>
            <w:tcW w:w="3264" w:type="dxa"/>
          </w:tcPr>
          <w:p w14:paraId="5DD07FD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Indica la terminación.</w:t>
            </w:r>
          </w:p>
        </w:tc>
        <w:tc>
          <w:tcPr>
            <w:tcW w:w="3264" w:type="dxa"/>
          </w:tcPr>
          <w:p w14:paraId="7C35180B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Fin</w:t>
            </w:r>
          </w:p>
        </w:tc>
      </w:tr>
      <w:tr w14:paraId="39304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50474EA9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Carril</w:t>
            </w:r>
          </w:p>
        </w:tc>
        <w:tc>
          <w:tcPr>
            <w:tcW w:w="3264" w:type="dxa"/>
          </w:tcPr>
          <w:p w14:paraId="4B5D90F9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Organiza responsabilidades.</w:t>
            </w:r>
          </w:p>
        </w:tc>
        <w:tc>
          <w:tcPr>
            <w:tcW w:w="3264" w:type="dxa"/>
          </w:tcPr>
          <w:p w14:paraId="34440739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Cliente, Cajero, Cocina</w:t>
            </w:r>
          </w:p>
        </w:tc>
      </w:tr>
    </w:tbl>
    <w:p w14:paraId="70E66A27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5691BB52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Estos elementos son los utilizados para estructurar técnicamente los tres diagramas. </w:t>
      </w:r>
    </w:p>
    <w:p w14:paraId="5C2B683A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Compuertas del proceso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5538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shd w:val="clear" w:color="auto" w:fill="D9EAF7"/>
          </w:tcPr>
          <w:p w14:paraId="5D57D01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Compuerta</w:t>
            </w:r>
          </w:p>
        </w:tc>
        <w:tc>
          <w:tcPr>
            <w:tcW w:w="3264" w:type="dxa"/>
            <w:shd w:val="clear" w:color="auto" w:fill="D9EAF7"/>
          </w:tcPr>
          <w:p w14:paraId="028CF30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3264" w:type="dxa"/>
            <w:shd w:val="clear" w:color="auto" w:fill="D9EAF7"/>
          </w:tcPr>
          <w:p w14:paraId="70B83CCA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No</w:t>
            </w:r>
          </w:p>
        </w:tc>
      </w:tr>
      <w:tr w14:paraId="535C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452699BB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¿Cliente confirma?</w:t>
            </w:r>
          </w:p>
        </w:tc>
        <w:tc>
          <w:tcPr>
            <w:tcW w:w="3264" w:type="dxa"/>
          </w:tcPr>
          <w:p w14:paraId="7C74E92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Verificar ingredientes</w:t>
            </w:r>
          </w:p>
        </w:tc>
        <w:tc>
          <w:tcPr>
            <w:tcW w:w="3264" w:type="dxa"/>
          </w:tcPr>
          <w:p w14:paraId="33553C8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Modificar pedido y volver a confirmar</w:t>
            </w:r>
          </w:p>
        </w:tc>
      </w:tr>
      <w:tr w14:paraId="4750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7E7AF2EB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¿Hay ingredientes?</w:t>
            </w:r>
          </w:p>
        </w:tc>
        <w:tc>
          <w:tcPr>
            <w:tcW w:w="3264" w:type="dxa"/>
          </w:tcPr>
          <w:p w14:paraId="63FA3E9C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Preparar pedido</w:t>
            </w:r>
          </w:p>
        </w:tc>
        <w:tc>
          <w:tcPr>
            <w:tcW w:w="3264" w:type="dxa"/>
          </w:tcPr>
          <w:p w14:paraId="1CCA350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Ofrecer alternativa</w:t>
            </w:r>
          </w:p>
        </w:tc>
      </w:tr>
      <w:tr w14:paraId="0950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49262B9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¿Pago aprobado?</w:t>
            </w:r>
          </w:p>
        </w:tc>
        <w:tc>
          <w:tcPr>
            <w:tcW w:w="3264" w:type="dxa"/>
          </w:tcPr>
          <w:p w14:paraId="2F6A54A8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Entregar pedido</w:t>
            </w:r>
          </w:p>
        </w:tc>
        <w:tc>
          <w:tcPr>
            <w:tcW w:w="3264" w:type="dxa"/>
          </w:tcPr>
          <w:p w14:paraId="78AF10D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Solicitar otro método y realizar nuevamente el pago</w:t>
            </w:r>
          </w:p>
        </w:tc>
      </w:tr>
    </w:tbl>
    <w:p w14:paraId="4EE1B475">
      <w:pPr>
        <w:spacing w:line="360" w:lineRule="auto"/>
        <w:jc w:val="both"/>
        <w:rPr>
          <w:rFonts w:hint="default" w:ascii="Arial" w:hAnsi="Arial" w:cs="Arial"/>
        </w:rPr>
      </w:pPr>
    </w:p>
    <w:p w14:paraId="392D8A7C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Las tres compuertas representan las decisiones principales del proceso. </w:t>
      </w:r>
    </w:p>
    <w:p w14:paraId="7334758E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00E4AAD1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769F6AEB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60F5A835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5E0EB198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7536FAC0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21964152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Secuencia técnica completa</w:t>
      </w:r>
    </w:p>
    <w:p w14:paraId="66B1B028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Inicio</w:t>
      </w:r>
    </w:p>
    <w:p w14:paraId="4129DA15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Cliente solicita menú</w:t>
      </w:r>
    </w:p>
    <w:p w14:paraId="0C3C0D7A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Empleado/Cajero muestra menú</w:t>
      </w:r>
    </w:p>
    <w:p w14:paraId="10B11BB9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Cliente toma pedido</w:t>
      </w:r>
    </w:p>
    <w:p w14:paraId="0D55862E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Empleado/Cajero registra pedido</w:t>
      </w:r>
    </w:p>
    <w:p w14:paraId="69656236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Cliente confirma pedido</w:t>
      </w:r>
    </w:p>
    <w:p w14:paraId="1920DD36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G1: confirmar o modificar</w:t>
      </w:r>
    </w:p>
    <w:p w14:paraId="1D2B88D5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Cocina verifica ingredientes</w:t>
      </w:r>
    </w:p>
    <w:p w14:paraId="3FB7CDF1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G2: disponibilidad</w:t>
      </w:r>
    </w:p>
    <w:p w14:paraId="6603D726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Preparar pedido u ofrecer alternativa</w:t>
      </w:r>
    </w:p>
    <w:p w14:paraId="5FB20200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Calcular total</w:t>
      </w:r>
    </w:p>
    <w:p w14:paraId="4493A9CD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Cobrar pedido</w:t>
      </w:r>
    </w:p>
    <w:p w14:paraId="05664424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Cliente realiza pago</w:t>
      </w:r>
    </w:p>
    <w:p w14:paraId="1DAEC9C7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G3: pago aprobado o solicitar otro método</w:t>
      </w:r>
    </w:p>
    <w:p w14:paraId="4D1617D6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Entregar pedido</w:t>
      </w:r>
    </w:p>
    <w:p w14:paraId="15BD83F0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Cliente recibe pedido</w:t>
      </w:r>
    </w:p>
    <w:p w14:paraId="309D4C60">
      <w:pPr>
        <w:pStyle w:val="25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Fin</w:t>
      </w:r>
    </w:p>
    <w:p w14:paraId="5802E2A9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secuencia completa está definida en el manual técnico original y permite comprobar que el flujo no pierde actividades entre el inicio y el fin. </w:t>
      </w:r>
    </w:p>
    <w:p w14:paraId="0EDAF3D0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Procedimiento técnico en Bizagi Modeler</w:t>
      </w:r>
    </w:p>
    <w:p w14:paraId="33DC24C4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Bizagi Modeler y cargar el proceso Fast Burger.</w:t>
      </w:r>
    </w:p>
    <w:p w14:paraId="6B03240E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Verificar los tres carriles.</w:t>
      </w:r>
    </w:p>
    <w:p w14:paraId="34CD237C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evento de inicio, actividades y evento final.</w:t>
      </w:r>
    </w:p>
    <w:p w14:paraId="06F8980E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Comprobar conexiones.</w:t>
      </w:r>
    </w:p>
    <w:p w14:paraId="018A6A93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las tres compuertas y sus rutas.</w:t>
      </w:r>
    </w:p>
    <w:p w14:paraId="46A38A7C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Verificar que el flujo sea legible y lógico.</w:t>
      </w:r>
    </w:p>
    <w:p w14:paraId="2976934F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Ejecutar las pruebas de simulación cuando el modelo esté terminado.</w:t>
      </w:r>
    </w:p>
    <w:p w14:paraId="09F08F80">
      <w:pPr>
        <w:spacing w:after="12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Bizagi se utiliza para construir y visualizar el proceso BPMN mediante una interfaz gráfica; el proyecto mantiene tres carriles y las tareas y compuertas del flujo.</w:t>
      </w:r>
      <w:r>
        <w:rPr>
          <w:rFonts w:hint="default" w:ascii="Arial" w:hAnsi="Arial" w:cs="Arial"/>
        </w:rPr>
        <w:t xml:space="preserve"> </w:t>
      </w:r>
    </w:p>
    <w:p w14:paraId="2A55E5EB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Procedimiento técnico en Camunda Modeler</w:t>
      </w:r>
    </w:p>
    <w:p w14:paraId="65980FCF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Camunda Modeler.</w:t>
      </w:r>
    </w:p>
    <w:p w14:paraId="46DCEF5C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el archivo BPMN.</w:t>
      </w:r>
    </w:p>
    <w:p w14:paraId="447A5B5E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Comprobar participantes y actividades.</w:t>
      </w:r>
    </w:p>
    <w:p w14:paraId="467A1E11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flujos de secuencia.</w:t>
      </w:r>
    </w:p>
    <w:p w14:paraId="6C476564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Comprobar las tres decisiones.</w:t>
      </w:r>
    </w:p>
    <w:p w14:paraId="0A77311B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Comparar la lógica con Bizagi.</w:t>
      </w:r>
    </w:p>
    <w:p w14:paraId="30E65712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versión de Camunda mantiene los mismos participantes, actividades y decisiones para asegurar equivalencia con Bizagi. </w:t>
      </w:r>
    </w:p>
    <w:p w14:paraId="411D8CC7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Procedimiento técnico en Bonita Studio</w:t>
      </w:r>
    </w:p>
    <w:p w14:paraId="219370AE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Abrir Bonita Studio.</w:t>
      </w:r>
    </w:p>
    <w:p w14:paraId="3BF0CA5E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Cargar el proceso Fast Burger.</w:t>
      </w:r>
    </w:p>
    <w:p w14:paraId="0AC7D5A5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Identificar los tres carriles.</w:t>
      </w:r>
    </w:p>
    <w:p w14:paraId="3D544786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actividades y conexiones.</w:t>
      </w:r>
    </w:p>
    <w:p w14:paraId="7BF76505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Comprobar las tres compuertas.</w:t>
      </w:r>
    </w:p>
    <w:p w14:paraId="2576D432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Verificar que la secuencia mantenga el mismo significado.</w:t>
      </w:r>
    </w:p>
    <w:p w14:paraId="455F6248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Bonita conserva los tres carriles y las tres compuertas principales; algunos nombres pueden visualizarse ajustados por la interfaz, pero la lógica debe mantenerse. </w:t>
      </w:r>
    </w:p>
    <w:p w14:paraId="6B7613F5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9. Regl</w:t>
      </w:r>
      <w:r>
        <w:rPr>
          <w:rFonts w:hint="default" w:ascii="Arial" w:hAnsi="Arial" w:cs="Arial"/>
        </w:rPr>
        <w:t>as de modelado y control de calidad</w:t>
      </w:r>
    </w:p>
    <w:p w14:paraId="0CAB702C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Iniciar y terminar correctamente el proceso.</w:t>
      </w:r>
    </w:p>
    <w:p w14:paraId="4DC8C19F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Usar nombres claros para las tareas.</w:t>
      </w:r>
    </w:p>
    <w:p w14:paraId="1B22FCB8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Etiquetar las decisiones Sí/No.</w:t>
      </w:r>
    </w:p>
    <w:p w14:paraId="5793AE58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Mantener responsables separados por carriles.</w:t>
      </w:r>
    </w:p>
    <w:p w14:paraId="2E821636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Evitar actividades aisladas.</w:t>
      </w:r>
    </w:p>
    <w:p w14:paraId="705435E2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Conservar la misma lógica en las tres herramientas.</w:t>
      </w:r>
    </w:p>
    <w:p w14:paraId="6AB3E07F">
      <w:pPr>
        <w:pStyle w:val="29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la legibilidad antes de entregar.</w:t>
      </w:r>
    </w:p>
    <w:p w14:paraId="7D19F52E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Estas reglas coinciden con los criterios técnicos establecidos para el modelo. </w:t>
      </w:r>
    </w:p>
    <w:p w14:paraId="5ADD3A75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Relación BPMN–Java</w:t>
      </w:r>
    </w:p>
    <w:p w14:paraId="1094FC11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programa FastBurgerFinal implementa la lógica principal del BPMN mediante métodos, condicionales y ciclos. La disponibilidad de ingredientes y la aprobación del pago se simulan para permitir recorrer diferentes rutas. 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73102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shd w:val="clear" w:color="auto" w:fill="D9EAF7"/>
          </w:tcPr>
          <w:p w14:paraId="3F5C2BE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BPMN</w:t>
            </w:r>
          </w:p>
        </w:tc>
        <w:tc>
          <w:tcPr>
            <w:tcW w:w="3264" w:type="dxa"/>
            <w:shd w:val="clear" w:color="auto" w:fill="D9EAF7"/>
          </w:tcPr>
          <w:p w14:paraId="08E0AF1D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Java</w:t>
            </w:r>
          </w:p>
        </w:tc>
        <w:tc>
          <w:tcPr>
            <w:tcW w:w="3264" w:type="dxa"/>
            <w:shd w:val="clear" w:color="auto" w:fill="D9EAF7"/>
          </w:tcPr>
          <w:p w14:paraId="4C54430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Función</w:t>
            </w:r>
          </w:p>
        </w:tc>
      </w:tr>
      <w:tr w14:paraId="0221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5A2A79D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Solicitar / mostrar menú</w:t>
            </w:r>
          </w:p>
        </w:tc>
        <w:tc>
          <w:tcPr>
            <w:tcW w:w="3264" w:type="dxa"/>
          </w:tcPr>
          <w:p w14:paraId="6A125F2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mostrarMenu()</w:t>
            </w:r>
          </w:p>
        </w:tc>
        <w:tc>
          <w:tcPr>
            <w:tcW w:w="3264" w:type="dxa"/>
          </w:tcPr>
          <w:p w14:paraId="5D53A59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Presentar opciones.</w:t>
            </w:r>
          </w:p>
        </w:tc>
      </w:tr>
      <w:tr w14:paraId="172F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606BE5F8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Tomar y registrar pedido</w:t>
            </w:r>
          </w:p>
        </w:tc>
        <w:tc>
          <w:tcPr>
            <w:tcW w:w="3264" w:type="dxa"/>
          </w:tcPr>
          <w:p w14:paraId="0382D9EF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tomarPedido()</w:t>
            </w:r>
          </w:p>
        </w:tc>
        <w:tc>
          <w:tcPr>
            <w:tcW w:w="3264" w:type="dxa"/>
          </w:tcPr>
          <w:p w14:paraId="3E32942E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Registrar selección.</w:t>
            </w:r>
          </w:p>
        </w:tc>
      </w:tr>
      <w:tr w14:paraId="2668C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7C4455FD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¿Cliente confirma?</w:t>
            </w:r>
          </w:p>
        </w:tc>
        <w:tc>
          <w:tcPr>
            <w:tcW w:w="3264" w:type="dxa"/>
          </w:tcPr>
          <w:p w14:paraId="6448FD4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while + if</w:t>
            </w:r>
          </w:p>
        </w:tc>
        <w:tc>
          <w:tcPr>
            <w:tcW w:w="3264" w:type="dxa"/>
          </w:tcPr>
          <w:p w14:paraId="540E7E4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Controlar confirmación.</w:t>
            </w:r>
          </w:p>
        </w:tc>
      </w:tr>
      <w:tr w14:paraId="3218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6D7C8618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Modificar pedido</w:t>
            </w:r>
          </w:p>
        </w:tc>
        <w:tc>
          <w:tcPr>
            <w:tcW w:w="3264" w:type="dxa"/>
          </w:tcPr>
          <w:p w14:paraId="5267462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modificarPedido()</w:t>
            </w:r>
          </w:p>
        </w:tc>
        <w:tc>
          <w:tcPr>
            <w:tcW w:w="3264" w:type="dxa"/>
          </w:tcPr>
          <w:p w14:paraId="30264F1C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Cambiar selección.</w:t>
            </w:r>
          </w:p>
        </w:tc>
      </w:tr>
      <w:tr w14:paraId="391F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52D82F55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¿Hay ingredientes?</w:t>
            </w:r>
          </w:p>
        </w:tc>
        <w:tc>
          <w:tcPr>
            <w:tcW w:w="3264" w:type="dxa"/>
          </w:tcPr>
          <w:p w14:paraId="53A90858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hayIngredientes() + if</w:t>
            </w:r>
          </w:p>
        </w:tc>
        <w:tc>
          <w:tcPr>
            <w:tcW w:w="3264" w:type="dxa"/>
          </w:tcPr>
          <w:p w14:paraId="5B4171E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Determinar ruta.</w:t>
            </w:r>
          </w:p>
        </w:tc>
      </w:tr>
      <w:tr w14:paraId="75BF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308DBB5C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Ofrecer alternativa</w:t>
            </w:r>
          </w:p>
        </w:tc>
        <w:tc>
          <w:tcPr>
            <w:tcW w:w="3264" w:type="dxa"/>
          </w:tcPr>
          <w:p w14:paraId="5C47152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ofrecerAlternativa()</w:t>
            </w:r>
          </w:p>
        </w:tc>
        <w:tc>
          <w:tcPr>
            <w:tcW w:w="3264" w:type="dxa"/>
          </w:tcPr>
          <w:p w14:paraId="4671B3B5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Proponer opción.</w:t>
            </w:r>
          </w:p>
        </w:tc>
      </w:tr>
      <w:tr w14:paraId="5AC6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7D348944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Calcular total</w:t>
            </w:r>
          </w:p>
        </w:tc>
        <w:tc>
          <w:tcPr>
            <w:tcW w:w="3264" w:type="dxa"/>
          </w:tcPr>
          <w:p w14:paraId="6153AE1A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calcularTotal()</w:t>
            </w:r>
          </w:p>
        </w:tc>
        <w:tc>
          <w:tcPr>
            <w:tcW w:w="3264" w:type="dxa"/>
          </w:tcPr>
          <w:p w14:paraId="66E6962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Obtener importe.</w:t>
            </w:r>
          </w:p>
        </w:tc>
      </w:tr>
      <w:tr w14:paraId="39C6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5AAB6B55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¿Pago aprobado?</w:t>
            </w:r>
          </w:p>
        </w:tc>
        <w:tc>
          <w:tcPr>
            <w:tcW w:w="3264" w:type="dxa"/>
          </w:tcPr>
          <w:p w14:paraId="22FCD91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cobrarPedido() + while</w:t>
            </w:r>
          </w:p>
        </w:tc>
        <w:tc>
          <w:tcPr>
            <w:tcW w:w="3264" w:type="dxa"/>
          </w:tcPr>
          <w:p w14:paraId="21473DD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Repetir pago si es rechazado.</w:t>
            </w:r>
          </w:p>
        </w:tc>
      </w:tr>
      <w:tr w14:paraId="2D88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24F747D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Preparar pedido</w:t>
            </w:r>
          </w:p>
        </w:tc>
        <w:tc>
          <w:tcPr>
            <w:tcW w:w="3264" w:type="dxa"/>
          </w:tcPr>
          <w:p w14:paraId="671A1D1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prepararPedido()</w:t>
            </w:r>
          </w:p>
        </w:tc>
        <w:tc>
          <w:tcPr>
            <w:tcW w:w="3264" w:type="dxa"/>
          </w:tcPr>
          <w:p w14:paraId="070E18FC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Representar preparación.</w:t>
            </w:r>
          </w:p>
        </w:tc>
      </w:tr>
      <w:tr w14:paraId="141B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2D1521AD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Entregar pedido</w:t>
            </w:r>
          </w:p>
        </w:tc>
        <w:tc>
          <w:tcPr>
            <w:tcW w:w="3264" w:type="dxa"/>
          </w:tcPr>
          <w:p w14:paraId="289606C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entregarPedido()</w:t>
            </w:r>
          </w:p>
        </w:tc>
        <w:tc>
          <w:tcPr>
            <w:tcW w:w="3264" w:type="dxa"/>
          </w:tcPr>
          <w:p w14:paraId="50E97ACF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Simular entrega.</w:t>
            </w:r>
          </w:p>
        </w:tc>
      </w:tr>
    </w:tbl>
    <w:p w14:paraId="40537227">
      <w:pPr>
        <w:spacing w:line="360" w:lineRule="auto"/>
        <w:jc w:val="both"/>
        <w:rPr>
          <w:rFonts w:hint="default" w:ascii="Arial" w:hAnsi="Arial" w:cs="Arial"/>
        </w:rPr>
      </w:pPr>
    </w:p>
    <w:p w14:paraId="783DB304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Validación técnica</w:t>
      </w:r>
    </w:p>
    <w:p w14:paraId="204A4984">
      <w:pPr>
        <w:spacing w:after="12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 xml:space="preserve">La validación debe comprobar que las rutas de decisión puedan recorrerse y que el proceso llegue al evento de fin. Se consideran cuatro escenarios recomendados: pedido normal, modificación, falta de ingredientes y pago rechazado seguido de aprobación. </w:t>
      </w:r>
      <w:r>
        <w:rPr>
          <w:rFonts w:hint="default" w:ascii="Arial" w:hAnsi="Arial" w:cs="Arial"/>
        </w:rPr>
        <w:t>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2B40A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shd w:val="clear" w:color="auto" w:fill="D9EAF7"/>
          </w:tcPr>
          <w:p w14:paraId="3649609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3264" w:type="dxa"/>
            <w:shd w:val="clear" w:color="auto" w:fill="D9EAF7"/>
          </w:tcPr>
          <w:p w14:paraId="34D9264F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Qué comprueba</w:t>
            </w:r>
          </w:p>
        </w:tc>
        <w:tc>
          <w:tcPr>
            <w:tcW w:w="3264" w:type="dxa"/>
            <w:shd w:val="clear" w:color="auto" w:fill="D9EAF7"/>
          </w:tcPr>
          <w:p w14:paraId="10E533FE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Resultado esperado</w:t>
            </w:r>
          </w:p>
        </w:tc>
      </w:tr>
      <w:tr w14:paraId="6578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4DCF4EC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Pedido normal</w:t>
            </w:r>
          </w:p>
        </w:tc>
        <w:tc>
          <w:tcPr>
            <w:tcW w:w="3264" w:type="dxa"/>
          </w:tcPr>
          <w:p w14:paraId="3824A31F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Flujo principal</w:t>
            </w:r>
          </w:p>
        </w:tc>
        <w:tc>
          <w:tcPr>
            <w:tcW w:w="3264" w:type="dxa"/>
          </w:tcPr>
          <w:p w14:paraId="377F93F8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Llegar a entrega y fin.</w:t>
            </w:r>
          </w:p>
        </w:tc>
      </w:tr>
      <w:tr w14:paraId="6D2D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7C06CFAA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Modificar pedido</w:t>
            </w:r>
          </w:p>
        </w:tc>
        <w:tc>
          <w:tcPr>
            <w:tcW w:w="3264" w:type="dxa"/>
          </w:tcPr>
          <w:p w14:paraId="47664605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G1</w:t>
            </w:r>
          </w:p>
        </w:tc>
        <w:tc>
          <w:tcPr>
            <w:tcW w:w="3264" w:type="dxa"/>
          </w:tcPr>
          <w:p w14:paraId="028FAAB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Regresar a modificación y continuar.</w:t>
            </w:r>
          </w:p>
        </w:tc>
      </w:tr>
      <w:tr w14:paraId="05CB8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398D469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Sin ingredientes</w:t>
            </w:r>
          </w:p>
        </w:tc>
        <w:tc>
          <w:tcPr>
            <w:tcW w:w="3264" w:type="dxa"/>
          </w:tcPr>
          <w:p w14:paraId="638797CF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G2</w:t>
            </w:r>
          </w:p>
        </w:tc>
        <w:tc>
          <w:tcPr>
            <w:tcW w:w="3264" w:type="dxa"/>
          </w:tcPr>
          <w:p w14:paraId="1E23279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Ofrecer alternativa.</w:t>
            </w:r>
          </w:p>
        </w:tc>
      </w:tr>
      <w:tr w14:paraId="69DB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26CAEFC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Pago rechazado</w:t>
            </w:r>
          </w:p>
        </w:tc>
        <w:tc>
          <w:tcPr>
            <w:tcW w:w="3264" w:type="dxa"/>
          </w:tcPr>
          <w:p w14:paraId="722D946E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G3</w:t>
            </w:r>
          </w:p>
        </w:tc>
        <w:tc>
          <w:tcPr>
            <w:tcW w:w="3264" w:type="dxa"/>
          </w:tcPr>
          <w:p w14:paraId="35AB3F5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Solicitar otro método y continuar al aprobar.</w:t>
            </w:r>
          </w:p>
        </w:tc>
      </w:tr>
    </w:tbl>
    <w:p w14:paraId="2212F087">
      <w:pPr>
        <w:spacing w:line="360" w:lineRule="auto"/>
        <w:jc w:val="both"/>
        <w:rPr>
          <w:rFonts w:hint="default" w:ascii="Arial" w:hAnsi="Arial" w:cs="Arial"/>
        </w:rPr>
      </w:pPr>
    </w:p>
    <w:p w14:paraId="7EB24B15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Cuadro comparativo técnico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2396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</w:tcPr>
          <w:p w14:paraId="3587CCA9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448" w:type="dxa"/>
            <w:shd w:val="clear" w:color="auto" w:fill="D9EAF7"/>
          </w:tcPr>
          <w:p w14:paraId="6FCA8C5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Camunda</w:t>
            </w:r>
          </w:p>
        </w:tc>
        <w:tc>
          <w:tcPr>
            <w:tcW w:w="2448" w:type="dxa"/>
            <w:shd w:val="clear" w:color="auto" w:fill="D9EAF7"/>
          </w:tcPr>
          <w:p w14:paraId="2269ADF4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Bizagi</w:t>
            </w:r>
          </w:p>
        </w:tc>
        <w:tc>
          <w:tcPr>
            <w:tcW w:w="2448" w:type="dxa"/>
            <w:shd w:val="clear" w:color="auto" w:fill="D9EAF7"/>
          </w:tcPr>
          <w:p w14:paraId="02388D6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Bonita</w:t>
            </w:r>
          </w:p>
        </w:tc>
      </w:tr>
      <w:tr w14:paraId="6204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471F2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Modelado BPMN</w:t>
            </w:r>
          </w:p>
        </w:tc>
        <w:tc>
          <w:tcPr>
            <w:tcW w:w="2448" w:type="dxa"/>
          </w:tcPr>
          <w:p w14:paraId="464D167E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Sí, según evidencia del proyecto</w:t>
            </w:r>
          </w:p>
        </w:tc>
        <w:tc>
          <w:tcPr>
            <w:tcW w:w="2448" w:type="dxa"/>
          </w:tcPr>
          <w:p w14:paraId="51265D6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48" w:type="dxa"/>
          </w:tcPr>
          <w:p w14:paraId="3080B143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Sí</w:t>
            </w:r>
          </w:p>
        </w:tc>
      </w:tr>
      <w:tr w14:paraId="7B9D4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A4D5D89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Participantes/carriles</w:t>
            </w:r>
          </w:p>
        </w:tc>
        <w:tc>
          <w:tcPr>
            <w:tcW w:w="2448" w:type="dxa"/>
          </w:tcPr>
          <w:p w14:paraId="1C4AED4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Conservados</w:t>
            </w:r>
          </w:p>
        </w:tc>
        <w:tc>
          <w:tcPr>
            <w:tcW w:w="2448" w:type="dxa"/>
          </w:tcPr>
          <w:p w14:paraId="697C3B5F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Conservados</w:t>
            </w:r>
          </w:p>
        </w:tc>
        <w:tc>
          <w:tcPr>
            <w:tcW w:w="2448" w:type="dxa"/>
          </w:tcPr>
          <w:p w14:paraId="1BEFC662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Conservados</w:t>
            </w:r>
          </w:p>
        </w:tc>
      </w:tr>
      <w:tr w14:paraId="7BAF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D05BE5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Compuertas</w:t>
            </w:r>
          </w:p>
        </w:tc>
        <w:tc>
          <w:tcPr>
            <w:tcW w:w="2448" w:type="dxa"/>
          </w:tcPr>
          <w:p w14:paraId="16F58F9A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48" w:type="dxa"/>
          </w:tcPr>
          <w:p w14:paraId="0D5E9F0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48" w:type="dxa"/>
          </w:tcPr>
          <w:p w14:paraId="4EB7A3EC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3</w:t>
            </w:r>
          </w:p>
        </w:tc>
      </w:tr>
      <w:tr w14:paraId="7AC4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E322A8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Lógica del proceso</w:t>
            </w:r>
          </w:p>
        </w:tc>
        <w:tc>
          <w:tcPr>
            <w:tcW w:w="2448" w:type="dxa"/>
          </w:tcPr>
          <w:p w14:paraId="392B2FFF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Equivalente</w:t>
            </w:r>
          </w:p>
        </w:tc>
        <w:tc>
          <w:tcPr>
            <w:tcW w:w="2448" w:type="dxa"/>
          </w:tcPr>
          <w:p w14:paraId="3DE0BCB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Equivalente</w:t>
            </w:r>
          </w:p>
        </w:tc>
        <w:tc>
          <w:tcPr>
            <w:tcW w:w="2448" w:type="dxa"/>
          </w:tcPr>
          <w:p w14:paraId="71718A56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Equivalente</w:t>
            </w:r>
          </w:p>
        </w:tc>
      </w:tr>
      <w:tr w14:paraId="0FEC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302CDD9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Simulación en este proyecto</w:t>
            </w:r>
          </w:p>
        </w:tc>
        <w:tc>
          <w:tcPr>
            <w:tcW w:w="2448" w:type="dxa"/>
          </w:tcPr>
          <w:p w14:paraId="4F6EDCCA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No documentada aquí</w:t>
            </w:r>
          </w:p>
        </w:tc>
        <w:tc>
          <w:tcPr>
            <w:tcW w:w="2448" w:type="dxa"/>
          </w:tcPr>
          <w:p w14:paraId="4AE3CCB0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Sí, utilizada para pruebas</w:t>
            </w:r>
          </w:p>
        </w:tc>
        <w:tc>
          <w:tcPr>
            <w:tcW w:w="2448" w:type="dxa"/>
          </w:tcPr>
          <w:p w14:paraId="015C8F9C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No documentada aquí</w:t>
            </w:r>
          </w:p>
        </w:tc>
      </w:tr>
      <w:tr w14:paraId="5909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9C5BC4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Resultado de comparación</w:t>
            </w:r>
          </w:p>
        </w:tc>
        <w:tc>
          <w:tcPr>
            <w:tcW w:w="2448" w:type="dxa"/>
          </w:tcPr>
          <w:p w14:paraId="31B1C011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Misma lógica</w:t>
            </w:r>
          </w:p>
        </w:tc>
        <w:tc>
          <w:tcPr>
            <w:tcW w:w="2448" w:type="dxa"/>
          </w:tcPr>
          <w:p w14:paraId="17E46C97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Misma lógica y simulación</w:t>
            </w:r>
          </w:p>
        </w:tc>
        <w:tc>
          <w:tcPr>
            <w:tcW w:w="2448" w:type="dxa"/>
          </w:tcPr>
          <w:p w14:paraId="6B7FE149">
            <w:pPr>
              <w:spacing w:after="0" w:line="360" w:lineRule="auto"/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Misma lógica</w:t>
            </w:r>
          </w:p>
        </w:tc>
      </w:tr>
    </w:tbl>
    <w:p w14:paraId="5653A792">
      <w:pPr>
        <w:spacing w:line="360" w:lineRule="auto"/>
        <w:jc w:val="both"/>
        <w:rPr>
          <w:rFonts w:hint="default" w:ascii="Arial" w:hAnsi="Arial" w:cs="Arial"/>
        </w:rPr>
      </w:pPr>
    </w:p>
    <w:p w14:paraId="5B023E7B">
      <w:pPr>
        <w:spacing w:after="12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 cuadro se limita a lo comprobado en los materiales del proyecto y no atribuye características no verificadas.</w:t>
      </w:r>
    </w:p>
    <w:p w14:paraId="2131ECF9">
      <w:pPr>
        <w:pStyle w:val="2"/>
        <w:spacing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13. Conclusión</w:t>
      </w:r>
    </w:p>
    <w:p w14:paraId="6C8E561E">
      <w:pPr>
        <w:spacing w:after="12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Los tres diagramas representan el mismo proceso de negocio y mantienen equivalencia en actividades, participantes, compuertas y rutas. El modelo constituye la base para las pruebas y para la implementación del programa Java. </w:t>
      </w:r>
      <w:bookmarkStart w:id="0" w:name="_GoBack"/>
      <w:bookmarkEnd w:id="0"/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194AB">
    <w:pPr>
      <w:pStyle w:val="31"/>
      <w:jc w:val="center"/>
    </w:pPr>
    <w:r>
      <w:rPr>
        <w:sz w:val="18"/>
      </w:rPr>
      <w:t>Fast Burger – Proyecto Integrador | Simulación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FE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931</Words>
  <Characters>6012</Characters>
  <Lines>0</Lines>
  <Paragraphs>0</Paragraphs>
  <TotalTime>5</TotalTime>
  <ScaleCrop>false</ScaleCrop>
  <LinksUpToDate>false</LinksUpToDate>
  <CharactersWithSpaces>6749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Axxel hama</cp:lastModifiedBy>
  <dcterms:modified xsi:type="dcterms:W3CDTF">2026-10-06T16:37:45Z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eyJoZGlkIjoiYzc1ODkzMjUzODc1NjBmYzY5MjNlOTZhNGM2MWE2ZDUiLCJ1c2VySWQiOiIxNTExODMxNzQ2NDA4In0=</vt:lpwstr>
  </property>
  <property fmtid="{D5CDD505-2E9C-101B-9397-08002B2CF9AE}" pid="3" name="KSOProductBuildVer">
    <vt:lpwstr>2058-12.1.0.28485</vt:lpwstr>
  </property>
  <property fmtid="{D5CDD505-2E9C-101B-9397-08002B2CF9AE}" pid="4" name="ICV">
    <vt:lpwstr>8260F7BAFA1E4ACEAFB9DFE6FB917B3B_12</vt:lpwstr>
  </property>
</Properties>
</file>