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keepNext w:val="false"/>
        <w:keepLines w:val="false"/>
        <w:spacing w:after="200"/>
        <w:jc w:val="center"/>
      </w:pPr>
      <w:r>
        <w:rPr>
          <w:rFonts w:ascii="Arial" w:eastAsia="Microsoft YaHei" w:hAnsi="Arial"/>
          <w:b/>
          <w:bCs/>
          <w:color w:val="000000"/>
          <w:sz w:val="48"/>
          <w:szCs w:val="48"/>
        </w:rPr>
        <w:t xml:space="preserve">GateKeeper 技术白皮书</w:t>
      </w:r>
    </w:p>
    <w:p>
      <w:pPr>
        <w:spacing w:after="4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v1.1.0</w:t>
      </w:r>
    </w:p>
    <w:p>
      <w:pPr>
        <w:spacing w:after="800"/>
        <w:jc w:val="center"/>
      </w:pPr>
      <w:r>
        <w:rPr>
          <w:rFonts w:ascii="Arial" w:eastAsia="Microsoft YaHei" w:hAnsi="Arial"/>
          <w:color w:val="2E75B6"/>
          <w:sz w:val="24"/>
          <w:szCs w:val="24"/>
        </w:rPr>
        <w:t xml:space="preserve">基于 AI 的企业级网络安全防御系统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2026 年 5 月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  <w:rPr>
          <w:rFonts w:ascii="Arial" w:eastAsia="Microsoft YaHei" w:hAnsi="Arial"/>
          <w:b/>
          <w:bCs/>
          <w:color w:val="000000"/>
          <w:sz w:val="36"/>
          <w:szCs w:val="36"/>
        </w:rPr>
      </w:pPr>
      <w:r>
        <w:t xml:space="preserve">1 技术概述</w:t>
      </w:r>
    </w:p>
    <w:p>
      <w:pPr>
        <w:spacing w:after="120"/>
      </w:pPr>
      <w:r>
        <w:rPr>
          <w:rFonts w:ascii="Arial" w:eastAsia="Microsoft YaHei" w:hAnsi="Arial"/>
          <w:color w:val="000000"/>
          <w:sz w:val="22"/>
          <w:szCs w:val="22"/>
        </w:rPr>
        <w:t xml:space="preserve">GateKeeper 是基于 AI 的企业级网络安全防御系统，采用多层防御架构，专为 Debian 10 设计。系统提供 ISO 一键安装，支持 BIOS 和 UEFI 双启动模式，10 分钟内完成部署。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1.1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Web 框架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Flask 2.x + Jinja2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SQLite / PostgreSQL (SQLAlchemy ORM)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AI/ML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scikit-learn (Isolation Forest, KMeans, LOF)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网络分析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Scapy, psutil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前端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原生 JavaScript + CSS3 + PJAX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Flask-Login + TOTP (pyotp)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任务调度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APScheduler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CLI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prompt-toolkit (Junos 风格)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防病毒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ClamAV + c-icap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VPN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WireGuard / IPSec / OpenVPN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动态路由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FRRouting (OSPF/BGP)</w:t>
            </w:r>
          </w:p>
        </w:tc>
      </w:tr>
    </w:tbl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1.2 系统规模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前端页面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35 个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API 端点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300+ 个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安全引擎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34 个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AI 模块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14 个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网络模块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13 个</w:t>
            </w:r>
          </w:p>
        </w:tc>
      </w:tr>
      <w:tr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预置规则</w:t>
            </w:r>
          </w:p>
        </w:tc>
        <w:tc>
          <w:tcPr>
            <w:tcW w:type="pct" w:w="7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IDS 299 条 + WAF 201 条 + 应用签名 245 个</w:t>
            </w:r>
          </w:p>
        </w:tc>
      </w:tr>
    </w:tbl>
    <w:p>
      <w:pPr>
        <w:pStyle w:val="Heading1"/>
        <w:keepNext w:val="false"/>
        <w:keepLines w:val="false"/>
        <w:spacing w:after="200" w:before="360"/>
        <w:rPr>
          <w:rFonts w:ascii="Arial" w:eastAsia="Microsoft YaHei" w:hAnsi="Arial"/>
          <w:b/>
          <w:bCs/>
          <w:color w:val="000000"/>
          <w:sz w:val="36"/>
          <w:szCs w:val="36"/>
        </w:rPr>
      </w:pPr>
      <w:r>
        <w:t xml:space="preserve">2 系统架构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2.1 分层架构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表示层：Web 模板 + PJAX + SSE 实时推送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业务层：34 个安全引擎 + 14 个 AI 模块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数据层：SQLAlchemy ORM + 14 个数据模型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基础设施层：调度器 + 审计 + 备份 + 指标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2.2 核心模块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5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core/</w:t>
            </w:r>
          </w:p>
        </w:tc>
        <w:tc>
          <w:tcPr>
            <w:tcW w:type="pct" w:w="5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应用工厂、数据库、模型、调度器、备份、审计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基础设施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security/</w:t>
            </w:r>
          </w:p>
        </w:tc>
        <w:tc>
          <w:tcPr>
            <w:tcW w:type="pct" w:w="5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IDS/WAF/DDoS/VPN/蜜罐/沙箱/零信任等 34 个引擎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安全防护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ai_engine/</w:t>
            </w:r>
          </w:p>
        </w:tc>
        <w:tc>
          <w:tcPr>
            <w:tcW w:type="pct" w:w="5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异常检测/流量分析/威胁情报/攻击链等 14 个模块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AI 分析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network/</w:t>
            </w:r>
          </w:p>
        </w:tc>
        <w:tc>
          <w:tcPr>
            <w:tcW w:type="pct" w:w="5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网关/防火墙/DHCP/DNS/双WAN/动态路由等 13 个模块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网络管理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web/</w:t>
            </w:r>
          </w:p>
        </w:tc>
        <w:tc>
          <w:tcPr>
            <w:tcW w:type="pct" w:w="5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30+ 蓝图、35 模板、PJAX 导航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Web 界面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alerting/</w:t>
            </w:r>
          </w:p>
        </w:tc>
        <w:tc>
          <w:tcPr>
            <w:tcW w:type="pct" w:w="5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邮件/Webhook/SSE 告警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告警通知</w:t>
            </w:r>
          </w:p>
        </w:tc>
      </w:tr>
      <w:tr>
        <w:tc>
          <w:tcPr>
            <w:tcW w:type="pct" w:w="1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cli/</w:t>
            </w:r>
          </w:p>
        </w:tc>
        <w:tc>
          <w:tcPr>
            <w:tcW w:type="pct" w:w="5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Junos 风格命令行</w:t>
            </w:r>
          </w:p>
        </w:tc>
        <w:tc>
          <w:tcPr>
            <w:tcW w:type="pct" w:w="3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CLI 管理</w:t>
            </w:r>
          </w:p>
        </w:tc>
      </w:tr>
    </w:tbl>
    <w:p>
      <w:pPr>
        <w:pStyle w:val="Heading1"/>
        <w:keepNext w:val="false"/>
        <w:keepLines w:val="false"/>
        <w:spacing w:after="200" w:before="360"/>
        <w:rPr>
          <w:rFonts w:ascii="Arial" w:eastAsia="Microsoft YaHei" w:hAnsi="Arial"/>
          <w:b/>
          <w:bCs/>
          <w:color w:val="000000"/>
          <w:sz w:val="36"/>
          <w:szCs w:val="36"/>
        </w:rPr>
      </w:pPr>
      <w:r>
        <w:t xml:space="preserve">3 AI 引擎设计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3.1 异常检测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Isolation Forest 无监督学习（100 棵树，10% 污染率）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Local Outlier Factor 局部异常因子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动态基线更新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3.2 流量分析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KMeans 聚类分析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连接统计与异常模式识别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可配置分析窗口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3.3 威胁情报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5 个情报源：本地 DB / AbuseCH / AlienVault OTX / Spamhaus / MISP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IP/域名/Hash 缓存（TTL 300s）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3.4 攻击链分析</w:t>
      </w:r>
    </w:p>
    <w:p>
      <w:pPr>
        <w:spacing w:after="120"/>
      </w:pPr>
      <w:r>
        <w:rPr>
          <w:rFonts w:ascii="Arial" w:eastAsia="Microsoft YaHei" w:hAnsi="Arial"/>
          <w:color w:val="000000"/>
          <w:sz w:val="22"/>
          <w:szCs w:val="22"/>
        </w:rPr>
        <w:t xml:space="preserve">7 阶段 MITRE ATT&amp;CK 映射：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8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侦察</w:t>
            </w:r>
          </w:p>
        </w:tc>
        <w:tc>
          <w:tcPr>
            <w:tcW w:type="pct" w:w="8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信息收集、扫描探测、社会工程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初始访问</w:t>
            </w:r>
          </w:p>
        </w:tc>
        <w:tc>
          <w:tcPr>
            <w:tcW w:type="pct" w:w="8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钓鱼邮件、漏洞利用、供应链攻击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横向移动</w:t>
            </w:r>
          </w:p>
        </w:tc>
        <w:tc>
          <w:tcPr>
            <w:tcW w:type="pct" w:w="8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内网渗透、凭证窃取、远程服务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权限提升</w:t>
            </w:r>
          </w:p>
        </w:tc>
        <w:tc>
          <w:tcPr>
            <w:tcW w:type="pct" w:w="8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提权漏洞、配置滥用、绕过控制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持久化</w:t>
            </w:r>
          </w:p>
        </w:tc>
        <w:tc>
          <w:tcPr>
            <w:tcW w:type="pct" w:w="8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后门植入、计划任务、启动项劫持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数据窃取</w:t>
            </w:r>
          </w:p>
        </w:tc>
        <w:tc>
          <w:tcPr>
            <w:tcW w:type="pct" w:w="8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数据外泄、加密勒索、隐蔽信道</w:t>
            </w:r>
          </w:p>
        </w:tc>
      </w:tr>
      <w:tr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破坏影响</w:t>
            </w:r>
          </w:p>
        </w:tc>
        <w:tc>
          <w:tcPr>
            <w:tcW w:type="pct" w:w="8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数据破坏、服务中断、系统瘫痪</w:t>
            </w:r>
          </w:p>
        </w:tc>
      </w:tr>
    </w:tbl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3.5 智能响应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4 条默认策略：IP 封禁、主机隔离、管理员告警、速率限制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自适应防御动态调整防火墙策略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3.6 LLM 集成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多供应商抽象层（OpenAI / Azure / 本地模型）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AES 加密 API Key 存储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AI 辅助漏洞扫描和配置分析</w:t>
      </w:r>
    </w:p>
    <w:p>
      <w:pPr>
        <w:pStyle w:val="Heading1"/>
        <w:keepNext w:val="false"/>
        <w:keepLines w:val="false"/>
        <w:spacing w:after="200" w:before="360"/>
        <w:rPr>
          <w:rFonts w:ascii="Arial" w:eastAsia="Microsoft YaHei" w:hAnsi="Arial"/>
          <w:b/>
          <w:bCs/>
          <w:color w:val="000000"/>
          <w:sz w:val="36"/>
          <w:szCs w:val="36"/>
        </w:rPr>
      </w:pPr>
      <w:r>
        <w:t xml:space="preserve">4 安全机制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4.1 认证与授权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bcrypt 密码哈希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Flask-Login 会话管理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TOTP 双因素认证 + 备用恢复码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登录锁定（5 次失败锁定 30 分钟）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3 级角色：SUPER_ADMIN / ADMIN / VIEWER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LDAP/AD 集成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4.2 数据安全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SSL/TLS 加密传输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CSRF 防护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速率限制（flask_limiter）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审计日志（所有操作记录）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备份加密</w:t>
      </w:r>
    </w:p>
    <w:p>
      <w:pPr>
        <w:pStyle w:val="Heading1"/>
        <w:keepNext w:val="false"/>
        <w:keepLines w:val="false"/>
        <w:spacing w:after="200" w:before="360"/>
        <w:rPr>
          <w:rFonts w:ascii="Arial" w:eastAsia="Microsoft YaHei" w:hAnsi="Arial"/>
          <w:b/>
          <w:bCs/>
          <w:color w:val="000000"/>
          <w:sz w:val="36"/>
          <w:szCs w:val="36"/>
        </w:rPr>
      </w:pPr>
      <w:r>
        <w:t xml:space="preserve">5 网络管理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5.1 网关功能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DHCP 服务器（多子网 + VLAN）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DNS 转发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NAT（SNAT/DNAT）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端口转发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WAN 管理（DHCP/PPPoE/静态）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速度测试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5.2 高级网络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双 WAN 负载均衡（4 种模式）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OSPF/BGP 动态路由（FRRouting）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QoS 流量整形（tc）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网络隔离（安全区域）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VPN 隧道（WireGuard/IPSec/OpenVPN）</w:t>
      </w:r>
    </w:p>
    <w:p>
      <w:pPr>
        <w:pStyle w:val="Heading1"/>
        <w:keepNext w:val="false"/>
        <w:keepLines w:val="false"/>
        <w:spacing w:after="200" w:before="360"/>
        <w:rPr>
          <w:rFonts w:ascii="Arial" w:eastAsia="Microsoft YaHei" w:hAnsi="Arial"/>
          <w:b/>
          <w:bCs/>
          <w:color w:val="000000"/>
          <w:sz w:val="36"/>
          <w:szCs w:val="36"/>
        </w:rPr>
      </w:pPr>
      <w:r>
        <w:t xml:space="preserve">6 部署架构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6.1 ISO 安装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BIOS/UEFI 双启动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Preseed 全自动化安装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Plymouth 启动画面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systemd 服务管理</w:t>
      </w:r>
    </w:p>
    <w:p>
      <w:pPr>
        <w:pStyle w:val="Heading2"/>
        <w:keepNext w:val="false"/>
        <w:keepLines w:val="false"/>
        <w:spacing w:after="160" w:before="280"/>
        <w:rPr>
          <w:rFonts w:ascii="Arial" w:eastAsia="Microsoft YaHei" w:hAnsi="Arial"/>
          <w:b/>
          <w:bCs/>
          <w:color w:val="000000"/>
          <w:sz w:val="30"/>
          <w:szCs w:val="30"/>
        </w:rPr>
      </w:pPr>
      <w:r>
        <w:t xml:space="preserve">6.2 服务管理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color="1A3C6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gatekeeper-web.service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Gunicorn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Web 应用服务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EnvironmentFile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systemd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环境变量配置</w:t>
            </w:r>
          </w:p>
        </w:tc>
      </w:tr>
      <w:tr>
        <w:tc>
          <w:tcPr>
            <w:tcW w:type="pct" w:w="3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journalctl</w:t>
            </w:r>
          </w:p>
        </w:tc>
        <w:tc>
          <w:tcPr>
            <w:tcW w:type="pct" w:w="25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systemd</w:t>
            </w:r>
          </w:p>
        </w:tc>
        <w:tc>
          <w:tcPr>
            <w:tcW w:type="pct" w:w="4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color w:val="000000"/>
                <w:sz w:val="20"/>
                <w:szCs w:val="20"/>
              </w:rPr>
              <w:t xml:space="preserve">日志输出与管理</w:t>
            </w:r>
          </w:p>
        </w:tc>
      </w:tr>
    </w:tbl>
    <w:p>
      <w:pPr>
        <w:pStyle w:val="Heading1"/>
        <w:keepNext w:val="false"/>
        <w:keepLines w:val="false"/>
        <w:spacing w:after="200" w:before="360"/>
        <w:rPr>
          <w:rFonts w:ascii="Arial" w:eastAsia="Microsoft YaHei" w:hAnsi="Arial"/>
          <w:b/>
          <w:bCs/>
          <w:color w:val="000000"/>
          <w:sz w:val="36"/>
          <w:szCs w:val="36"/>
        </w:rPr>
      </w:pPr>
      <w:r>
        <w:t xml:space="preserve">7 性能与扩展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数据库连接池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AI 模型缓存与批量预测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Flask 多线程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APScheduler 异步任务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Blueprint 插件架构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可选依赖延迟导入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机密文档 - 仅限内部使用</w:t>
    </w:r>
    <w:r>
      <w:rPr>
        <w:sz w:val="16"/>
        <w:szCs w:val="16"/>
      </w:rPr>
      <w:t xml:space="preserve">         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GateKeeper 技术白皮书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2026-05-16T22:46:29.040Z</dcterms:created>
  <dcterms:modified xsi:type="dcterms:W3CDTF">2026-05-16T22:46:29.041Z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