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C4943A"/>
          <w:sz w:val="40"/>
          <w:szCs w:val="40"/>
        </w:rPr>
        <w:t xml:space="preserve">Words of Plainness</w:t>
      </w:r>
    </w:p>
    <w:p>
      <w:pPr>
        <w:spacing w:after="400"/>
        <w:jc w:val="center"/>
      </w:pPr>
      <w:r>
        <w:rPr>
          <w:rFonts w:ascii="Georgia" w:cs="Georgia" w:eastAsia="Georgia" w:hAnsi="Georgia"/>
          <w:color w:val="3D2B1F"/>
          <w:sz w:val="32"/>
          <w:szCs w:val="32"/>
        </w:rPr>
        <w:t xml:space="preserve">Card-Chapter Authoring Guide</w:t>
      </w:r>
    </w:p>
    <w:p>
      <w:pPr>
        <w:spacing w:after="80"/>
        <w:jc w:val="center"/>
      </w:pPr>
      <w:r>
        <w:rPr>
          <w:rFonts w:ascii="Georgia" w:cs="Georgia" w:eastAsia="Georgia" w:hAnsi="Georgia"/>
          <w:b/>
          <w:bCs/>
          <w:color w:val="3D2B1F"/>
          <w:sz w:val="24"/>
          <w:szCs w:val="24"/>
        </w:rPr>
        <w:t xml:space="preserve">Addendum 1: Readiness Checks, Appendix Protocol,</w:t>
      </w:r>
    </w:p>
    <w:p>
      <w:pPr>
        <w:spacing w:after="80"/>
        <w:jc w:val="center"/>
      </w:pPr>
      <w:r>
        <w:rPr>
          <w:rFonts w:ascii="Georgia" w:cs="Georgia" w:eastAsia="Georgia" w:hAnsi="Georgia"/>
          <w:b/>
          <w:bCs/>
          <w:color w:val="3D2B1F"/>
          <w:sz w:val="24"/>
          <w:szCs w:val="24"/>
        </w:rPr>
        <w:t xml:space="preserve">and Card-Chapter Pedagogy Principle</w:t>
      </w:r>
    </w:p>
    <w:p>
      <w:pPr>
        <w:spacing w:after="400"/>
        <w:jc w:val="center"/>
      </w:pPr>
      <w:r>
        <w:rPr>
          <w:rFonts w:ascii="Georgia" w:cs="Georgia" w:eastAsia="Georgia" w:hAnsi="Georgia"/>
          <w:color w:val="3D2B1F"/>
          <w:sz w:val="22"/>
          <w:szCs w:val="22"/>
        </w:rPr>
        <w:t xml:space="preserve">April 2026</w:t>
      </w:r>
    </w:p>
    <w:p>
      <w:pPr>
        <w:spacing w:after="120"/>
        <w:jc w:val="center"/>
      </w:pPr>
      <w:r>
        <w:rPr>
          <w:rFonts w:ascii="Georgia" w:cs="Georgia" w:eastAsia="Georgia" w:hAnsi="Georgia"/>
          <w:i/>
          <w:iCs/>
          <w:sz w:val="22"/>
          <w:szCs w:val="22"/>
        </w:rPr>
        <w:t xml:space="preserve">Approved additions to WoP_CardChapter_Authoring_Guide.docx (February 2026)</w:t>
      </w:r>
    </w:p>
    <w:p>
      <w:pPr>
        <w:spacing w:after="120"/>
        <w:jc w:val="center"/>
      </w:pPr>
      <w:r>
        <w:rPr>
          <w:rFonts w:ascii="Georgia" w:cs="Georgia" w:eastAsia="Georgia" w:hAnsi="Georgia"/>
          <w:i/>
          <w:iCs/>
          <w:sz w:val="22"/>
          <w:szCs w:val="22"/>
        </w:rPr>
        <w:t xml:space="preserve">These sections are numbered to follow the existing guide’s Section 8 (Recommended Build Order).</w:t>
      </w:r>
    </w:p>
    <w:p>
      <w:pPr>
        <w:jc w:val="center"/>
      </w:pPr>
      <w:r>
        <w:rPr>
          <w:rFonts w:ascii="Georgia" w:cs="Georgia" w:eastAsia="Georgia" w:hAnsi="Georgia"/>
          <w:i/>
          <w:iCs/>
          <w:sz w:val="22"/>
          <w:szCs w:val="22"/>
        </w:rPr>
        <w:t xml:space="preserve">Companion document: WoP_CardChapter_Authoring_Guide.docx</w:t>
      </w:r>
    </w:p>
    <w:p>
      <w:r>
        <w:br/>
        <w:t xml:space="preserve"/>
      </w:r>
    </w:p>
    <w:p>
      <w:r>
        <w:br w:type="page"/>
      </w:r>
    </w:p>
    <w:p>
      <w:pPr>
        <w:pStyle w:val="Heading1"/>
        <w:spacing w:after="200" w:before="360"/>
      </w:pPr>
      <w:r>
        <w:rPr>
          <w:rFonts w:ascii="Georgia" w:cs="Georgia" w:eastAsia="Georgia" w:hAnsi="Georgia"/>
          <w:b/>
          <w:bCs/>
          <w:color w:val="3D2B1F"/>
          <w:sz w:val="32"/>
          <w:szCs w:val="32"/>
        </w:rPr>
        <w:t xml:space="preserve">Section 9: Card-Chapter Pedagogy Principle</w:t>
      </w:r>
    </w:p>
    <w:p>
      <w:pPr>
        <w:spacing w:after="160" w:line="312"/>
      </w:pPr>
      <w:r>
        <w:rPr>
          <w:rFonts w:ascii="Georgia" w:cs="Georgia" w:eastAsia="Georgia" w:hAnsi="Georgia"/>
          <w:sz w:val="22"/>
          <w:szCs w:val="22"/>
        </w:rPr>
        <w:t xml:space="preserve">Card-chapters are not about what the reader learned. They are about </w:t>
      </w:r>
      <w:r>
        <w:rPr>
          <w:rFonts w:ascii="Georgia" w:cs="Georgia" w:eastAsia="Georgia" w:hAnsi="Georgia"/>
          <w:b/>
          <w:bCs/>
          <w:sz w:val="22"/>
          <w:szCs w:val="22"/>
        </w:rPr>
        <w:t xml:space="preserve">what the reader is going to do with what they learned.</w:t>
      </w:r>
    </w:p>
    <w:p>
      <w:pPr>
        <w:spacing w:after="160" w:line="312"/>
      </w:pPr>
      <w:r>
        <w:rPr>
          <w:rFonts w:ascii="Georgia" w:cs="Georgia" w:eastAsia="Georgia" w:hAnsi="Georgia"/>
          <w:sz w:val="22"/>
          <w:szCs w:val="22"/>
        </w:rPr>
        <w:t xml:space="preserve">The cards exist for constructive epistemology and pedagogical support—building commitment patterns toward genuine discipleship to Christ. They are lean, focused, and action-oriented. They assume the reader has encountered the relevant teaching and now needs to respond to it with personal commitment and character formation.</w:t>
      </w:r>
    </w:p>
    <w:p>
      <w:pPr>
        <w:spacing w:after="160" w:line="312"/>
      </w:pPr>
      <w:r>
        <w:rPr>
          <w:rFonts w:ascii="Georgia" w:cs="Georgia" w:eastAsia="Georgia" w:hAnsi="Georgia"/>
          <w:sz w:val="22"/>
          <w:szCs w:val="22"/>
        </w:rPr>
        <w:t xml:space="preserve">Extended learning, prerequisite foundations, exegetical depth, and comprehensive scriptural inventories flow into overflow pathways, not into the cards themselves. The card-chapter system provides multiple pathways for learning more or learning differently:</w:t>
      </w:r>
    </w:p>
    <w:p>
      <w:pPr>
        <w:spacing w:after="160" w:line="312"/>
      </w:pPr>
      <w:r>
        <w:rPr>
          <w:rFonts w:ascii="Georgia" w:cs="Georgia" w:eastAsia="Georgia" w:hAnsi="Georgia"/>
          <w:b/>
          <w:bCs/>
          <w:sz w:val="22"/>
          <w:szCs w:val="22"/>
        </w:rPr>
        <w:t xml:space="preserve">Appendices</w:t>
      </w:r>
      <w:r>
        <w:rPr>
          <w:rFonts w:ascii="Georgia" w:cs="Georgia" w:eastAsia="Georgia" w:hAnsi="Georgia"/>
          <w:sz w:val="22"/>
          <w:szCs w:val="22"/>
        </w:rPr>
        <w:t xml:space="preserve"> — deep study companions and foundational learning pathways for readers who need prerequisite knowledge or want greater depth.</w:t>
      </w:r>
    </w:p>
    <w:p>
      <w:pPr>
        <w:spacing w:after="160" w:line="312"/>
      </w:pPr>
      <w:r>
        <w:rPr>
          <w:rFonts w:ascii="Georgia" w:cs="Georgia" w:eastAsia="Georgia" w:hAnsi="Georgia"/>
          <w:b/>
          <w:bCs/>
          <w:sz w:val="22"/>
          <w:szCs w:val="22"/>
        </w:rPr>
        <w:t xml:space="preserve">Musical testimonies</w:t>
      </w:r>
      <w:r>
        <w:rPr>
          <w:rFonts w:ascii="Georgia" w:cs="Georgia" w:eastAsia="Georgia" w:hAnsi="Georgia"/>
          <w:sz w:val="22"/>
          <w:szCs w:val="22"/>
        </w:rPr>
        <w:t xml:space="preserve"> — the teaching internalized through artistic witness.</w:t>
      </w:r>
    </w:p>
    <w:p>
      <w:pPr>
        <w:spacing w:after="160" w:line="312"/>
      </w:pPr>
      <w:r>
        <w:rPr>
          <w:rFonts w:ascii="Georgia" w:cs="Georgia" w:eastAsia="Georgia" w:hAnsi="Georgia"/>
          <w:b/>
          <w:bCs/>
          <w:sz w:val="22"/>
          <w:szCs w:val="22"/>
        </w:rPr>
        <w:t xml:space="preserve">Infographic summaries</w:t>
      </w:r>
      <w:r>
        <w:rPr>
          <w:rFonts w:ascii="Georgia" w:cs="Georgia" w:eastAsia="Georgia" w:hAnsi="Georgia"/>
          <w:sz w:val="22"/>
          <w:szCs w:val="22"/>
        </w:rPr>
        <w:t xml:space="preserve"> — the teaching distilled to visual memory.</w:t>
      </w:r>
    </w:p>
    <w:p>
      <w:pPr>
        <w:spacing w:after="160" w:line="312"/>
      </w:pPr>
      <w:r>
        <w:rPr>
          <w:rFonts w:ascii="Georgia" w:cs="Georgia" w:eastAsia="Georgia" w:hAnsi="Georgia"/>
          <w:b/>
          <w:bCs/>
          <w:sz w:val="22"/>
          <w:szCs w:val="22"/>
        </w:rPr>
        <w:t xml:space="preserve">Podcast overviews</w:t>
      </w:r>
      <w:r>
        <w:rPr>
          <w:rFonts w:ascii="Georgia" w:cs="Georgia" w:eastAsia="Georgia" w:hAnsi="Georgia"/>
          <w:sz w:val="22"/>
          <w:szCs w:val="22"/>
        </w:rPr>
        <w:t xml:space="preserve"> — the teaching explored conversationally.</w:t>
      </w:r>
    </w:p>
    <w:p>
      <w:pPr>
        <w:spacing w:after="160" w:line="312"/>
      </w:pPr>
      <w:r>
        <w:rPr>
          <w:rFonts w:ascii="Georgia" w:cs="Georgia" w:eastAsia="Georgia" w:hAnsi="Georgia"/>
          <w:b/>
          <w:bCs/>
          <w:sz w:val="22"/>
          <w:szCs w:val="22"/>
        </w:rPr>
        <w:t xml:space="preserve">Study slides</w:t>
      </w:r>
      <w:r>
        <w:rPr>
          <w:rFonts w:ascii="Georgia" w:cs="Georgia" w:eastAsia="Georgia" w:hAnsi="Georgia"/>
          <w:sz w:val="22"/>
          <w:szCs w:val="22"/>
        </w:rPr>
        <w:t xml:space="preserve"> — the teaching structured for group discussion.</w:t>
      </w:r>
    </w:p>
    <w:p>
      <w:pPr>
        <w:spacing w:after="160" w:line="312"/>
      </w:pPr>
      <w:r>
        <w:rPr>
          <w:rFonts w:ascii="Georgia" w:cs="Georgia" w:eastAsia="Georgia" w:hAnsi="Georgia"/>
          <w:b/>
          <w:bCs/>
          <w:sz w:val="22"/>
          <w:szCs w:val="22"/>
        </w:rPr>
        <w:t xml:space="preserve">Prose chapters</w:t>
      </w:r>
      <w:r>
        <w:rPr>
          <w:rFonts w:ascii="Georgia" w:cs="Georgia" w:eastAsia="Georgia" w:hAnsi="Georgia"/>
          <w:sz w:val="22"/>
          <w:szCs w:val="22"/>
        </w:rPr>
        <w:t xml:space="preserve"> (Movements 1–2, 4) — where sustained theological weight lives in the site’s standard reading experience.</w:t>
      </w:r>
    </w:p>
    <w:p>
      <w:pPr>
        <w:spacing w:after="160" w:line="312"/>
      </w:pPr>
      <w:r>
        <w:rPr>
          <w:rFonts w:ascii="Georgia" w:cs="Georgia" w:eastAsia="Georgia" w:hAnsi="Georgia"/>
          <w:sz w:val="22"/>
          <w:szCs w:val="22"/>
        </w:rPr>
        <w:t xml:space="preserve">The card-chapters point toward these pathways. They do not attempt to replace them.</w:t>
      </w:r>
    </w:p>
    <w:p>
      <w:pPr>
        <w:spacing w:after="120" w:before="240"/>
      </w:pPr>
      <w:r>
        <w:rPr>
          <w:rFonts w:ascii="Georgia" w:cs="Georgia" w:eastAsia="Georgia" w:hAnsi="Georgia"/>
          <w:b/>
          <w:bCs/>
          <w:color w:val="C4943A"/>
          <w:sz w:val="22"/>
          <w:szCs w:val="22"/>
        </w:rPr>
        <w:t xml:space="preserve">Governing Test</w:t>
      </w:r>
    </w:p>
    <w:p>
      <w:pPr>
        <w:spacing w:after="160" w:line="312"/>
      </w:pPr>
      <w:r>
        <w:rPr>
          <w:rFonts w:ascii="Georgia" w:cs="Georgia" w:eastAsia="Georgia" w:hAnsi="Georgia"/>
          <w:sz w:val="22"/>
          <w:szCs w:val="22"/>
        </w:rPr>
        <w:t xml:space="preserve">Before drafting any card, the author should ask: </w:t>
      </w:r>
      <w:r>
        <w:rPr>
          <w:rFonts w:ascii="Georgia" w:cs="Georgia" w:eastAsia="Georgia" w:hAnsi="Georgia"/>
          <w:i/>
          <w:iCs/>
          <w:sz w:val="22"/>
          <w:szCs w:val="22"/>
        </w:rPr>
        <w:t xml:space="preserve">“Does this content help the reader make a specific, actionable commitment to Christ—or is it teaching them information they need before they can commit?”</w:t>
      </w:r>
      <w:r>
        <w:rPr>
          <w:rFonts w:ascii="Georgia" w:cs="Georgia" w:eastAsia="Georgia" w:hAnsi="Georgia"/>
          <w:sz w:val="22"/>
          <w:szCs w:val="22"/>
        </w:rPr>
        <w:t xml:space="preserve"> If the answer is the latter, that content belongs in an appendix, a prose chapter, or another overflow pathway—not in the card.</w:t>
      </w:r>
    </w:p>
    <w:p>
      <w:pPr>
        <w:pStyle w:val="Heading1"/>
        <w:spacing w:after="200" w:before="360"/>
      </w:pPr>
      <w:r>
        <w:rPr>
          <w:rFonts w:ascii="Georgia" w:cs="Georgia" w:eastAsia="Georgia" w:hAnsi="Georgia"/>
          <w:b/>
          <w:bCs/>
          <w:color w:val="3D2B1F"/>
          <w:sz w:val="32"/>
          <w:szCs w:val="32"/>
        </w:rPr>
        <w:t xml:space="preserve">Section 10: Readiness Check Protocol</w:t>
      </w:r>
    </w:p>
    <w:p>
      <w:pPr>
        <w:spacing w:after="160" w:line="312"/>
      </w:pPr>
      <w:r>
        <w:rPr>
          <w:rFonts w:ascii="Georgia" w:cs="Georgia" w:eastAsia="Georgia" w:hAnsi="Georgia"/>
          <w:sz w:val="22"/>
          <w:szCs w:val="22"/>
        </w:rPr>
        <w:t xml:space="preserve">Every card-chapter includes a readiness check in its introductory content, placed after the chapter’s governing question or thematic frame and before the first card. The readiness check serves two populations: experienced disciples who can confirm their familiarity and proceed, and new readers who may need foundational preparation before making informed discipleship commitments.</w:t>
      </w:r>
    </w:p>
    <w:p>
      <w:pPr>
        <w:spacing w:after="120" w:before="240"/>
      </w:pPr>
      <w:r>
        <w:rPr>
          <w:rFonts w:ascii="Georgia" w:cs="Georgia" w:eastAsia="Georgia" w:hAnsi="Georgia"/>
          <w:b/>
          <w:bCs/>
          <w:color w:val="C4943A"/>
          <w:sz w:val="22"/>
          <w:szCs w:val="22"/>
        </w:rPr>
        <w:t xml:space="preserve">Template Language</w:t>
      </w:r>
    </w:p>
    <w:p>
      <w:pPr>
        <w:spacing w:after="160" w:line="312"/>
      </w:pPr>
      <w:r>
        <w:rPr>
          <w:rFonts w:ascii="Georgia" w:cs="Georgia" w:eastAsia="Georgia" w:hAnsi="Georgia"/>
          <w:sz w:val="22"/>
          <w:szCs w:val="22"/>
        </w:rPr>
        <w:t xml:space="preserve">The readiness check uses consistent boilerplate language across all card-chapters, with two fill-in zones specific to each chapter:</w:t>
      </w:r>
    </w:p>
    <w:p>
      <w:pPr>
        <w:pBdr>
          <w:left w:val="single" w:color="C4943A" w:sz="4" w:space="8"/>
        </w:pBdr>
        <w:shd w:fill="FDF8F0" w:val="clear"/>
        <w:spacing w:after="120" w:before="120" w:line="312"/>
        <w:ind w:left="360" w:right="360"/>
      </w:pPr>
      <w:r>
        <w:rPr>
          <w:rFonts w:ascii="Georgia" w:cs="Georgia" w:eastAsia="Georgia" w:hAnsi="Georgia"/>
          <w:i/>
          <w:iCs/>
          <w:sz w:val="21"/>
          <w:szCs w:val="21"/>
        </w:rPr>
        <w:t xml:space="preserve">The cards in this chapter draw from [insert names and citations of teachings that are prerequisite to making informed discipleship commitments]. If you feel familiar enough with these teachings to be ready, proceed to the cards below. If you discover that you feel unprepared for this chapter’s discipleship practices, we have prepared a scripture study pathway that will walk you through preparation at your own pace. [Insert the name of the appendix article or study pathway, with a navigation hyperlink]. The discipleship practice cards will be here when you’re ready.</w:t>
      </w:r>
    </w:p>
    <w:p>
      <w:pPr>
        <w:spacing w:after="120" w:before="240"/>
      </w:pPr>
      <w:r>
        <w:rPr>
          <w:rFonts w:ascii="Georgia" w:cs="Georgia" w:eastAsia="Georgia" w:hAnsi="Georgia"/>
          <w:b/>
          <w:bCs/>
          <w:color w:val="C4943A"/>
          <w:sz w:val="22"/>
          <w:szCs w:val="22"/>
        </w:rPr>
        <w:t xml:space="preserve">Fill-in Zone 1: Prerequisite Description</w:t>
      </w:r>
    </w:p>
    <w:p>
      <w:pPr>
        <w:spacing w:after="160" w:line="312"/>
      </w:pPr>
      <w:r>
        <w:rPr>
          <w:rFonts w:ascii="Georgia" w:cs="Georgia" w:eastAsia="Georgia" w:hAnsi="Georgia"/>
          <w:sz w:val="22"/>
          <w:szCs w:val="22"/>
        </w:rPr>
        <w:t xml:space="preserve">Name the specific scriptural or doctrinal foundation the cards build on. Use concrete references—specific books, chapters, teachings, or doctrinal concepts—not vague references to “scripture” or “the gospel.” The reader should be able to self-assess their familiarity based on this description alone.</w:t>
      </w:r>
    </w:p>
    <w:p>
      <w:pPr>
        <w:spacing w:after="120" w:before="240"/>
      </w:pPr>
      <w:r>
        <w:rPr>
          <w:rFonts w:ascii="Georgia" w:cs="Georgia" w:eastAsia="Georgia" w:hAnsi="Georgia"/>
          <w:b/>
          <w:bCs/>
          <w:color w:val="C4943A"/>
          <w:sz w:val="22"/>
          <w:szCs w:val="22"/>
        </w:rPr>
        <w:t xml:space="preserve">Fill-in Zone 2: Learning Pathway Link</w:t>
      </w:r>
    </w:p>
    <w:p>
      <w:pPr>
        <w:spacing w:after="160" w:line="312"/>
      </w:pPr>
      <w:r>
        <w:rPr>
          <w:rFonts w:ascii="Georgia" w:cs="Georgia" w:eastAsia="Georgia" w:hAnsi="Georgia"/>
          <w:sz w:val="22"/>
          <w:szCs w:val="22"/>
        </w:rPr>
        <w:t xml:space="preserve">Point to one or more specific resources: a named appendix with navigation hyperlink, a scripture reading list, a prose chapter in Movements 1–2, or a combination. The link must be functional—never a placeholder.</w:t>
      </w:r>
    </w:p>
    <w:p>
      <w:pPr>
        <w:spacing w:after="120" w:before="240"/>
      </w:pPr>
      <w:r>
        <w:rPr>
          <w:rFonts w:ascii="Georgia" w:cs="Georgia" w:eastAsia="Georgia" w:hAnsi="Georgia"/>
          <w:b/>
          <w:bCs/>
          <w:color w:val="C4943A"/>
          <w:sz w:val="22"/>
          <w:szCs w:val="22"/>
        </w:rPr>
        <w:t xml:space="preserve">Calibration by Prerequisite Weight</w:t>
      </w:r>
    </w:p>
    <w:p>
      <w:pPr>
        <w:spacing w:after="160" w:line="312"/>
      </w:pPr>
      <w:r>
        <w:rPr>
          <w:rFonts w:ascii="Georgia" w:cs="Georgia" w:eastAsia="Georgia" w:hAnsi="Georgia"/>
          <w:sz w:val="22"/>
          <w:szCs w:val="22"/>
        </w:rPr>
        <w:t xml:space="preserve">The readiness check should be proportional to the chapter’s prerequisite demands: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4C5A9" w:sz="1"/>
              <w:left w:val="single" w:color="D4C5A9" w:sz="1"/>
              <w:bottom w:val="single" w:color="D4C5A9" w:sz="1"/>
              <w:right w:val="single" w:color="D4C5A9" w:sz="1"/>
            </w:tcBorders>
            <w:shd w:fill="F0E8D8" w:val="clear"/>
            <w:tcMar>
              <w:top w:type="dxa" w:w="80"/>
              <w:left w:type="dxa" w:w="120"/>
              <w:bottom w:type="dxa" w:w="80"/>
              <w:right w:type="dxa" w:w="120"/>
            </w:tcMar>
          </w:tcPr>
          <w:p>
            <w:pPr>
              <w:spacing w:after="40"/>
            </w:pPr>
            <w:r>
              <w:rPr>
                <w:rFonts w:ascii="Georgia" w:cs="Georgia" w:eastAsia="Georgia" w:hAnsi="Georgia"/>
                <w:b/>
                <w:bCs/>
                <w:sz w:val="20"/>
                <w:szCs w:val="20"/>
              </w:rPr>
              <w:t xml:space="preserve">Weight</w:t>
            </w:r>
          </w:p>
        </w:tc>
        <w:tc>
          <w:tcPr>
            <w:tcW w:type="dxa" w:w="3580"/>
            <w:tcBorders>
              <w:top w:val="single" w:color="D4C5A9" w:sz="1"/>
              <w:left w:val="single" w:color="D4C5A9" w:sz="1"/>
              <w:bottom w:val="single" w:color="D4C5A9" w:sz="1"/>
              <w:right w:val="single" w:color="D4C5A9" w:sz="1"/>
            </w:tcBorders>
            <w:shd w:fill="F0E8D8" w:val="clear"/>
            <w:tcMar>
              <w:top w:type="dxa" w:w="80"/>
              <w:left w:type="dxa" w:w="120"/>
              <w:bottom w:type="dxa" w:w="80"/>
              <w:right w:type="dxa" w:w="120"/>
            </w:tcMar>
          </w:tcPr>
          <w:p>
            <w:pPr>
              <w:spacing w:after="40"/>
            </w:pPr>
            <w:r>
              <w:rPr>
                <w:rFonts w:ascii="Georgia" w:cs="Georgia" w:eastAsia="Georgia" w:hAnsi="Georgia"/>
                <w:b/>
                <w:bCs/>
                <w:sz w:val="20"/>
                <w:szCs w:val="20"/>
              </w:rPr>
              <w:t xml:space="preserve">Example Chapter</w:t>
            </w:r>
          </w:p>
        </w:tc>
        <w:tc>
          <w:tcPr>
            <w:tcW w:type="dxa" w:w="3580"/>
            <w:tcBorders>
              <w:top w:val="single" w:color="D4C5A9" w:sz="1"/>
              <w:left w:val="single" w:color="D4C5A9" w:sz="1"/>
              <w:bottom w:val="single" w:color="D4C5A9" w:sz="1"/>
              <w:right w:val="single" w:color="D4C5A9" w:sz="1"/>
            </w:tcBorders>
            <w:shd w:fill="F0E8D8" w:val="clear"/>
            <w:tcMar>
              <w:top w:type="dxa" w:w="80"/>
              <w:left w:type="dxa" w:w="120"/>
              <w:bottom w:type="dxa" w:w="80"/>
              <w:right w:type="dxa" w:w="120"/>
            </w:tcMar>
          </w:tcPr>
          <w:p>
            <w:pPr>
              <w:spacing w:after="40"/>
            </w:pPr>
            <w:r>
              <w:rPr>
                <w:rFonts w:ascii="Georgia" w:cs="Georgia" w:eastAsia="Georgia" w:hAnsi="Georgia"/>
                <w:b/>
                <w:bCs/>
                <w:sz w:val="20"/>
                <w:szCs w:val="20"/>
              </w:rPr>
              <w:t xml:space="preserve">Readiness Check Length</w:t>
            </w:r>
          </w:p>
        </w:tc>
      </w:tr>
      <w:tr>
        <w:tc>
          <w:tcPr>
            <w:tcW w:type="dxa" w:w="220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Light</w:t>
            </w:r>
          </w:p>
        </w:tc>
        <w:tc>
          <w:tcPr>
            <w:tcW w:type="dxa" w:w="358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sz w:val="22"/>
                <w:szCs w:val="22"/>
              </w:rPr>
              <w:t xml:space="preserve">Ch. 16: Keeping the Sabbath (single source: Exodus 20, D&amp;C 59)</w:t>
            </w:r>
          </w:p>
        </w:tc>
        <w:tc>
          <w:tcPr>
            <w:tcW w:type="dxa" w:w="358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sz w:val="22"/>
                <w:szCs w:val="22"/>
              </w:rPr>
              <w:t xml:space="preserve">2–3 sentences naming the source passages</w:t>
            </w:r>
          </w:p>
        </w:tc>
      </w:tr>
      <w:tr>
        <w:tc>
          <w:tcPr>
            <w:tcW w:type="dxa" w:w="220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Moderate</w:t>
            </w:r>
          </w:p>
        </w:tc>
        <w:tc>
          <w:tcPr>
            <w:tcW w:type="dxa" w:w="358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sz w:val="22"/>
                <w:szCs w:val="22"/>
              </w:rPr>
              <w:t xml:space="preserve">Ch. 15: Repentance as a Lifestyle (builds on grace thesis from Chapters 9 and 12)</w:t>
            </w:r>
          </w:p>
        </w:tc>
        <w:tc>
          <w:tcPr>
            <w:tcW w:type="dxa" w:w="358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sz w:val="22"/>
                <w:szCs w:val="22"/>
              </w:rPr>
              <w:t xml:space="preserve">Short paragraph with links to prerequisite prose chapters and/or appendix</w:t>
            </w:r>
          </w:p>
        </w:tc>
      </w:tr>
      <w:tr>
        <w:tc>
          <w:tcPr>
            <w:tcW w:type="dxa" w:w="220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Heavy</w:t>
            </w:r>
          </w:p>
        </w:tc>
        <w:tc>
          <w:tcPr>
            <w:tcW w:type="dxa" w:w="358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sz w:val="22"/>
                <w:szCs w:val="22"/>
              </w:rPr>
              <w:t xml:space="preserve">Ch. 13: The Sermon on the Mount (three chapters of Matthew, full theological framework)</w:t>
            </w:r>
          </w:p>
        </w:tc>
        <w:tc>
          <w:tcPr>
            <w:tcW w:type="dxa" w:w="358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sz w:val="22"/>
                <w:szCs w:val="22"/>
              </w:rPr>
              <w:t xml:space="preserve">Full paragraph with appendix link providing a complete study pathway</w:t>
            </w:r>
          </w:p>
        </w:tc>
      </w:tr>
    </w:tbl>
    <w:p>
      <w:pPr>
        <w:spacing w:after="160"/>
      </w:pPr>
    </w:p>
    <w:p>
      <w:pPr>
        <w:spacing w:after="120" w:before="240"/>
      </w:pPr>
      <w:r>
        <w:rPr>
          <w:rFonts w:ascii="Georgia" w:cs="Georgia" w:eastAsia="Georgia" w:hAnsi="Georgia"/>
          <w:b/>
          <w:bCs/>
          <w:color w:val="C4943A"/>
          <w:sz w:val="22"/>
          <w:szCs w:val="22"/>
        </w:rPr>
        <w:t xml:space="preserve">Chapter 13 Reference Implementation</w:t>
      </w:r>
    </w:p>
    <w:p>
      <w:pPr>
        <w:spacing w:after="160" w:line="312"/>
      </w:pPr>
      <w:r>
        <w:rPr>
          <w:rFonts w:ascii="Georgia" w:cs="Georgia" w:eastAsia="Georgia" w:hAnsi="Georgia"/>
          <w:sz w:val="22"/>
          <w:szCs w:val="22"/>
        </w:rPr>
        <w:t xml:space="preserve">The following is the locked readiness check for Chapter 13: The Sermon on the Mount:</w:t>
      </w:r>
    </w:p>
    <w:p>
      <w:pPr>
        <w:pBdr>
          <w:left w:val="single" w:color="C4943A" w:sz="4" w:space="8"/>
        </w:pBdr>
        <w:shd w:fill="FDF8F0" w:val="clear"/>
        <w:spacing w:after="120" w:before="120" w:line="312"/>
        <w:ind w:left="360" w:right="360"/>
      </w:pPr>
      <w:r>
        <w:rPr>
          <w:rFonts w:ascii="Georgia" w:cs="Georgia" w:eastAsia="Georgia" w:hAnsi="Georgia"/>
          <w:i/>
          <w:iCs/>
          <w:sz w:val="21"/>
          <w:szCs w:val="21"/>
        </w:rPr>
        <w:t xml:space="preserve">The cards in this chapter draw from Christ’s Sermon on the Mount—three chapters of teaching recorded in Matthew 5–7 (and again in 3 Nephi 12–14). If you feel familiar enough with these teachings to be ready, proceed to the cards below. If you discover that you feel unprepared for this chapter’s discipleship practices, we have prepared a scripture study pathway that will walk you through preparation at your own pace. The Sermon on the Mount—A Discipleship Study Pathway. The discipleship practice cards will be here when you’re ready.</w:t>
      </w:r>
    </w:p>
    <w:p>
      <w:pPr>
        <w:spacing w:after="120" w:before="240"/>
      </w:pPr>
      <w:r>
        <w:rPr>
          <w:rFonts w:ascii="Georgia" w:cs="Georgia" w:eastAsia="Georgia" w:hAnsi="Georgia"/>
          <w:b/>
          <w:bCs/>
          <w:color w:val="C4943A"/>
          <w:sz w:val="22"/>
          <w:szCs w:val="22"/>
        </w:rPr>
        <w:t xml:space="preserve">Principles</w:t>
      </w:r>
    </w:p>
    <w:p>
      <w:pPr>
        <w:spacing w:after="160" w:line="312"/>
      </w:pPr>
      <w:r>
        <w:rPr>
          <w:rFonts w:ascii="Georgia" w:cs="Georgia" w:eastAsia="Georgia" w:hAnsi="Georgia"/>
          <w:b/>
          <w:bCs/>
          <w:sz w:val="22"/>
          <w:szCs w:val="22"/>
        </w:rPr>
        <w:t xml:space="preserve">1. Hospitality, not gatekeeping.</w:t>
      </w:r>
      <w:r>
        <w:rPr>
          <w:rFonts w:ascii="Georgia" w:cs="Georgia" w:eastAsia="Georgia" w:hAnsi="Georgia"/>
          <w:sz w:val="22"/>
          <w:szCs w:val="22"/>
        </w:rPr>
        <w:t xml:space="preserve"> The readiness check is a welcome, not a barrier. The reader self-identifies their readiness. The cards remain accessible to all readers through the commitment tiers regardless of whether the reader engages the readiness check.</w:t>
      </w:r>
    </w:p>
    <w:p>
      <w:pPr>
        <w:spacing w:after="160" w:line="312"/>
      </w:pPr>
      <w:r>
        <w:rPr>
          <w:rFonts w:ascii="Georgia" w:cs="Georgia" w:eastAsia="Georgia" w:hAnsi="Georgia"/>
          <w:b/>
          <w:bCs/>
          <w:sz w:val="22"/>
          <w:szCs w:val="22"/>
        </w:rPr>
        <w:t xml:space="preserve">2. The check addresses understanding, not worthiness.</w:t>
      </w:r>
      <w:r>
        <w:rPr>
          <w:rFonts w:ascii="Georgia" w:cs="Georgia" w:eastAsia="Georgia" w:hAnsi="Georgia"/>
          <w:sz w:val="22"/>
          <w:szCs w:val="22"/>
        </w:rPr>
        <w:t xml:space="preserve"> A reader’s spiritual maturity is between them and God. The readiness check concerns only whether the reader has sufficient familiarity with the source material to make informed commitments.</w:t>
      </w:r>
    </w:p>
    <w:p>
      <w:pPr>
        <w:spacing w:after="160" w:line="312"/>
      </w:pPr>
      <w:r>
        <w:rPr>
          <w:rFonts w:ascii="Georgia" w:cs="Georgia" w:eastAsia="Georgia" w:hAnsi="Georgia"/>
          <w:b/>
          <w:bCs/>
          <w:sz w:val="22"/>
          <w:szCs w:val="22"/>
        </w:rPr>
        <w:t xml:space="preserve">3. Three implicit responses.</w:t>
      </w:r>
      <w:r>
        <w:rPr>
          <w:rFonts w:ascii="Georgia" w:cs="Georgia" w:eastAsia="Georgia" w:hAnsi="Georgia"/>
          <w:sz w:val="22"/>
          <w:szCs w:val="22"/>
        </w:rPr>
        <w:t xml:space="preserve"> The readiness check accommodates three reader postures without naming them: </w:t>
      </w:r>
      <w:r>
        <w:rPr>
          <w:rFonts w:ascii="Georgia" w:cs="Georgia" w:eastAsia="Georgia" w:hAnsi="Georgia"/>
          <w:i/>
          <w:iCs/>
          <w:sz w:val="22"/>
          <w:szCs w:val="22"/>
        </w:rPr>
        <w:t xml:space="preserve">“I know this well”</w:t>
      </w:r>
      <w:r>
        <w:rPr>
          <w:rFonts w:ascii="Georgia" w:cs="Georgia" w:eastAsia="Georgia" w:hAnsi="Georgia"/>
          <w:sz w:val="22"/>
          <w:szCs w:val="22"/>
        </w:rPr>
        <w:t xml:space="preserve"> (proceed to the cards), </w:t>
      </w:r>
      <w:r>
        <w:rPr>
          <w:rFonts w:ascii="Georgia" w:cs="Georgia" w:eastAsia="Georgia" w:hAnsi="Georgia"/>
          <w:i/>
          <w:iCs/>
          <w:sz w:val="22"/>
          <w:szCs w:val="22"/>
        </w:rPr>
        <w:t xml:space="preserve">“I’ve heard of this but haven’t studied it carefully”</w:t>
      </w:r>
      <w:r>
        <w:rPr>
          <w:rFonts w:ascii="Georgia" w:cs="Georgia" w:eastAsia="Georgia" w:hAnsi="Georgia"/>
          <w:sz w:val="22"/>
          <w:szCs w:val="22"/>
        </w:rPr>
        <w:t xml:space="preserve"> (the appendix will ground you), and </w:t>
      </w:r>
      <w:r>
        <w:rPr>
          <w:rFonts w:ascii="Georgia" w:cs="Georgia" w:eastAsia="Georgia" w:hAnsi="Georgia"/>
          <w:i/>
          <w:iCs/>
          <w:sz w:val="22"/>
          <w:szCs w:val="22"/>
        </w:rPr>
        <w:t xml:space="preserve">“This is completely new to me”</w:t>
      </w:r>
      <w:r>
        <w:rPr>
          <w:rFonts w:ascii="Georgia" w:cs="Georgia" w:eastAsia="Georgia" w:hAnsi="Georgia"/>
          <w:sz w:val="22"/>
          <w:szCs w:val="22"/>
        </w:rPr>
        <w:t xml:space="preserve"> (welcome—start with the appendix and take your time). This mirrors the implicit reader segmentation of the commitment tiers.</w:t>
      </w:r>
    </w:p>
    <w:p>
      <w:pPr>
        <w:spacing w:after="160" w:line="312"/>
      </w:pPr>
      <w:r>
        <w:rPr>
          <w:rFonts w:ascii="Georgia" w:cs="Georgia" w:eastAsia="Georgia" w:hAnsi="Georgia"/>
          <w:b/>
          <w:bCs/>
          <w:sz w:val="22"/>
          <w:szCs w:val="22"/>
        </w:rPr>
        <w:t xml:space="preserve">4. Consistent voice.</w:t>
      </w:r>
      <w:r>
        <w:rPr>
          <w:rFonts w:ascii="Georgia" w:cs="Georgia" w:eastAsia="Georgia" w:hAnsi="Georgia"/>
          <w:sz w:val="22"/>
          <w:szCs w:val="22"/>
        </w:rPr>
        <w:t xml:space="preserve"> The template language should become a familiar, trusted voice across all 17 card-chapters. Resist the urge to rewrite it creatively for each chapter. The fill-in zones provide chapter-specific customization; the frame stays consistent.</w:t>
      </w:r>
    </w:p>
    <w:p>
      <w:pPr>
        <w:pStyle w:val="Heading1"/>
        <w:spacing w:after="200" w:before="360"/>
      </w:pPr>
      <w:r>
        <w:rPr>
          <w:rFonts w:ascii="Georgia" w:cs="Georgia" w:eastAsia="Georgia" w:hAnsi="Georgia"/>
          <w:b/>
          <w:bCs/>
          <w:color w:val="3D2B1F"/>
          <w:sz w:val="32"/>
          <w:szCs w:val="32"/>
        </w:rPr>
        <w:t xml:space="preserve">Section 11: Appendix Protocol for Card-Chapters</w:t>
      </w:r>
    </w:p>
    <w:p>
      <w:pPr>
        <w:spacing w:after="160" w:line="312"/>
      </w:pPr>
      <w:r>
        <w:rPr>
          <w:rFonts w:ascii="Georgia" w:cs="Georgia" w:eastAsia="Georgia" w:hAnsi="Georgia"/>
          <w:sz w:val="22"/>
          <w:szCs w:val="22"/>
        </w:rPr>
        <w:t xml:space="preserve">When a card-chapter’s source material exceeds what 3–5 cards can carry without sacrificing pedagogical focus, or when the prerequisite knowledge is substantial enough that a new reader needs a structured learning pathway, the overflow content is developed as a named appendix.</w:t>
      </w:r>
    </w:p>
    <w:p>
      <w:pPr>
        <w:spacing w:after="120" w:before="240"/>
      </w:pPr>
      <w:r>
        <w:rPr>
          <w:rFonts w:ascii="Georgia" w:cs="Georgia" w:eastAsia="Georgia" w:hAnsi="Georgia"/>
          <w:b/>
          <w:bCs/>
          <w:color w:val="C4943A"/>
          <w:sz w:val="22"/>
          <w:szCs w:val="22"/>
        </w:rPr>
        <w:t xml:space="preserve">Dual-Audience Principle</w:t>
      </w:r>
    </w:p>
    <w:p>
      <w:pPr>
        <w:spacing w:after="160" w:line="312"/>
      </w:pPr>
      <w:r>
        <w:rPr>
          <w:rFonts w:ascii="Georgia" w:cs="Georgia" w:eastAsia="Georgia" w:hAnsi="Georgia"/>
          <w:sz w:val="22"/>
          <w:szCs w:val="22"/>
        </w:rPr>
        <w:t xml:space="preserve">Every appendix serves two reader populations simultaneously:</w:t>
      </w:r>
    </w:p>
    <w:p>
      <w:pPr>
        <w:spacing w:after="160" w:line="312"/>
      </w:pPr>
      <w:r>
        <w:rPr>
          <w:rFonts w:ascii="Georgia" w:cs="Georgia" w:eastAsia="Georgia" w:hAnsi="Georgia"/>
          <w:b/>
          <w:bCs/>
          <w:sz w:val="22"/>
          <w:szCs w:val="22"/>
        </w:rPr>
        <w:t xml:space="preserve">New readers building foundational knowledge.</w:t>
      </w:r>
      <w:r>
        <w:rPr>
          <w:rFonts w:ascii="Georgia" w:cs="Georgia" w:eastAsia="Georgia" w:hAnsi="Georgia"/>
          <w:sz w:val="22"/>
          <w:szCs w:val="22"/>
        </w:rPr>
        <w:t xml:space="preserve"> The appendix provides a structured encounter with the source material—scripture passages, contextual notes, and guided reading—so that a reader who has never studied the topic can build sufficient understanding to return to the card-chapter and make informed commitments.</w:t>
      </w:r>
    </w:p>
    <w:p>
      <w:pPr>
        <w:spacing w:after="160" w:line="312"/>
      </w:pPr>
      <w:r>
        <w:rPr>
          <w:rFonts w:ascii="Georgia" w:cs="Georgia" w:eastAsia="Georgia" w:hAnsi="Georgia"/>
          <w:b/>
          <w:bCs/>
          <w:sz w:val="22"/>
          <w:szCs w:val="22"/>
        </w:rPr>
        <w:t xml:space="preserve">Experienced disciples seeking deeper study.</w:t>
      </w:r>
      <w:r>
        <w:rPr>
          <w:rFonts w:ascii="Georgia" w:cs="Georgia" w:eastAsia="Georgia" w:hAnsi="Georgia"/>
          <w:sz w:val="22"/>
          <w:szCs w:val="22"/>
        </w:rPr>
        <w:t xml:space="preserve"> The appendix provides a comprehensive inventory of the scriptural and doctrinal content, cross-referenced to the card-chapters where each teaching becomes an actionable practice. This reader uses the appendix as a reference map and study companion.</w:t>
      </w:r>
    </w:p>
    <w:p>
      <w:pPr>
        <w:spacing w:after="160" w:line="312"/>
      </w:pPr>
      <w:r>
        <w:rPr>
          <w:rFonts w:ascii="Georgia" w:cs="Georgia" w:eastAsia="Georgia" w:hAnsi="Georgia"/>
          <w:sz w:val="22"/>
          <w:szCs w:val="22"/>
        </w:rPr>
        <w:t xml:space="preserve">A well-built study pathway serves both readers. The beginner follows it sequentially and discovers the teachings. The experienced reader navigates it selectively and goes where they need to go. The appendix does not assume either reader—it serves both.</w:t>
      </w:r>
    </w:p>
    <w:p>
      <w:pPr>
        <w:spacing w:after="120" w:before="240"/>
      </w:pPr>
      <w:r>
        <w:rPr>
          <w:rFonts w:ascii="Georgia" w:cs="Georgia" w:eastAsia="Georgia" w:hAnsi="Georgia"/>
          <w:b/>
          <w:bCs/>
          <w:color w:val="C4943A"/>
          <w:sz w:val="22"/>
          <w:szCs w:val="22"/>
        </w:rPr>
        <w:t xml:space="preserve">Title Convention</w:t>
      </w:r>
    </w:p>
    <w:p>
      <w:pPr>
        <w:spacing w:after="160" w:line="312"/>
      </w:pPr>
      <w:r>
        <w:rPr>
          <w:rFonts w:ascii="Georgia" w:cs="Georgia" w:eastAsia="Georgia" w:hAnsi="Georgia"/>
          <w:sz w:val="22"/>
          <w:szCs w:val="22"/>
        </w:rPr>
        <w:t xml:space="preserve">Appendices use descriptive titles. No letter or number prefixes. Each appendix is tagged with an “Accompanies Chapter XX: Title” line identifying the card-chapter(s) it supports.</w:t>
      </w:r>
    </w:p>
    <w:p>
      <w:pPr>
        <w:spacing w:after="120" w:before="240"/>
      </w:pPr>
      <w:r>
        <w:rPr>
          <w:rFonts w:ascii="Georgia" w:cs="Georgia" w:eastAsia="Georgia" w:hAnsi="Georgia"/>
          <w:b/>
          <w:bCs/>
          <w:color w:val="C4943A"/>
          <w:sz w:val="22"/>
          <w:szCs w:val="22"/>
        </w:rPr>
        <w:t xml:space="preserve">Reference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5A9" w:sz="1"/>
              <w:left w:val="single" w:color="D4C5A9" w:sz="1"/>
              <w:bottom w:val="single" w:color="D4C5A9" w:sz="1"/>
              <w:right w:val="single" w:color="D4C5A9" w:sz="1"/>
            </w:tcBorders>
            <w:shd w:fill="F0E8D8" w:val="clear"/>
            <w:tcMar>
              <w:top w:type="dxa" w:w="80"/>
              <w:left w:type="dxa" w:w="120"/>
              <w:bottom w:type="dxa" w:w="80"/>
              <w:right w:type="dxa" w:w="120"/>
            </w:tcMar>
          </w:tcPr>
          <w:p>
            <w:pPr>
              <w:spacing w:after="40"/>
            </w:pPr>
            <w:r>
              <w:rPr>
                <w:rFonts w:ascii="Georgia" w:cs="Georgia" w:eastAsia="Georgia" w:hAnsi="Georgia"/>
                <w:b/>
                <w:bCs/>
                <w:sz w:val="20"/>
                <w:szCs w:val="20"/>
              </w:rPr>
              <w:t xml:space="preserve">Field</w:t>
            </w:r>
          </w:p>
        </w:tc>
        <w:tc>
          <w:tcPr>
            <w:tcW w:type="dxa" w:w="6560"/>
            <w:tcBorders>
              <w:top w:val="single" w:color="D4C5A9" w:sz="1"/>
              <w:left w:val="single" w:color="D4C5A9" w:sz="1"/>
              <w:bottom w:val="single" w:color="D4C5A9" w:sz="1"/>
              <w:right w:val="single" w:color="D4C5A9" w:sz="1"/>
            </w:tcBorders>
            <w:shd w:fill="F0E8D8" w:val="clear"/>
            <w:tcMar>
              <w:top w:type="dxa" w:w="80"/>
              <w:left w:type="dxa" w:w="120"/>
              <w:bottom w:type="dxa" w:w="80"/>
              <w:right w:type="dxa" w:w="120"/>
            </w:tcMar>
          </w:tcPr>
          <w:p>
            <w:pPr>
              <w:spacing w:after="40"/>
            </w:pPr>
            <w:r>
              <w:rPr>
                <w:rFonts w:ascii="Georgia" w:cs="Georgia" w:eastAsia="Georgia" w:hAnsi="Georgia"/>
                <w:b/>
                <w:bCs/>
                <w:sz w:val="20"/>
                <w:szCs w:val="20"/>
              </w:rPr>
              <w:t xml:space="preserve">Value</w:t>
            </w:r>
          </w:p>
        </w:tc>
      </w:tr>
      <w:tr>
        <w:tc>
          <w:tcPr>
            <w:tcW w:type="dxa" w:w="280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Appendix Title</w:t>
            </w:r>
          </w:p>
        </w:tc>
        <w:tc>
          <w:tcPr>
            <w:tcW w:type="dxa" w:w="656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sz w:val="22"/>
                <w:szCs w:val="22"/>
              </w:rPr>
              <w:t xml:space="preserve">The Sermon on the Mount — A Discipleship Study Pathway</w:t>
            </w:r>
          </w:p>
        </w:tc>
      </w:tr>
      <w:tr>
        <w:tc>
          <w:tcPr>
            <w:tcW w:type="dxa" w:w="280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Accompanies</w:t>
            </w:r>
          </w:p>
        </w:tc>
        <w:tc>
          <w:tcPr>
            <w:tcW w:type="dxa" w:w="656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sz w:val="22"/>
                <w:szCs w:val="22"/>
              </w:rPr>
              <w:t xml:space="preserve">Chapter 12: The Beatitudes and Chapter 13: The Sermon on the Mount</w:t>
            </w:r>
          </w:p>
        </w:tc>
      </w:tr>
      <w:tr>
        <w:tc>
          <w:tcPr>
            <w:tcW w:type="dxa" w:w="280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Purpose</w:t>
            </w:r>
          </w:p>
        </w:tc>
        <w:tc>
          <w:tcPr>
            <w:tcW w:type="dxa" w:w="656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sz w:val="22"/>
                <w:szCs w:val="22"/>
              </w:rPr>
              <w:t xml:space="preserve">Full scriptural inventory of Matthew 5–7 / 3 Nephi 12–14 with contextual notes and cross-references to Movement 3 card-chapters</w:t>
            </w:r>
          </w:p>
        </w:tc>
      </w:tr>
    </w:tbl>
    <w:p>
      <w:pPr>
        <w:spacing w:after="160"/>
      </w:pPr>
    </w:p>
    <w:p>
      <w:pPr>
        <w:spacing w:after="120" w:before="240"/>
      </w:pPr>
      <w:r>
        <w:rPr>
          <w:rFonts w:ascii="Georgia" w:cs="Georgia" w:eastAsia="Georgia" w:hAnsi="Georgia"/>
          <w:b/>
          <w:bCs/>
          <w:color w:val="C4943A"/>
          <w:sz w:val="22"/>
          <w:szCs w:val="22"/>
        </w:rPr>
        <w:t xml:space="preserve">Writings Page Integration</w:t>
      </w:r>
    </w:p>
    <w:p>
      <w:pPr>
        <w:spacing w:after="160" w:line="312"/>
      </w:pPr>
      <w:r>
        <w:rPr>
          <w:rFonts w:ascii="Georgia" w:cs="Georgia" w:eastAsia="Georgia" w:hAnsi="Georgia"/>
          <w:sz w:val="22"/>
          <w:szCs w:val="22"/>
        </w:rPr>
        <w:t xml:space="preserve">The /writings/ page appendix block displays all appendices with support for two sorting modes: alphabetically by title, and by chapter connection. This allows readers to find appendices either by topic or by the card-chapter they accompany.</w:t>
      </w:r>
    </w:p>
    <w:p>
      <w:pPr>
        <w:spacing w:after="120" w:before="240"/>
      </w:pPr>
      <w:r>
        <w:rPr>
          <w:rFonts w:ascii="Georgia" w:cs="Georgia" w:eastAsia="Georgia" w:hAnsi="Georgia"/>
          <w:b/>
          <w:bCs/>
          <w:color w:val="C4943A"/>
          <w:sz w:val="22"/>
          <w:szCs w:val="22"/>
        </w:rPr>
        <w:t xml:space="preserve">When to Create an Appendix</w:t>
      </w:r>
    </w:p>
    <w:p>
      <w:pPr>
        <w:spacing w:after="160" w:line="312"/>
      </w:pPr>
      <w:r>
        <w:rPr>
          <w:rFonts w:ascii="Georgia" w:cs="Georgia" w:eastAsia="Georgia" w:hAnsi="Georgia"/>
          <w:sz w:val="22"/>
          <w:szCs w:val="22"/>
        </w:rPr>
        <w:t xml:space="preserve">Not every card-chapter requires a companion appendix. Create one when:</w:t>
      </w:r>
    </w:p>
    <w:p>
      <w:pPr>
        <w:spacing w:after="160" w:line="312"/>
      </w:pPr>
      <w:r>
        <w:rPr>
          <w:rFonts w:ascii="Georgia" w:cs="Georgia" w:eastAsia="Georgia" w:hAnsi="Georgia"/>
          <w:b/>
          <w:bCs/>
          <w:sz w:val="22"/>
          <w:szCs w:val="22"/>
        </w:rPr>
        <w:t xml:space="preserve">• </w:t>
      </w:r>
      <w:r>
        <w:rPr>
          <w:rFonts w:ascii="Georgia" w:cs="Georgia" w:eastAsia="Georgia" w:hAnsi="Georgia"/>
          <w:sz w:val="22"/>
          <w:szCs w:val="22"/>
        </w:rPr>
        <w:t xml:space="preserve">The source material contains more scriptural inventory than 3–5 cards can carry without losing pedagogical focus (e.g., the Sermon on the Mount spans three chapters of Matthew).</w:t>
      </w:r>
    </w:p>
    <w:p>
      <w:pPr>
        <w:spacing w:after="160" w:line="312"/>
      </w:pPr>
      <w:r>
        <w:rPr>
          <w:rFonts w:ascii="Georgia" w:cs="Georgia" w:eastAsia="Georgia" w:hAnsi="Georgia"/>
          <w:b/>
          <w:bCs/>
          <w:sz w:val="22"/>
          <w:szCs w:val="22"/>
        </w:rPr>
        <w:t xml:space="preserve">• </w:t>
      </w:r>
      <w:r>
        <w:rPr>
          <w:rFonts w:ascii="Georgia" w:cs="Georgia" w:eastAsia="Georgia" w:hAnsi="Georgia"/>
          <w:sz w:val="22"/>
          <w:szCs w:val="22"/>
        </w:rPr>
        <w:t xml:space="preserve">The prerequisite knowledge is substantial enough that a new reader needs guided preparation before making informed commitments (e.g., the full Sermon, the grace thesis, the Plan of Salvation framework).</w:t>
      </w:r>
    </w:p>
    <w:p>
      <w:pPr>
        <w:spacing w:after="160" w:line="312"/>
      </w:pPr>
      <w:r>
        <w:rPr>
          <w:rFonts w:ascii="Georgia" w:cs="Georgia" w:eastAsia="Georgia" w:hAnsi="Georgia"/>
          <w:b/>
          <w:bCs/>
          <w:sz w:val="22"/>
          <w:szCs w:val="22"/>
        </w:rPr>
        <w:t xml:space="preserve">• </w:t>
      </w:r>
      <w:r>
        <w:rPr>
          <w:rFonts w:ascii="Georgia" w:cs="Georgia" w:eastAsia="Georgia" w:hAnsi="Georgia"/>
          <w:sz w:val="22"/>
          <w:szCs w:val="22"/>
        </w:rPr>
        <w:t xml:space="preserve">The teaching content is shared across multiple card-chapters, making a centralized study reference more efficient than repeating context in each chapter (e.g., a study pathway referenced by both Chapter 12 and Chapter 13).</w:t>
      </w:r>
    </w:p>
    <w:p>
      <w:pPr>
        <w:spacing w:after="160" w:line="312"/>
      </w:pPr>
      <w:r>
        <w:rPr>
          <w:rFonts w:ascii="Georgia" w:cs="Georgia" w:eastAsia="Georgia" w:hAnsi="Georgia"/>
          <w:sz w:val="22"/>
          <w:szCs w:val="22"/>
        </w:rPr>
        <w:t xml:space="preserve">Do not create an appendix for card-chapters with a single, focused source (e.g., Chapter 16: Keeping the Sabbath draws from Exodus 20 and D&amp;C 59—the readiness check can simply name these passages without a separate study pathway).</w:t>
      </w:r>
    </w:p>
    <w:p>
      <w:pPr>
        <w:pStyle w:val="Heading1"/>
        <w:spacing w:after="200" w:before="360"/>
      </w:pPr>
      <w:r>
        <w:rPr>
          <w:rFonts w:ascii="Georgia" w:cs="Georgia" w:eastAsia="Georgia" w:hAnsi="Georgia"/>
          <w:b/>
          <w:bCs/>
          <w:color w:val="3D2B1F"/>
          <w:sz w:val="32"/>
          <w:szCs w:val="32"/>
        </w:rPr>
        <w:t xml:space="preserve">Section 12: Revised Card Content Standard (Section 2.3 Replacement)</w:t>
      </w:r>
    </w:p>
    <w:p>
      <w:pPr>
        <w:spacing w:after="160" w:line="312"/>
      </w:pPr>
      <w:r>
        <w:rPr>
          <w:rFonts w:ascii="Georgia" w:cs="Georgia" w:eastAsia="Georgia" w:hAnsi="Georgia"/>
          <w:sz w:val="22"/>
          <w:szCs w:val="22"/>
        </w:rPr>
        <w:t xml:space="preserve">This section replaces and expands the original Section 2.3 (</w:t>
      </w:r>
      <w:r>
        <w:rPr>
          <w:rFonts w:ascii="Georgia" w:cs="Georgia" w:eastAsia="Georgia" w:hAnsi="Georgia"/>
          <w:i/>
          <w:iCs/>
          <w:sz w:val="22"/>
          <w:szCs w:val="22"/>
        </w:rPr>
        <w:t xml:space="preserve">Card Content vs. Standard Chapter Prose</w:t>
      </w:r>
      <w:r>
        <w:rPr>
          <w:rFonts w:ascii="Georgia" w:cs="Georgia" w:eastAsia="Georgia" w:hAnsi="Georgia"/>
          <w:sz w:val="22"/>
          <w:szCs w:val="22"/>
        </w:rPr>
        <w:t xml:space="preserve">) of the Authoring Guide.</w:t>
      </w:r>
    </w:p>
    <w:p>
      <w:pPr>
        <w:spacing w:after="160" w:line="312"/>
      </w:pPr>
      <w:r>
        <w:rPr>
          <w:rFonts w:ascii="Georgia" w:cs="Georgia" w:eastAsia="Georgia" w:hAnsi="Georgia"/>
          <w:sz w:val="22"/>
          <w:szCs w:val="22"/>
        </w:rPr>
        <w:t xml:space="preserve">Card content is more compressed than standard prose chapters. Where a prose chapter develops an idea across four paragraphs, a card develops it in two. Where a prose chapter builds cumulative theological weight through extended argument, a card distills to the actionable core.</w:t>
      </w:r>
    </w:p>
    <w:p>
      <w:pPr>
        <w:spacing w:after="160" w:line="312"/>
      </w:pPr>
      <w:r>
        <w:rPr>
          <w:rFonts w:ascii="Georgia" w:cs="Georgia" w:eastAsia="Georgia" w:hAnsi="Georgia"/>
          <w:sz w:val="22"/>
          <w:szCs w:val="22"/>
        </w:rPr>
        <w:t xml:space="preserve">But compression is a technique, not the purpose. The purpose is </w:t>
      </w:r>
      <w:r>
        <w:rPr>
          <w:rFonts w:ascii="Georgia" w:cs="Georgia" w:eastAsia="Georgia" w:hAnsi="Georgia"/>
          <w:b/>
          <w:bCs/>
          <w:sz w:val="22"/>
          <w:szCs w:val="22"/>
        </w:rPr>
        <w:t xml:space="preserve">commitment and character formation.</w:t>
      </w:r>
      <w:r>
        <w:rPr>
          <w:rFonts w:ascii="Georgia" w:cs="Georgia" w:eastAsia="Georgia" w:hAnsi="Georgia"/>
          <w:sz w:val="22"/>
          <w:szCs w:val="22"/>
        </w:rPr>
        <w:t xml:space="preserve"> A card should not be thought of as a summary of the teaching. It is a catalyst for the reader’s response to the teaching. The question governing every card is not </w:t>
      </w:r>
      <w:r>
        <w:rPr>
          <w:rFonts w:ascii="Georgia" w:cs="Georgia" w:eastAsia="Georgia" w:hAnsi="Georgia"/>
          <w:i/>
          <w:iCs/>
          <w:sz w:val="22"/>
          <w:szCs w:val="22"/>
        </w:rPr>
        <w:t xml:space="preserve">“What did Christ teach?”</w:t>
      </w:r>
      <w:r>
        <w:rPr>
          <w:rFonts w:ascii="Georgia" w:cs="Georgia" w:eastAsia="Georgia" w:hAnsi="Georgia"/>
          <w:sz w:val="22"/>
          <w:szCs w:val="22"/>
        </w:rPr>
        <w:t xml:space="preserve"> but </w:t>
      </w:r>
      <w:r>
        <w:rPr>
          <w:rFonts w:ascii="Georgia" w:cs="Georgia" w:eastAsia="Georgia" w:hAnsi="Georgia"/>
          <w:i/>
          <w:iCs/>
          <w:sz w:val="22"/>
          <w:szCs w:val="22"/>
        </w:rPr>
        <w:t xml:space="preserve">“What are you going to do about what Christ taught?”</w:t>
      </w:r>
    </w:p>
    <w:p>
      <w:pPr>
        <w:spacing w:after="120" w:before="240"/>
      </w:pPr>
      <w:r>
        <w:rPr>
          <w:rFonts w:ascii="Georgia" w:cs="Georgia" w:eastAsia="Georgia" w:hAnsi="Georgia"/>
          <w:b/>
          <w:bCs/>
          <w:color w:val="C4943A"/>
          <w:sz w:val="22"/>
          <w:szCs w:val="22"/>
        </w:rPr>
        <w:t xml:space="preserve">The Three Layers Revisited</w:t>
      </w:r>
    </w:p>
    <w:p>
      <w:pPr>
        <w:spacing w:after="160" w:line="312"/>
      </w:pPr>
      <w:r>
        <w:rPr>
          <w:rFonts w:ascii="Georgia" w:cs="Georgia" w:eastAsia="Georgia" w:hAnsi="Georgia"/>
          <w:sz w:val="22"/>
          <w:szCs w:val="22"/>
        </w:rPr>
        <w:t xml:space="preserve">The Three-Layer Discipline Rule from the original Authoring Guide remains in force. Each Practice tab contains:</w:t>
      </w:r>
    </w:p>
    <w:p>
      <w:pPr>
        <w:spacing w:after="160" w:line="312"/>
      </w:pPr>
      <w:r>
        <w:rPr>
          <w:rFonts w:ascii="Georgia" w:cs="Georgia" w:eastAsia="Georgia" w:hAnsi="Georgia"/>
          <w:b/>
          <w:bCs/>
          <w:sz w:val="22"/>
          <w:szCs w:val="22"/>
        </w:rPr>
        <w:t xml:space="preserve">Layer 1: Gospel Evidence</w:t>
      </w:r>
      <w:r>
        <w:rPr>
          <w:rFonts w:ascii="Georgia" w:cs="Georgia" w:eastAsia="Georgia" w:hAnsi="Georgia"/>
          <w:sz w:val="22"/>
          <w:szCs w:val="22"/>
        </w:rPr>
        <w:t xml:space="preserve"> — what scripture teaches about this practice. Anchored in specific citations.</w:t>
      </w:r>
    </w:p>
    <w:p>
      <w:pPr>
        <w:spacing w:after="160" w:line="312"/>
      </w:pPr>
      <w:r>
        <w:rPr>
          <w:rFonts w:ascii="Georgia" w:cs="Georgia" w:eastAsia="Georgia" w:hAnsi="Georgia"/>
          <w:b/>
          <w:bCs/>
          <w:sz w:val="22"/>
          <w:szCs w:val="22"/>
        </w:rPr>
        <w:t xml:space="preserve">Layer 2: Theological Lens</w:t>
      </w:r>
      <w:r>
        <w:rPr>
          <w:rFonts w:ascii="Georgia" w:cs="Georgia" w:eastAsia="Georgia" w:hAnsi="Georgia"/>
          <w:sz w:val="22"/>
          <w:szCs w:val="22"/>
        </w:rPr>
        <w:t xml:space="preserve"> — how Latter-day Saint theology frames and deepens the practice.</w:t>
      </w:r>
    </w:p>
    <w:p>
      <w:pPr>
        <w:spacing w:after="160" w:line="312"/>
      </w:pPr>
      <w:r>
        <w:rPr>
          <w:rFonts w:ascii="Georgia" w:cs="Georgia" w:eastAsia="Georgia" w:hAnsi="Georgia"/>
          <w:b/>
          <w:bCs/>
          <w:sz w:val="22"/>
          <w:szCs w:val="22"/>
        </w:rPr>
        <w:t xml:space="preserve">Layer 3: Personal Turn</w:t>
      </w:r>
      <w:r>
        <w:rPr>
          <w:rFonts w:ascii="Georgia" w:cs="Georgia" w:eastAsia="Georgia" w:hAnsi="Georgia"/>
          <w:sz w:val="22"/>
          <w:szCs w:val="22"/>
        </w:rPr>
        <w:t xml:space="preserve"> — the bridge from doctrine to daily life. This is where the Practice tab points the reader toward the Commitment tab.</w:t>
      </w:r>
    </w:p>
    <w:p>
      <w:pPr>
        <w:spacing w:after="160" w:line="312"/>
      </w:pPr>
      <w:r>
        <w:rPr>
          <w:rFonts w:ascii="Georgia" w:cs="Georgia" w:eastAsia="Georgia" w:hAnsi="Georgia"/>
          <w:sz w:val="22"/>
          <w:szCs w:val="22"/>
        </w:rPr>
        <w:t xml:space="preserve">The revision adds a clarity test: if Layer 1 or Layer 2 content is growing beyond what the card can carry while maintaining a clear path to Layer 3 (the personal turn and commitment), that content should migrate to the companion appendix. The card retains the essential theological frame and the action orientation. The appendix carries the full exegetical weight.</w:t>
      </w:r>
    </w:p>
    <w:p>
      <w:pPr>
        <w:spacing w:after="120" w:before="240"/>
      </w:pPr>
      <w:r>
        <w:rPr>
          <w:rFonts w:ascii="Georgia" w:cs="Georgia" w:eastAsia="Georgia" w:hAnsi="Georgia"/>
          <w:b/>
          <w:bCs/>
          <w:color w:val="C4943A"/>
          <w:sz w:val="22"/>
          <w:szCs w:val="22"/>
        </w:rPr>
        <w:t xml:space="preserve">Overflow, Not Loss</w:t>
      </w:r>
    </w:p>
    <w:p>
      <w:pPr>
        <w:spacing w:after="160" w:line="312"/>
      </w:pPr>
      <w:r>
        <w:rPr>
          <w:rFonts w:ascii="Georgia" w:cs="Georgia" w:eastAsia="Georgia" w:hAnsi="Georgia"/>
          <w:sz w:val="22"/>
          <w:szCs w:val="22"/>
        </w:rPr>
        <w:t xml:space="preserve">Moving content from a card to an appendix is not loss. It is proper placement. The card is the place where the reader decides what they are going to do. The appendix is the place where the reader builds or deepens the understanding that informs that decision. Both are essential. Neither replaces the other.</w:t>
      </w:r>
    </w:p>
    <w:p>
      <w:pPr>
        <w:pStyle w:val="Heading1"/>
        <w:spacing w:after="200" w:before="360"/>
      </w:pPr>
      <w:r>
        <w:rPr>
          <w:rFonts w:ascii="Georgia" w:cs="Georgia" w:eastAsia="Georgia" w:hAnsi="Georgia"/>
          <w:b/>
          <w:bCs/>
          <w:color w:val="3D2B1F"/>
          <w:sz w:val="32"/>
          <w:szCs w:val="32"/>
        </w:rPr>
        <w:t xml:space="preserve">Section 13: Standard Protocol for Card-Chapter Development</w:t>
      </w:r>
    </w:p>
    <w:p>
      <w:pPr>
        <w:spacing w:after="160" w:line="312"/>
      </w:pPr>
      <w:r>
        <w:rPr>
          <w:rFonts w:ascii="Georgia" w:cs="Georgia" w:eastAsia="Georgia" w:hAnsi="Georgia"/>
          <w:sz w:val="22"/>
          <w:szCs w:val="22"/>
        </w:rPr>
        <w:t xml:space="preserve">The following checklist supplements the existing Step-by-Step Process (Section 4.1) with the new protocols established in this addendum:</w:t>
      </w:r>
    </w:p>
    <w:p>
      <w:pPr>
        <w:spacing w:after="120" w:before="240"/>
      </w:pPr>
      <w:r>
        <w:rPr>
          <w:rFonts w:ascii="Georgia" w:cs="Georgia" w:eastAsia="Georgia" w:hAnsi="Georgia"/>
          <w:b/>
          <w:bCs/>
          <w:color w:val="C4943A"/>
          <w:sz w:val="22"/>
          <w:szCs w:val="22"/>
        </w:rPr>
        <w:t xml:space="preserve">Pre-Drafting</w:t>
      </w:r>
    </w:p>
    <w:p>
      <w:pPr>
        <w:spacing w:after="160" w:line="312"/>
      </w:pPr>
      <w:r>
        <w:rPr>
          <w:rFonts w:ascii="Georgia" w:cs="Georgia" w:eastAsia="Georgia" w:hAnsi="Georgia"/>
          <w:b/>
          <w:bCs/>
          <w:sz w:val="22"/>
          <w:szCs w:val="22"/>
        </w:rPr>
        <w:t xml:space="preserve">1. </w:t>
      </w:r>
      <w:r>
        <w:rPr>
          <w:rFonts w:ascii="Georgia" w:cs="Georgia" w:eastAsia="Georgia" w:hAnsi="Georgia"/>
          <w:sz w:val="22"/>
          <w:szCs w:val="22"/>
        </w:rPr>
        <w:t xml:space="preserve">Consult the Master List for card assignments, scope notes, and source chapters.</w:t>
      </w:r>
    </w:p>
    <w:p>
      <w:pPr>
        <w:spacing w:after="160" w:line="312"/>
      </w:pPr>
      <w:r>
        <w:rPr>
          <w:rFonts w:ascii="Georgia" w:cs="Georgia" w:eastAsia="Georgia" w:hAnsi="Georgia"/>
          <w:b/>
          <w:bCs/>
          <w:sz w:val="22"/>
          <w:szCs w:val="22"/>
        </w:rPr>
        <w:t xml:space="preserve">2. </w:t>
      </w:r>
      <w:r>
        <w:rPr>
          <w:rFonts w:ascii="Georgia" w:cs="Georgia" w:eastAsia="Georgia" w:hAnsi="Georgia"/>
          <w:sz w:val="22"/>
          <w:szCs w:val="22"/>
        </w:rPr>
        <w:t xml:space="preserve">Read the source manuscript chapter(s).</w:t>
      </w:r>
    </w:p>
    <w:p>
      <w:pPr>
        <w:spacing w:after="160" w:line="312"/>
      </w:pPr>
      <w:r>
        <w:rPr>
          <w:rFonts w:ascii="Georgia" w:cs="Georgia" w:eastAsia="Georgia" w:hAnsi="Georgia"/>
          <w:b/>
          <w:bCs/>
          <w:sz w:val="22"/>
          <w:szCs w:val="22"/>
        </w:rPr>
        <w:t xml:space="preserve">3. </w:t>
      </w:r>
      <w:r>
        <w:rPr>
          <w:rFonts w:ascii="Georgia" w:cs="Georgia" w:eastAsia="Georgia" w:hAnsi="Georgia"/>
          <w:sz w:val="22"/>
          <w:szCs w:val="22"/>
        </w:rPr>
        <w:t xml:space="preserve">Assess prerequisite weight. Determine whether the chapter requires a light, moderate, or heavy readiness check (Section 10). If a companion appendix is warranted (Section 11), note this for parallel development.</w:t>
      </w:r>
    </w:p>
    <w:p>
      <w:pPr>
        <w:spacing w:after="120" w:before="240"/>
      </w:pPr>
      <w:r>
        <w:rPr>
          <w:rFonts w:ascii="Georgia" w:cs="Georgia" w:eastAsia="Georgia" w:hAnsi="Georgia"/>
          <w:b/>
          <w:bCs/>
          <w:color w:val="C4943A"/>
          <w:sz w:val="22"/>
          <w:szCs w:val="22"/>
        </w:rPr>
        <w:t xml:space="preserve">Drafting</w:t>
      </w:r>
    </w:p>
    <w:p>
      <w:pPr>
        <w:spacing w:after="160" w:line="312"/>
      </w:pPr>
      <w:r>
        <w:rPr>
          <w:rFonts w:ascii="Georgia" w:cs="Georgia" w:eastAsia="Georgia" w:hAnsi="Georgia"/>
          <w:b/>
          <w:bCs/>
          <w:sz w:val="22"/>
          <w:szCs w:val="22"/>
        </w:rPr>
        <w:t xml:space="preserve">4. </w:t>
      </w:r>
      <w:r>
        <w:rPr>
          <w:rFonts w:ascii="Georgia" w:cs="Georgia" w:eastAsia="Georgia" w:hAnsi="Georgia"/>
          <w:sz w:val="22"/>
          <w:szCs w:val="22"/>
        </w:rPr>
        <w:t xml:space="preserve">Draft the chapter introduction, including: the chapter’s governing question or thematic frame, the readiness check (using the template from Section 10), and a pointer to the appendix or learning pathway if applicable.</w:t>
      </w:r>
    </w:p>
    <w:p>
      <w:pPr>
        <w:spacing w:after="160" w:line="312"/>
      </w:pPr>
      <w:r>
        <w:rPr>
          <w:rFonts w:ascii="Georgia" w:cs="Georgia" w:eastAsia="Georgia" w:hAnsi="Georgia"/>
          <w:b/>
          <w:bCs/>
          <w:sz w:val="22"/>
          <w:szCs w:val="22"/>
        </w:rPr>
        <w:t xml:space="preserve">5. </w:t>
      </w:r>
      <w:r>
        <w:rPr>
          <w:rFonts w:ascii="Georgia" w:cs="Georgia" w:eastAsia="Georgia" w:hAnsi="Georgia"/>
          <w:sz w:val="22"/>
          <w:szCs w:val="22"/>
        </w:rPr>
        <w:t xml:space="preserve">Draft all cards as a complete unit (existing Section 4.1, Step 3). Apply the pedagogy principle (Section 9): every card’s content should drive toward commitment and character formation, not information acquisition.</w:t>
      </w:r>
    </w:p>
    <w:p>
      <w:pPr>
        <w:spacing w:after="160" w:line="312"/>
      </w:pPr>
      <w:r>
        <w:rPr>
          <w:rFonts w:ascii="Georgia" w:cs="Georgia" w:eastAsia="Georgia" w:hAnsi="Georgia"/>
          <w:b/>
          <w:bCs/>
          <w:sz w:val="22"/>
          <w:szCs w:val="22"/>
        </w:rPr>
        <w:t xml:space="preserve">6. </w:t>
      </w:r>
      <w:r>
        <w:rPr>
          <w:rFonts w:ascii="Georgia" w:cs="Georgia" w:eastAsia="Georgia" w:hAnsi="Georgia"/>
          <w:sz w:val="22"/>
          <w:szCs w:val="22"/>
        </w:rPr>
        <w:t xml:space="preserve">Apply the overflow test: if any card’s Practice tab exceeds 300 words or if Layer 1/Layer 2 content is crowding out Layer 3 (the personal turn), consider migrating the excess to the companion appendix.</w:t>
      </w:r>
    </w:p>
    <w:p>
      <w:pPr>
        <w:spacing w:after="120" w:before="240"/>
      </w:pPr>
      <w:r>
        <w:rPr>
          <w:rFonts w:ascii="Georgia" w:cs="Georgia" w:eastAsia="Georgia" w:hAnsi="Georgia"/>
          <w:b/>
          <w:bCs/>
          <w:color w:val="C4943A"/>
          <w:sz w:val="22"/>
          <w:szCs w:val="22"/>
        </w:rPr>
        <w:t xml:space="preserve">Appendix Development (When Warranted)</w:t>
      </w:r>
    </w:p>
    <w:p>
      <w:pPr>
        <w:spacing w:after="160" w:line="312"/>
      </w:pPr>
      <w:r>
        <w:rPr>
          <w:rFonts w:ascii="Georgia" w:cs="Georgia" w:eastAsia="Georgia" w:hAnsi="Georgia"/>
          <w:b/>
          <w:bCs/>
          <w:sz w:val="22"/>
          <w:szCs w:val="22"/>
        </w:rPr>
        <w:t xml:space="preserve">7. </w:t>
      </w:r>
      <w:r>
        <w:rPr>
          <w:rFonts w:ascii="Georgia" w:cs="Georgia" w:eastAsia="Georgia" w:hAnsi="Georgia"/>
          <w:sz w:val="22"/>
          <w:szCs w:val="22"/>
        </w:rPr>
        <w:t xml:space="preserve">Build the companion appendix as a parallel deliverable. Ensure it serves both new readers (sequential study pathway) and experienced disciples (reference map with cross-references).</w:t>
      </w:r>
    </w:p>
    <w:p>
      <w:pPr>
        <w:spacing w:after="160" w:line="312"/>
      </w:pPr>
      <w:r>
        <w:rPr>
          <w:rFonts w:ascii="Georgia" w:cs="Georgia" w:eastAsia="Georgia" w:hAnsi="Georgia"/>
          <w:b/>
          <w:bCs/>
          <w:sz w:val="22"/>
          <w:szCs w:val="22"/>
        </w:rPr>
        <w:t xml:space="preserve">8. </w:t>
      </w:r>
      <w:r>
        <w:rPr>
          <w:rFonts w:ascii="Georgia" w:cs="Georgia" w:eastAsia="Georgia" w:hAnsi="Georgia"/>
          <w:sz w:val="22"/>
          <w:szCs w:val="22"/>
        </w:rPr>
        <w:t xml:space="preserve">Verify cross-references between the appendix and the card-chapter: the readiness check links to the appendix; the appendix links back to the relevant cards.</w:t>
      </w:r>
    </w:p>
    <w:p>
      <w:pPr>
        <w:spacing w:after="120" w:before="240"/>
      </w:pPr>
      <w:r>
        <w:rPr>
          <w:rFonts w:ascii="Georgia" w:cs="Georgia" w:eastAsia="Georgia" w:hAnsi="Georgia"/>
          <w:b/>
          <w:bCs/>
          <w:color w:val="C4943A"/>
          <w:sz w:val="22"/>
          <w:szCs w:val="22"/>
        </w:rPr>
        <w:t xml:space="preserve">Quality Checks (Addition to Existing Section 4.1, Step 7)</w:t>
      </w:r>
    </w:p>
    <w:p>
      <w:pPr>
        <w:spacing w:after="160" w:line="312"/>
      </w:pPr>
      <w:r>
        <w:rPr>
          <w:rFonts w:ascii="Georgia" w:cs="Georgia" w:eastAsia="Georgia" w:hAnsi="Georgia"/>
          <w:b/>
          <w:bCs/>
          <w:sz w:val="22"/>
          <w:szCs w:val="22"/>
        </w:rPr>
        <w:t xml:space="preserve">9. </w:t>
      </w:r>
      <w:r>
        <w:rPr>
          <w:rFonts w:ascii="Georgia" w:cs="Georgia" w:eastAsia="Georgia" w:hAnsi="Georgia"/>
          <w:sz w:val="22"/>
          <w:szCs w:val="22"/>
        </w:rPr>
        <w:t xml:space="preserve">Readiness check present and properly filled in.</w:t>
      </w:r>
    </w:p>
    <w:p>
      <w:pPr>
        <w:spacing w:after="160" w:line="312"/>
      </w:pPr>
      <w:r>
        <w:rPr>
          <w:rFonts w:ascii="Georgia" w:cs="Georgia" w:eastAsia="Georgia" w:hAnsi="Georgia"/>
          <w:b/>
          <w:bCs/>
          <w:sz w:val="22"/>
          <w:szCs w:val="22"/>
        </w:rPr>
        <w:t xml:space="preserve">10. </w:t>
      </w:r>
      <w:r>
        <w:rPr>
          <w:rFonts w:ascii="Georgia" w:cs="Georgia" w:eastAsia="Georgia" w:hAnsi="Georgia"/>
          <w:sz w:val="22"/>
          <w:szCs w:val="22"/>
        </w:rPr>
        <w:t xml:space="preserve">Appendix link functional (if applicable).</w:t>
      </w:r>
    </w:p>
    <w:p>
      <w:pPr>
        <w:spacing w:after="160" w:line="312"/>
      </w:pPr>
      <w:r>
        <w:rPr>
          <w:rFonts w:ascii="Georgia" w:cs="Georgia" w:eastAsia="Georgia" w:hAnsi="Georgia"/>
          <w:b/>
          <w:bCs/>
          <w:sz w:val="22"/>
          <w:szCs w:val="22"/>
        </w:rPr>
        <w:t xml:space="preserve">11. </w:t>
      </w:r>
      <w:r>
        <w:rPr>
          <w:rFonts w:ascii="Georgia" w:cs="Georgia" w:eastAsia="Georgia" w:hAnsi="Georgia"/>
          <w:sz w:val="22"/>
          <w:szCs w:val="22"/>
        </w:rPr>
        <w:t xml:space="preserve">No card exceeds pedagogical scope—each card drives toward commitment, not information overload.</w:t>
      </w:r>
    </w:p>
    <w:p>
      <w:pPr>
        <w:spacing w:after="160" w:line="312"/>
      </w:pPr>
      <w:r>
        <w:rPr>
          <w:rFonts w:ascii="Georgia" w:cs="Georgia" w:eastAsia="Georgia" w:hAnsi="Georgia"/>
          <w:b/>
          <w:bCs/>
          <w:sz w:val="22"/>
          <w:szCs w:val="22"/>
        </w:rPr>
        <w:t xml:space="preserve">12. </w:t>
      </w:r>
      <w:r>
        <w:rPr>
          <w:rFonts w:ascii="Georgia" w:cs="Georgia" w:eastAsia="Georgia" w:hAnsi="Georgia"/>
          <w:sz w:val="22"/>
          <w:szCs w:val="22"/>
        </w:rPr>
        <w:t xml:space="preserve">Appendix (if created) is accessible to both new and experienced readers.</w:t>
      </w:r>
    </w:p>
    <w:p>
      <w:r>
        <w:br w:type="page"/>
      </w:r>
    </w:p>
    <w:p>
      <w:pPr>
        <w:pStyle w:val="Heading1"/>
        <w:spacing w:after="200" w:before="360"/>
      </w:pPr>
      <w:r>
        <w:rPr>
          <w:rFonts w:ascii="Georgia" w:cs="Georgia" w:eastAsia="Georgia" w:hAnsi="Georgia"/>
          <w:b/>
          <w:bCs/>
          <w:color w:val="3D2B1F"/>
          <w:sz w:val="32"/>
          <w:szCs w:val="3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D4C5A9" w:sz="1"/>
              <w:left w:val="single" w:color="D4C5A9" w:sz="1"/>
              <w:bottom w:val="single" w:color="D4C5A9" w:sz="1"/>
              <w:right w:val="single" w:color="D4C5A9" w:sz="1"/>
            </w:tcBorders>
            <w:shd w:fill="F0E8D8" w:val="clear"/>
            <w:tcMar>
              <w:top w:type="dxa" w:w="80"/>
              <w:left w:type="dxa" w:w="120"/>
              <w:bottom w:type="dxa" w:w="80"/>
              <w:right w:type="dxa" w:w="120"/>
            </w:tcMar>
          </w:tcPr>
          <w:p>
            <w:pPr>
              <w:spacing w:after="40"/>
            </w:pPr>
            <w:r>
              <w:rPr>
                <w:rFonts w:ascii="Georgia" w:cs="Georgia" w:eastAsia="Georgia" w:hAnsi="Georgia"/>
                <w:b/>
                <w:bCs/>
                <w:sz w:val="20"/>
                <w:szCs w:val="20"/>
              </w:rPr>
              <w:t xml:space="preserve">Version</w:t>
            </w:r>
          </w:p>
        </w:tc>
        <w:tc>
          <w:tcPr>
            <w:tcW w:type="dxa" w:w="2000"/>
            <w:tcBorders>
              <w:top w:val="single" w:color="D4C5A9" w:sz="1"/>
              <w:left w:val="single" w:color="D4C5A9" w:sz="1"/>
              <w:bottom w:val="single" w:color="D4C5A9" w:sz="1"/>
              <w:right w:val="single" w:color="D4C5A9" w:sz="1"/>
            </w:tcBorders>
            <w:shd w:fill="F0E8D8" w:val="clear"/>
            <w:tcMar>
              <w:top w:type="dxa" w:w="80"/>
              <w:left w:type="dxa" w:w="120"/>
              <w:bottom w:type="dxa" w:w="80"/>
              <w:right w:type="dxa" w:w="120"/>
            </w:tcMar>
          </w:tcPr>
          <w:p>
            <w:pPr>
              <w:spacing w:after="40"/>
            </w:pPr>
            <w:r>
              <w:rPr>
                <w:rFonts w:ascii="Georgia" w:cs="Georgia" w:eastAsia="Georgia" w:hAnsi="Georgia"/>
                <w:b/>
                <w:bCs/>
                <w:sz w:val="20"/>
                <w:szCs w:val="20"/>
              </w:rPr>
              <w:t xml:space="preserve">Date</w:t>
            </w:r>
          </w:p>
        </w:tc>
        <w:tc>
          <w:tcPr>
            <w:tcW w:type="dxa" w:w="5560"/>
            <w:tcBorders>
              <w:top w:val="single" w:color="D4C5A9" w:sz="1"/>
              <w:left w:val="single" w:color="D4C5A9" w:sz="1"/>
              <w:bottom w:val="single" w:color="D4C5A9" w:sz="1"/>
              <w:right w:val="single" w:color="D4C5A9" w:sz="1"/>
            </w:tcBorders>
            <w:shd w:fill="F0E8D8" w:val="clear"/>
            <w:tcMar>
              <w:top w:type="dxa" w:w="80"/>
              <w:left w:type="dxa" w:w="120"/>
              <w:bottom w:type="dxa" w:w="80"/>
              <w:right w:type="dxa" w:w="120"/>
            </w:tcMar>
          </w:tcPr>
          <w:p>
            <w:pPr>
              <w:spacing w:after="40"/>
            </w:pPr>
            <w:r>
              <w:rPr>
                <w:rFonts w:ascii="Georgia" w:cs="Georgia" w:eastAsia="Georgia" w:hAnsi="Georgia"/>
                <w:b/>
                <w:bCs/>
                <w:sz w:val="20"/>
                <w:szCs w:val="20"/>
              </w:rPr>
              <w:t xml:space="preserve">Changes</w:t>
            </w:r>
          </w:p>
        </w:tc>
      </w:tr>
      <w:tr>
        <w:tc>
          <w:tcPr>
            <w:tcW w:type="dxa" w:w="180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1.0</w:t>
            </w:r>
          </w:p>
        </w:tc>
        <w:tc>
          <w:tcPr>
            <w:tcW w:type="dxa" w:w="200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February 2026</w:t>
            </w:r>
          </w:p>
        </w:tc>
        <w:tc>
          <w:tcPr>
            <w:tcW w:type="dxa" w:w="556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Original Card-Chapter Authoring Guide</w:t>
            </w:r>
          </w:p>
        </w:tc>
      </w:tr>
      <w:tr>
        <w:tc>
          <w:tcPr>
            <w:tcW w:type="dxa" w:w="180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Addendum 1</w:t>
            </w:r>
          </w:p>
        </w:tc>
        <w:tc>
          <w:tcPr>
            <w:tcW w:type="dxa" w:w="200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b w:val="false"/>
                <w:bCs w:val="false"/>
                <w:sz w:val="20"/>
                <w:szCs w:val="20"/>
              </w:rPr>
              <w:t xml:space="preserve">April 2026</w:t>
            </w:r>
          </w:p>
        </w:tc>
        <w:tc>
          <w:tcPr>
            <w:tcW w:type="dxa" w:w="5560"/>
            <w:tcBorders>
              <w:top w:val="single" w:color="D4C5A9" w:sz="1"/>
              <w:left w:val="single" w:color="D4C5A9" w:sz="1"/>
              <w:bottom w:val="single" w:color="D4C5A9" w:sz="1"/>
              <w:right w:val="single" w:color="D4C5A9" w:sz="1"/>
            </w:tcBorders>
            <w:tcMar>
              <w:top w:type="dxa" w:w="80"/>
              <w:left w:type="dxa" w:w="120"/>
              <w:bottom w:type="dxa" w:w="80"/>
              <w:right w:type="dxa" w:w="120"/>
            </w:tcMar>
          </w:tcPr>
          <w:p>
            <w:pPr>
              <w:spacing w:after="40"/>
            </w:pPr>
            <w:r>
              <w:rPr>
                <w:rFonts w:ascii="Georgia" w:cs="Georgia" w:eastAsia="Georgia" w:hAnsi="Georgia"/>
                <w:sz w:val="22"/>
                <w:szCs w:val="22"/>
              </w:rPr>
              <w:t xml:space="preserve">Added Sections 9–13: Card-Chapter Pedagogy Principle, Readiness Check Protocol, Appendix Protocol, Revised Card Content Standard, Standard Protocol for Card-Chapter Development. Established during Chapter 13 (Sermon on the Mount) planning session.</w:t>
            </w:r>
          </w:p>
        </w:tc>
      </w:tr>
    </w:tbl>
    <w:p>
      <w:pPr>
        <w:spacing w:after="200"/>
      </w:pPr>
    </w:p>
    <w:p>
      <w:pPr>
        <w:spacing w:before="400"/>
        <w:jc w:val="center"/>
      </w:pPr>
      <w:r>
        <w:rPr>
          <w:rFonts w:ascii="Georgia" w:cs="Georgia" w:eastAsia="Georgia" w:hAnsi="Georgia"/>
          <w:i/>
          <w:iCs/>
          <w:sz w:val="22"/>
          <w:szCs w:val="22"/>
        </w:rPr>
        <w:t xml:space="preserve">“For my soul delighteth in plainness; for after this manner doth the Lord God work among the children of men.”</w:t>
      </w:r>
    </w:p>
    <w:p>
      <w:pPr>
        <w:spacing w:after="200"/>
        <w:jc w:val="center"/>
      </w:pPr>
      <w:r>
        <w:rPr>
          <w:rFonts w:ascii="Georgia" w:cs="Georgia" w:eastAsia="Georgia" w:hAnsi="Georgia"/>
          <w:i/>
          <w:iCs/>
          <w:sz w:val="22"/>
          <w:szCs w:val="22"/>
        </w:rPr>
        <w:t xml:space="preserve">— 2 Nephi 31:3</w:t>
      </w:r>
    </w:p>
    <w:p>
      <w:pPr>
        <w:jc w:val="center"/>
      </w:pPr>
      <w:r>
        <w:rPr>
          <w:rFonts w:ascii="Georgia" w:cs="Georgia" w:eastAsia="Georgia" w:hAnsi="Georgia"/>
          <w:sz w:val="22"/>
          <w:szCs w:val="22"/>
        </w:rPr>
        <w:t xml:space="preserve">A Words of Plainness Project — host@brotheraaron.org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3D2B1F"/>
      <w:sz w:val="32"/>
      <w:szCs w:val="32"/>
    </w:rPr>
  </w:style>
  <w:style w:type="paragraph" w:styleId="Heading2">
    <w:name w:val="Heading 2"/>
    <w:basedOn w:val="Normal"/>
    <w:next w:val="Normal"/>
    <w:qFormat/>
    <w:pPr>
      <w:spacing w:after="160" w:before="300"/>
      <w:outlineLvl w:val="1"/>
    </w:pPr>
    <w:rPr>
      <w:rFonts w:ascii="Georgia" w:cs="Georgia" w:eastAsia="Georgia" w:hAnsi="Georgia"/>
      <w:b/>
      <w:bCs/>
      <w:color w:val="3D2B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2026-04-05T23:31:50.097Z</dcterms:created>
  <dcterms:modified xsi:type="dcterms:W3CDTF">2026-04-05T23:31:50.098Z</dcterms:modified>
</cp:coreProperties>
</file>

<file path=docProps/custom.xml><?xml version="1.0" encoding="utf-8"?>
<Properties xmlns="http://schemas.openxmlformats.org/officeDocument/2006/custom-properties" xmlns:vt="http://schemas.openxmlformats.org/officeDocument/2006/docPropsVTypes"/>
</file>