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180975</wp:posOffset>
            </wp:positionV>
            <wp:extent cx="1257300" cy="938420"/>
            <wp:effectExtent b="0" l="0" r="0" t="0"/>
            <wp:wrapNone/>
            <wp:docPr id="21200972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38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7373"/>
        </w:tabs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ab/>
      </w:r>
    </w:p>
    <w:p w:rsidR="00000000" w:rsidDel="00000000" w:rsidP="00000000" w:rsidRDefault="00000000" w:rsidRPr="00000000" w14:paraId="00000003">
      <w:pPr>
        <w:tabs>
          <w:tab w:val="left" w:leader="none" w:pos="7373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Diverse Makers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Alpha Prototype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10-18-2024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Sponsor: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Dr. Jared Duval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Faculty Member: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Isaac Shaffer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Project Mentor: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Vahid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Nikoonejad Fard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Team members:</w:t>
        <w:br w:type="textWrapping"/>
        <w:t xml:space="preserve">Daniel Minichetti (Team Lead)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Kane Davidson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Eduardo De La Rosa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Elleana Negrelli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Aaron Ramirez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document, we outline the key use cases and user flows for our application, providing a step by step demonstration of the product “in action” as envisioned during the design phase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453"/>
          <w:tab w:val="left" w:leader="none" w:pos="3587"/>
          <w:tab w:val="left" w:leader="none" w:pos="6930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Diverse Makers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 purpose of the Alpha Prototype Demo is to clearly demonstrate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which all core user flows envisioned for the product are supported by the current implementation.   The flow of the demo is very natural:  you simply introduce each of the major usage scenarios, and then follow through each of them, just as an end-user would in using the product.  Grading is based on how completely the current product supports all key functional aspects within a coherent, realistic user flow.  Interface refinement, clunkiness, and aesthetics should be ignored for now; the focus is simply on functional ability to complete the user flow. 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template has been fleshed out by the team, and is pending approval by our CS team mentor, which we will bring to the demo as a grading sheet.</w:t>
      </w:r>
    </w:p>
    <w:p w:rsidR="00000000" w:rsidDel="00000000" w:rsidP="00000000" w:rsidRDefault="00000000" w:rsidRPr="00000000" w14:paraId="0000001A">
      <w:pPr>
        <w:pStyle w:val="Heading3"/>
        <w:spacing w:after="0" w:before="20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Overview of major product use cases</w:t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Requirements document and subsequent development discussions with your client and mentor, briefly describe each of the key use cases for your product:</w:t>
      </w:r>
    </w:p>
    <w:p w:rsidR="00000000" w:rsidDel="00000000" w:rsidP="00000000" w:rsidRDefault="00000000" w:rsidRPr="00000000" w14:paraId="0000001C">
      <w:pPr>
        <w:spacing w:after="200"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UC1: User Account Creation and Management: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user will sign up for an account, login, and manage their profile settings, including accessibility preferences.</w:t>
      </w:r>
    </w:p>
    <w:p w:rsidR="00000000" w:rsidDel="00000000" w:rsidP="00000000" w:rsidRDefault="00000000" w:rsidRPr="00000000" w14:paraId="0000001D">
      <w:pPr>
        <w:spacing w:after="200"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UC2:  Browsing and Interacting with STEM Resources: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will search for, view, and interact with STEM resources for a project that was uploaded by a makerspace.</w:t>
      </w:r>
    </w:p>
    <w:p w:rsidR="00000000" w:rsidDel="00000000" w:rsidP="00000000" w:rsidRDefault="00000000" w:rsidRPr="00000000" w14:paraId="0000001E">
      <w:pPr>
        <w:spacing w:after="120" w:line="240" w:lineRule="auto"/>
        <w:ind w:left="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UC3:  Connecting with a Local Makerspace: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will discover a nearby makerspace, and view their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User Flows:  Detailed walk-through for each use case:</w:t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section, we outline the demonstrations of each use case that we have prepared, giving a step-by-step outline of the user flow that would be followed by a real user for that use case.  </w:t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1:  User Account Creation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ind w:firstLine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Flow: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 by step overview of user interactions with product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opens the app and selects “Sign Up”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enters their email address and password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20" w:line="276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logs in to the app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2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the profile settings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2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adjusts accessibility settings (font size and high contrast)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2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are saved and the user returns to the home screen</w:t>
      </w:r>
    </w:p>
    <w:p w:rsidR="00000000" w:rsidDel="00000000" w:rsidP="00000000" w:rsidRDefault="00000000" w:rsidRPr="00000000" w14:paraId="0000002B">
      <w:pPr>
        <w:spacing w:after="120" w:line="240" w:lineRule="auto"/>
        <w:ind w:firstLine="27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Evaluation and Comments: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firstLine="27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Convincingly demo’d each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listed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challenges?</w:t>
      </w:r>
    </w:p>
    <w:p w:rsidR="00000000" w:rsidDel="00000000" w:rsidP="00000000" w:rsidRDefault="00000000" w:rsidRPr="00000000" w14:paraId="0000002D">
      <w:pPr>
        <w:spacing w:after="0" w:line="240" w:lineRule="auto"/>
        <w:ind w:left="9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20" w:line="240" w:lineRule="auto"/>
        <w:ind w:left="720" w:firstLine="27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evaluative comments:</w:t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2: Browsing and Interacting with STEM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ind w:firstLine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Flow: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 by step overview of user interactions with product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logs into the app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the home screen showing the different STEM projects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2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project to view the details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2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interacts with the content by scrolling through the page and viewing the content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12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back to the home screen</w:t>
      </w:r>
    </w:p>
    <w:p w:rsidR="00000000" w:rsidDel="00000000" w:rsidP="00000000" w:rsidRDefault="00000000" w:rsidRPr="00000000" w14:paraId="00000037">
      <w:pPr>
        <w:spacing w:after="120" w:line="240" w:lineRule="auto"/>
        <w:ind w:firstLine="27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Evaluation and Comments: 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firstLine="27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Convincingly demo’d each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listed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challenges?</w:t>
      </w:r>
    </w:p>
    <w:p w:rsidR="00000000" w:rsidDel="00000000" w:rsidP="00000000" w:rsidRDefault="00000000" w:rsidRPr="00000000" w14:paraId="00000039">
      <w:pPr>
        <w:spacing w:after="0" w:line="240" w:lineRule="auto"/>
        <w:ind w:left="9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120" w:line="240" w:lineRule="auto"/>
        <w:ind w:left="720" w:firstLine="27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evaluative comments:</w:t>
      </w:r>
    </w:p>
    <w:p w:rsidR="00000000" w:rsidDel="00000000" w:rsidP="00000000" w:rsidRDefault="00000000" w:rsidRPr="00000000" w14:paraId="0000003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3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3: Connecting with a Local Makerspace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ind w:firstLine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Flow: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 by step overview of user interactions with product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the “Makerspaces” tab on the home screen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displays nearby makerspaces based on the user’s location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12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makerspace to view its profile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120" w:line="240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browses the projects that were uploaded by the makerspace</w:t>
      </w:r>
    </w:p>
    <w:p w:rsidR="00000000" w:rsidDel="00000000" w:rsidP="00000000" w:rsidRDefault="00000000" w:rsidRPr="00000000" w14:paraId="00000043">
      <w:pPr>
        <w:spacing w:after="120" w:line="240" w:lineRule="auto"/>
        <w:ind w:firstLine="27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Evaluation and Comments: 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firstLine="27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Convincingly demo’d each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listed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challenges?</w:t>
      </w:r>
    </w:p>
    <w:p w:rsidR="00000000" w:rsidDel="00000000" w:rsidP="00000000" w:rsidRDefault="00000000" w:rsidRPr="00000000" w14:paraId="00000045">
      <w:pPr>
        <w:spacing w:after="0" w:line="240" w:lineRule="auto"/>
        <w:ind w:left="9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120" w:line="240" w:lineRule="auto"/>
        <w:ind w:left="720" w:firstLine="27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evaluative comments:</w:t>
      </w:r>
    </w:p>
    <w:p w:rsidR="00000000" w:rsidDel="00000000" w:rsidP="00000000" w:rsidRDefault="00000000" w:rsidRPr="00000000" w14:paraId="00000047">
      <w:pPr>
        <w:pStyle w:val="Heading3"/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Known short-comings:  Functionality still deficient/missing: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were challenges you listed earlier that were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covered by a demo, list here.  This will hopefully be a short list…but better to be clear about where you are.  If you have items here, you could list (if applicable) any pending plans/schedule to get this implemented.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messaging system which users and makerspaces can use to chat.</w:t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-914394</wp:posOffset>
          </wp:positionH>
          <wp:positionV relativeFrom="paragraph">
            <wp:posOffset>-457193</wp:posOffset>
          </wp:positionV>
          <wp:extent cx="7762555" cy="10133330"/>
          <wp:effectExtent b="0" l="0" r="0" t="0"/>
          <wp:wrapNone/>
          <wp:docPr descr="A white background with colorful shapes&#10;&#10;Description automatically generated" id="2120097204" name="image2.png"/>
          <a:graphic>
            <a:graphicData uri="http://schemas.openxmlformats.org/drawingml/2006/picture">
              <pic:pic>
                <pic:nvPicPr>
                  <pic:cNvPr descr="A white background with colorful shapes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2555" cy="101333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3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9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50" w:hanging="18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378D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Strong">
    <w:name w:val="Strong"/>
    <w:basedOn w:val="DefaultParagraphFont"/>
    <w:uiPriority w:val="22"/>
    <w:qFormat w:val="1"/>
    <w:rsid w:val="0056378D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6B668E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on">
    <w:name w:val="Revision"/>
    <w:hidden w:val="1"/>
    <w:uiPriority w:val="99"/>
    <w:semiHidden w:val="1"/>
    <w:rsid w:val="00AD31C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D3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D31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D31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D31C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D31CA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JR7WE8bv3nP9Ghw3dlJENggd2g==">CgMxLjAyCGguZ2pkZ3hzOAByITF6NWQwOUY0LUlJM3Z2WTQySU1qRHVJMmRPQ2lGQnI2eg==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2024-02-13T01:59:00Z</dcterms:created>
  <dc:creator>Danny Minichetti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5d3f2a7c490bf9664fc499dc1722d1dcfccf23973e405d5d64147c7cd60f937f</vt:lpwstr>
  </property>
</Properties>
</file>