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Operationalizing Artificial Intelligence Decision Support for Depression Management in Primary Care.</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Aaron Seagle</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College</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NSG6900-CBE06A Transition to DNP Practice</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Justin Bowman</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28th, 2025</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Operationalizing Artificial Intelligence Decision Support for Depression Management in Primary Care.</w:t>
      </w:r>
    </w:p>
    <w:p w:rsidR="00000000" w:rsidDel="00000000" w:rsidP="00000000" w:rsidRDefault="00000000" w:rsidRPr="00000000" w14:paraId="00000017">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 and Significance</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Depression remains one of the most common and disabling conditions managed in primary care. Despite the availability of strong clinical guidelines and validated diagnostic tools, gaps persist in timely recognition, treatment adherence, and referral accuracy. As providers face increasing clinical workloads and administrative demands, the use of artificial intelligence (AI) tools, particularly large language models (LLMs), has shown emerging promise as a method to support evidence-based decision-making while preserving clinician judgment and patient safety.</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improvement (QI) project extends my previous work to establish a structured, measurable framework for the safe integration of LLMs into clinical decision-making for depression management. It will be implemented at Inspire Health and Wellness in Southaven, Mississippi, a collaborative primary care clinic that serves a diverse adult population with a high prevalence of mood disorders. The project’s central aim is to determine whether supervised use of an AI consultation tool can improve the rate of guideline-adherent care for depression and decrease unnecessary psychiatric referrals, all while maintaining stable safety outcomes.</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rationale for the initiative arises from both clinical and systems-level needs. Major depressive disorder (MDD) continues to affect millions of Americans annually, and it is frequently under-recognized or under-treated in the primary care setting. According to the Diagnostic and Statistical Manual of Mental Disorders, Fifth Edition, Text Revision (DSM-5-TR), diagnosis of MDD requires the presence of at least five depressive symptoms during the same two-week period, including either depressed mood or loss of interest or pleasure (American Psychiatric Association, 2022). Accurate application of the diagnostic criteria MDD is critical for determining severity and selecting appropriate interventions. However, variation in provider training, time constraints, and inconsistent access to behavioral health consultation often result in deviations from recommended standards of care.</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embedding a supervised LLM-driven consultation step within the existing clinical workflow, the project seeks to align daily practice more closely with evidence-based standards. The long-term goal is to evaluate whether such integration can increase consistency in treatment planning, improve patient outcomes, and strengthen interprofessional communication without increasing clinician workload.</w:t>
      </w:r>
    </w:p>
    <w:p w:rsidR="00000000" w:rsidDel="00000000" w:rsidP="00000000" w:rsidRDefault="00000000" w:rsidRPr="00000000" w14:paraId="0000001C">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Background and Evidence Base</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Emerging research supports the potential of AI models to assist clinicians in generating high-quality, empathetic, and guideline-concordant medical recommendations. For instance, Ayers et al. (2023) compared physician and AI chatbot responses to patient questions and found that AI responses were rated as higher in both quality and empathy. Similarly, Levkovich and Elyoseph (2023) demonstrated that ChatGPT’s treatment suggestions for depression aligned more consistently with accepted guidelines than those from many primary care physicians, while avoiding socioeconomic and gender bias. These findings suggest that AI systems, when properly constrained and monitored, can enhance clinical reasoning support.</w:t>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separate randomized quality improvement study, Tai-Seale et al. (2024) implemented AI-drafted communications within an electronic health record and found that physicians perceived these drafts as valuable starting points for generating more empathetic and efficient patient messages. This work demonstrates how AI can be safely integrated into existing clinical workflows under human supervision.</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guidelines from the 2022 Department of Veterans Affairs and Department of Defense (VA/DoD) and the 2022 National Institute for Health and Care Excellence (NICE) continue to emphasize systematic assessment, severity-based treatment, and proactive follow-up. These recommendations, alongside the diagnostic standards of the DSM-5-TR, form the foundation for evaluating AI output during the project. Together, these frameworks establish a clear structure for responsible testing and clinical deployment of AI tools in primary care.</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Description and Phases</w:t>
      </w:r>
      <w:r w:rsidDel="00000000" w:rsidR="00000000" w:rsidRPr="00000000">
        <w:rPr>
          <w:rtl w:val="0"/>
        </w:rPr>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be carried out in two sequential phases, designed to first evaluate AI accuracy and then pilot its clinical integration within the workflow at Inspire Health and Wellness.</w:t>
      </w:r>
    </w:p>
    <w:p w:rsidR="00000000" w:rsidDel="00000000" w:rsidP="00000000" w:rsidRDefault="00000000" w:rsidRPr="00000000" w14:paraId="00000022">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One</w:t>
      </w:r>
    </w:p>
    <w:p w:rsidR="00000000" w:rsidDel="00000000" w:rsidP="00000000" w:rsidRDefault="00000000" w:rsidRPr="00000000" w14:paraId="00000023">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 Evaluation and Selection</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phase will use a blinded comparison of four AI models (ChatGPT Pro, a custom GPT trained with psychiatric references, Google Gemini 2.5 Pro, and OpenEvidence) against a human psychiatric provider. Five unpublished, de-identified case vignettes authored by a psychiatrist or psychiatric advanced practice provider will serve as standardized input. Each vignette will represent a depression case that a primary care provider might encounter. Ten diverse primary care clinicians will independently review anonymized treatment recommendations for each case without knowing whether they were generated by a human or an AI model.</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clinician will score the recommendations on clarity, safety, and adherence to VA/DoD, NICE, and DSM-5-TR standards. The primary outcome will be provider preference for the recommendation they would most likely adopt. Secondary outcomes will include adherence to guideline criteria and time required for review. Findings will identify the most clinically accurate and trusted model to move forward into the second phase.</w:t>
      </w:r>
    </w:p>
    <w:p w:rsidR="00000000" w:rsidDel="00000000" w:rsidP="00000000" w:rsidRDefault="00000000" w:rsidRPr="00000000" w14:paraId="00000026">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Two</w:t>
      </w:r>
    </w:p>
    <w:p w:rsidR="00000000" w:rsidDel="00000000" w:rsidP="00000000" w:rsidRDefault="00000000" w:rsidRPr="00000000" w14:paraId="00000027">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Clinical Pilot at Inspire Health and Wellness</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identifying the top-performing model, the second phase will pilot its integration into clinical practice. During eligible visits, adult patients with moderate depressive symptoms and no acute safety risks will undergo a standardized AI consultation. Providers will complete a one-page input prompt including symptom descriptions, PHQ-9 score, prior medication history, risk assessment, and patient goals. The selected AI model will generate an evidence-based summary containing diagnostic impressions, recommended interventions, follow-up intervals, and referral guidance. Providers will review and edit the recommendations before documenting them in the patient’s note.</w:t>
      </w:r>
    </w:p>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pilot will follow a Plan–Do–Study–Act (PDSA) framework. In the planning stage, the guideline rubric will be finalized, providers will receive training, and data tracking tools will be created. During the doing stage, the pilot will run for approximately eight to twelve weeks. In the study stage, data will be compared before and after implementation to evaluate improvements in guideline adherence and reductions in unnecessary psychiatric referrals. Finally, in the action stage, findings will inform revisions to the prompts and inclusion criteria to prepare for future expansion.</w:t>
      </w:r>
    </w:p>
    <w:p w:rsidR="00000000" w:rsidDel="00000000" w:rsidP="00000000" w:rsidRDefault="00000000" w:rsidRPr="00000000" w14:paraId="0000002A">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Outcomes and Anticipated Impact</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outcomes will include the percentage of guideline-adherent depression treatment plans and the rate of routine psychiatric referrals per one hundred eligible visits. Secondary measures will include time from presentation to treatment initiation, therapy referrals, and the percentage of patients seen for follow-up within recommended intervals. Safety and balancing measures will monitor unplanned mental health contacts within fourteen days, provider-reported usability, and time added to each visit.</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aims to achieve a 20 percent improvement in guideline adherence and a 25 percent reduction in routine psychiatry referrals for moderate cases, with no increase in safety events. The overall impact will be assessed not only through data but also through provider feedback on trust, efficiency, and satisfaction with the AI integration process.</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Ethical and Leadership Considerations</w:t>
      </w:r>
      <w:r w:rsidDel="00000000" w:rsidR="00000000" w:rsidRPr="00000000">
        <w:rPr>
          <w:rtl w:val="0"/>
        </w:rPr>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safeguards are central to every stage of the initiative. All inputs will be fully de-identified, and no protected health information will be transmitted to or stored by any AI system. Cases involving suicidal ideation or other acute safety concerns will bypass the AI process and follow existing clinical protocols. The project will be submitted to the Inspire Health and Wellness quality office and the South College IRB for a Not Human Subjects Research or Quality Improvement determination.</w:t>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involvement will span across primary care, behavioral health, informatics, and compliance teams to ensure safe implementation, transparency, and adherence to ethical standards. Provider judgment will always remain the final authority in patient care decisions.</w:t>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supports multiple DNP competencies by strengthening systems-based practice, advancing informatics and technology use, improving quality and safety, and reinforcing advanced clinical judgment. By introducing a structured, ethically governed AI process, the initiative will represent a thoughtful and human-centered approach to improving depression management in the primary care setting.</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34">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Psychiatric Association. (2022). </w:t>
      </w:r>
      <w:r w:rsidDel="00000000" w:rsidR="00000000" w:rsidRPr="00000000">
        <w:rPr>
          <w:rFonts w:ascii="Times New Roman" w:cs="Times New Roman" w:eastAsia="Times New Roman" w:hAnsi="Times New Roman"/>
          <w:i w:val="1"/>
          <w:sz w:val="24"/>
          <w:szCs w:val="24"/>
          <w:rtl w:val="0"/>
        </w:rPr>
        <w:t xml:space="preserve">Diagnostic and statistical manual of mental disorders </w:t>
      </w:r>
      <w:r w:rsidDel="00000000" w:rsidR="00000000" w:rsidRPr="00000000">
        <w:rPr>
          <w:rFonts w:ascii="Times New Roman" w:cs="Times New Roman" w:eastAsia="Times New Roman" w:hAnsi="Times New Roman"/>
          <w:sz w:val="24"/>
          <w:szCs w:val="24"/>
          <w:rtl w:val="0"/>
        </w:rPr>
        <w:t xml:space="preserve">(5th ed., text rev.). American Psychiatric Publishing.</w:t>
      </w:r>
    </w:p>
    <w:p w:rsidR="00000000" w:rsidDel="00000000" w:rsidP="00000000" w:rsidRDefault="00000000" w:rsidRPr="00000000" w14:paraId="00000035">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Ayers, J. W., Poliak, A., Dredze, M., Leas, E. C., Zhu, Z., Kelley, J. B., Faix, D. J., Goodman, A. M., Longhurst, C. A., Hogarth, M., &amp; Smith, D. M. (2023). Comparing physician and artificial intelligence chatbot responses to patient questions posted to a public social media forum. J</w:t>
      </w:r>
      <w:r w:rsidDel="00000000" w:rsidR="00000000" w:rsidRPr="00000000">
        <w:rPr>
          <w:rFonts w:ascii="Times New Roman" w:cs="Times New Roman" w:eastAsia="Times New Roman" w:hAnsi="Times New Roman"/>
          <w:i w:val="1"/>
          <w:sz w:val="24"/>
          <w:szCs w:val="24"/>
          <w:rtl w:val="0"/>
        </w:rPr>
        <w:t xml:space="preserve">AMA Internal Medicine, 183</w:t>
      </w:r>
      <w:r w:rsidDel="00000000" w:rsidR="00000000" w:rsidRPr="00000000">
        <w:rPr>
          <w:rFonts w:ascii="Times New Roman" w:cs="Times New Roman" w:eastAsia="Times New Roman" w:hAnsi="Times New Roman"/>
          <w:sz w:val="24"/>
          <w:szCs w:val="24"/>
          <w:rtl w:val="0"/>
        </w:rPr>
        <w:t xml:space="preserve">(6), 589–596. https://doi.org/10.1001/jamainternmed.2023.1838</w:t>
      </w:r>
    </w:p>
    <w:p w:rsidR="00000000" w:rsidDel="00000000" w:rsidP="00000000" w:rsidRDefault="00000000" w:rsidRPr="00000000" w14:paraId="00000036">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Veterans Affairs &amp; Department of Defense. (2022). </w:t>
      </w:r>
      <w:r w:rsidDel="00000000" w:rsidR="00000000" w:rsidRPr="00000000">
        <w:rPr>
          <w:rFonts w:ascii="Times New Roman" w:cs="Times New Roman" w:eastAsia="Times New Roman" w:hAnsi="Times New Roman"/>
          <w:i w:val="1"/>
          <w:sz w:val="24"/>
          <w:szCs w:val="24"/>
          <w:rtl w:val="0"/>
        </w:rPr>
        <w:t xml:space="preserve">VA/DoD clinical practice guideline for the management of major depressive disorder. </w:t>
      </w:r>
      <w:r w:rsidDel="00000000" w:rsidR="00000000" w:rsidRPr="00000000">
        <w:rPr>
          <w:rFonts w:ascii="Times New Roman" w:cs="Times New Roman" w:eastAsia="Times New Roman" w:hAnsi="Times New Roman"/>
          <w:sz w:val="24"/>
          <w:szCs w:val="24"/>
          <w:rtl w:val="0"/>
        </w:rPr>
        <w:t xml:space="preserve">https://www.healthquality.va.gov/guidelines/MH/mdd/</w:t>
      </w:r>
    </w:p>
    <w:p w:rsidR="00000000" w:rsidDel="00000000" w:rsidP="00000000" w:rsidRDefault="00000000" w:rsidRPr="00000000" w14:paraId="00000037">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Levkovich, I., &amp; Elyoseph, Z. (2023). Identifying depression and its determinants upon initiating treatment: ChatGPT versus primary care physicians. </w:t>
      </w:r>
      <w:r w:rsidDel="00000000" w:rsidR="00000000" w:rsidRPr="00000000">
        <w:rPr>
          <w:rFonts w:ascii="Times New Roman" w:cs="Times New Roman" w:eastAsia="Times New Roman" w:hAnsi="Times New Roman"/>
          <w:i w:val="1"/>
          <w:sz w:val="24"/>
          <w:szCs w:val="24"/>
          <w:rtl w:val="0"/>
        </w:rPr>
        <w:t xml:space="preserve">Family Medicine and Community Health, 11</w:t>
      </w:r>
      <w:r w:rsidDel="00000000" w:rsidR="00000000" w:rsidRPr="00000000">
        <w:rPr>
          <w:rFonts w:ascii="Times New Roman" w:cs="Times New Roman" w:eastAsia="Times New Roman" w:hAnsi="Times New Roman"/>
          <w:sz w:val="24"/>
          <w:szCs w:val="24"/>
          <w:rtl w:val="0"/>
        </w:rPr>
        <w:t xml:space="preserve">(4), e002391. https://doi.org/10.1136/fmch-2023-002391</w:t>
      </w:r>
    </w:p>
    <w:p w:rsidR="00000000" w:rsidDel="00000000" w:rsidP="00000000" w:rsidRDefault="00000000" w:rsidRPr="00000000" w14:paraId="00000038">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for Health and Care Excellence. (2022). </w:t>
      </w:r>
      <w:r w:rsidDel="00000000" w:rsidR="00000000" w:rsidRPr="00000000">
        <w:rPr>
          <w:rFonts w:ascii="Times New Roman" w:cs="Times New Roman" w:eastAsia="Times New Roman" w:hAnsi="Times New Roman"/>
          <w:i w:val="1"/>
          <w:sz w:val="24"/>
          <w:szCs w:val="24"/>
          <w:rtl w:val="0"/>
        </w:rPr>
        <w:t xml:space="preserve">Depression in adults: Treatment and management (NG222)</w:t>
      </w:r>
      <w:r w:rsidDel="00000000" w:rsidR="00000000" w:rsidRPr="00000000">
        <w:rPr>
          <w:rFonts w:ascii="Times New Roman" w:cs="Times New Roman" w:eastAsia="Times New Roman" w:hAnsi="Times New Roman"/>
          <w:sz w:val="24"/>
          <w:szCs w:val="24"/>
          <w:rtl w:val="0"/>
        </w:rPr>
        <w:t xml:space="preserve">. https://www.nice.org.uk/guidance/ng222</w:t>
      </w:r>
    </w:p>
    <w:p w:rsidR="00000000" w:rsidDel="00000000" w:rsidP="00000000" w:rsidRDefault="00000000" w:rsidRPr="00000000" w14:paraId="00000039">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Tai-Seale, M., Baxter, S. L., Vaida, F., Walker, K., Desai, S., Webb, E. M., Polston, C., Mandvi, O., Sharp, R. R., Millen, M. G., &amp; Longhurst, C. A. (2024). AI-generated draft replies integrated into health records and physicians’ electronic communication. </w:t>
      </w:r>
      <w:r w:rsidDel="00000000" w:rsidR="00000000" w:rsidRPr="00000000">
        <w:rPr>
          <w:rFonts w:ascii="Times New Roman" w:cs="Times New Roman" w:eastAsia="Times New Roman" w:hAnsi="Times New Roman"/>
          <w:i w:val="1"/>
          <w:sz w:val="24"/>
          <w:szCs w:val="24"/>
          <w:rtl w:val="0"/>
        </w:rPr>
        <w:t xml:space="preserve">JAMA Network Open, 7</w:t>
      </w:r>
      <w:r w:rsidDel="00000000" w:rsidR="00000000" w:rsidRPr="00000000">
        <w:rPr>
          <w:rFonts w:ascii="Times New Roman" w:cs="Times New Roman" w:eastAsia="Times New Roman" w:hAnsi="Times New Roman"/>
          <w:sz w:val="24"/>
          <w:szCs w:val="24"/>
          <w:rtl w:val="0"/>
        </w:rPr>
        <w:t xml:space="preserve">(4), e246565. https://doi.org/10.1001/jamanetworkopen.2024.6565</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