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1u1yr21hc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Composite Signal 1: Trend-Following with Momentum Confirmation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idea of this strategy is to only act on mid-term upward momentum signals when the overall long-term trend is favorable, thus filtering out false rallies in a bear market.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Sub-signal A (Long-Term Trend Filter): Dual Moving Average (SMA) Crossover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Indicators</w:t>
      </w:r>
      <w:r w:rsidDel="00000000" w:rsidR="00000000" w:rsidRPr="00000000">
        <w:rPr>
          <w:rtl w:val="0"/>
        </w:rPr>
        <w:t xml:space="preserve">: 50-day Simple Moving Average (SMA50) and 200-day Simple Moving Average (SMA200).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SMA50 &gt; SMA200</w:t>
      </w:r>
      <w:r w:rsidDel="00000000" w:rsidR="00000000" w:rsidRPr="00000000">
        <w:rPr>
          <w:rtl w:val="0"/>
        </w:rPr>
        <w:t xml:space="preserve">, the market is defined as being in a </w:t>
      </w:r>
      <w:r w:rsidDel="00000000" w:rsidR="00000000" w:rsidRPr="00000000">
        <w:rPr>
          <w:b w:val="1"/>
          <w:rtl w:val="0"/>
        </w:rPr>
        <w:t xml:space="preserve">"Long-Term Bull Market"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SMA50 &lt; SMA200</w:t>
      </w:r>
      <w:r w:rsidDel="00000000" w:rsidR="00000000" w:rsidRPr="00000000">
        <w:rPr>
          <w:rtl w:val="0"/>
        </w:rPr>
        <w:t xml:space="preserve">, the market is defined as being in a </w:t>
      </w:r>
      <w:r w:rsidDel="00000000" w:rsidR="00000000" w:rsidRPr="00000000">
        <w:rPr>
          <w:b w:val="1"/>
          <w:rtl w:val="0"/>
        </w:rPr>
        <w:t xml:space="preserve">"Long-Term Bear Market"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Sub-signal B (Mid-Term Momentum Trigger): MACD Indicator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Indicator</w:t>
      </w:r>
      <w:r w:rsidDel="00000000" w:rsidR="00000000" w:rsidRPr="00000000">
        <w:rPr>
          <w:rtl w:val="0"/>
        </w:rPr>
        <w:t xml:space="preserve">: MACD (Moving Average Convergence Divergence) with standard parameters (12, 26, 9).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Trade Trigger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potential </w:t>
      </w:r>
      <w:r w:rsidDel="00000000" w:rsidR="00000000" w:rsidRPr="00000000">
        <w:rPr>
          <w:b w:val="1"/>
          <w:rtl w:val="0"/>
        </w:rPr>
        <w:t xml:space="preserve">buy trigger</w:t>
      </w:r>
      <w:r w:rsidDel="00000000" w:rsidR="00000000" w:rsidRPr="00000000">
        <w:rPr>
          <w:rtl w:val="0"/>
        </w:rPr>
        <w:t xml:space="preserve"> occurs when the MACD line crosses above its signal line.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potential </w:t>
      </w:r>
      <w:r w:rsidDel="00000000" w:rsidR="00000000" w:rsidRPr="00000000">
        <w:rPr>
          <w:b w:val="1"/>
          <w:rtl w:val="0"/>
        </w:rPr>
        <w:t xml:space="preserve">sell trigger</w:t>
      </w:r>
      <w:r w:rsidDel="00000000" w:rsidR="00000000" w:rsidRPr="00000000">
        <w:rPr>
          <w:rtl w:val="0"/>
        </w:rPr>
        <w:t xml:space="preserve"> occurs when the MACD line crosses below its signal line.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Combined Signal Rule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: Execute a buy order </w:t>
      </w:r>
      <w:r w:rsidDel="00000000" w:rsidR="00000000" w:rsidRPr="00000000">
        <w:rPr>
          <w:b w:val="1"/>
          <w:rtl w:val="0"/>
        </w:rPr>
        <w:t xml:space="preserve">if and only if</w:t>
      </w:r>
      <w:r w:rsidDel="00000000" w:rsidR="00000000" w:rsidRPr="00000000">
        <w:rPr>
          <w:rtl w:val="0"/>
        </w:rPr>
        <w:t xml:space="preserve"> the market is in a </w:t>
      </w:r>
      <w:r w:rsidDel="00000000" w:rsidR="00000000" w:rsidRPr="00000000">
        <w:rPr>
          <w:b w:val="1"/>
          <w:rtl w:val="0"/>
        </w:rPr>
        <w:t xml:space="preserve">"Long-Term Bull Market"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SMA50 &gt; SMA200</w:t>
      </w:r>
      <w:r w:rsidDel="00000000" w:rsidR="00000000" w:rsidRPr="00000000">
        <w:rPr>
          <w:rtl w:val="0"/>
        </w:rPr>
        <w:t xml:space="preserve">), AND the MACD generates a </w:t>
      </w:r>
      <w:r w:rsidDel="00000000" w:rsidR="00000000" w:rsidRPr="00000000">
        <w:rPr>
          <w:b w:val="1"/>
          <w:rtl w:val="0"/>
        </w:rPr>
        <w:t xml:space="preserve">buy trigger</w:t>
      </w:r>
      <w:r w:rsidDel="00000000" w:rsidR="00000000" w:rsidRPr="00000000">
        <w:rPr>
          <w:rtl w:val="0"/>
        </w:rPr>
        <w:t xml:space="preserve"> (crosses above its signal line).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: Execute a sell order (or go short) </w:t>
      </w:r>
      <w:r w:rsidDel="00000000" w:rsidR="00000000" w:rsidRPr="00000000">
        <w:rPr>
          <w:b w:val="1"/>
          <w:rtl w:val="0"/>
        </w:rPr>
        <w:t xml:space="preserve">if and only if</w:t>
      </w:r>
      <w:r w:rsidDel="00000000" w:rsidR="00000000" w:rsidRPr="00000000">
        <w:rPr>
          <w:rtl w:val="0"/>
        </w:rPr>
        <w:t xml:space="preserve"> the market is in a </w:t>
      </w:r>
      <w:r w:rsidDel="00000000" w:rsidR="00000000" w:rsidRPr="00000000">
        <w:rPr>
          <w:b w:val="1"/>
          <w:rtl w:val="0"/>
        </w:rPr>
        <w:t xml:space="preserve">"Long-Term Bear Market"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SMA50 &lt; SMA200</w:t>
      </w:r>
      <w:r w:rsidDel="00000000" w:rsidR="00000000" w:rsidRPr="00000000">
        <w:rPr>
          <w:rtl w:val="0"/>
        </w:rPr>
        <w:t xml:space="preserve">), AND the MACD generates a </w:t>
      </w:r>
      <w:r w:rsidDel="00000000" w:rsidR="00000000" w:rsidRPr="00000000">
        <w:rPr>
          <w:b w:val="1"/>
          <w:rtl w:val="0"/>
        </w:rPr>
        <w:t xml:space="preserve">sell trigger</w:t>
      </w:r>
      <w:r w:rsidDel="00000000" w:rsidR="00000000" w:rsidRPr="00000000">
        <w:rPr>
          <w:rtl w:val="0"/>
        </w:rPr>
        <w:t xml:space="preserve"> (crosses below its signal line).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Otherwise</w:t>
      </w:r>
      <w:r w:rsidDel="00000000" w:rsidR="00000000" w:rsidRPr="00000000">
        <w:rPr>
          <w:rtl w:val="0"/>
        </w:rPr>
        <w:t xml:space="preserve">: Ignore all other signals and do nothing.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Rationale &amp; Advantages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Trade with the primary trend</w:t>
      </w:r>
      <w:r w:rsidDel="00000000" w:rsidR="00000000" w:rsidRPr="00000000">
        <w:rPr>
          <w:rtl w:val="0"/>
        </w:rPr>
        <w:t xml:space="preserve">: This strategy uses the moving averages to identify the "main current" and the MACD to find the right time to enter in the direction of that current.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Higher Win Rate</w:t>
      </w:r>
      <w:r w:rsidDel="00000000" w:rsidR="00000000" w:rsidRPr="00000000">
        <w:rPr>
          <w:rtl w:val="0"/>
        </w:rPr>
        <w:t xml:space="preserve">: It aims to increase the win rate by filtering out false buy signals from the MACD during long-term bear markets and false sell signals during long-term bull markets.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dfo8esym7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Composite Signal 2: Mean Reversion with Volatility Confirmation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strategy aims to capture oversold bounce opportunities, but to avoid "catching a falling knife," it adds a volatility confirmation signal, entering only when the selling pressure shows signs of stabilizing.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Sub-signal A (Oversold Condition Identifier): Relative Strength Index (RSI)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Indicator</w:t>
      </w:r>
      <w:r w:rsidDel="00000000" w:rsidR="00000000" w:rsidRPr="00000000">
        <w:rPr>
          <w:rtl w:val="0"/>
        </w:rPr>
        <w:t xml:space="preserve">: 14-day RSI.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Definition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RSI &lt; 30</w:t>
      </w:r>
      <w:r w:rsidDel="00000000" w:rsidR="00000000" w:rsidRPr="00000000">
        <w:rPr>
          <w:rtl w:val="0"/>
        </w:rPr>
        <w:t xml:space="preserve">, the stock is considered to be in an </w:t>
      </w:r>
      <w:r w:rsidDel="00000000" w:rsidR="00000000" w:rsidRPr="00000000">
        <w:rPr>
          <w:b w:val="1"/>
          <w:rtl w:val="0"/>
        </w:rPr>
        <w:t xml:space="preserve">"Oversold Zone,"</w:t>
      </w:r>
      <w:r w:rsidDel="00000000" w:rsidR="00000000" w:rsidRPr="00000000">
        <w:rPr>
          <w:rtl w:val="0"/>
        </w:rPr>
        <w:t xml:space="preserve"> presenting a potential bounce opportunity.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Sub-signal B (Reversal Stabilization Confirmation): Bollinger Bands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Indicator</w:t>
      </w:r>
      <w:r w:rsidDel="00000000" w:rsidR="00000000" w:rsidRPr="00000000">
        <w:rPr>
          <w:rtl w:val="0"/>
        </w:rPr>
        <w:t xml:space="preserve">: Bollinger Bands with standard parameters (20-day SMA, 2 standard deviations).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Trade Trigger</w:t>
      </w:r>
      <w:r w:rsidDel="00000000" w:rsidR="00000000" w:rsidRPr="00000000">
        <w:rPr>
          <w:rtl w:val="0"/>
        </w:rPr>
        <w:t xml:space="preserve">: A stabilization trigger occurs when the price, after trading outside the lower Bollinger Band, </w:t>
      </w:r>
      <w:r w:rsidDel="00000000" w:rsidR="00000000" w:rsidRPr="00000000">
        <w:rPr>
          <w:b w:val="1"/>
          <w:rtl w:val="0"/>
        </w:rPr>
        <w:t xml:space="preserve">crosses back up and closes inside the lower band</w:t>
      </w:r>
      <w:r w:rsidDel="00000000" w:rsidR="00000000" w:rsidRPr="00000000">
        <w:rPr>
          <w:rtl w:val="0"/>
        </w:rPr>
        <w:t xml:space="preserve">. This suggests the panic selling has paused.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Combined Signal Rule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: Execute a buy order </w:t>
      </w:r>
      <w:r w:rsidDel="00000000" w:rsidR="00000000" w:rsidRPr="00000000">
        <w:rPr>
          <w:b w:val="1"/>
          <w:rtl w:val="0"/>
        </w:rPr>
        <w:t xml:space="preserve">if and only if</w:t>
      </w:r>
      <w:r w:rsidDel="00000000" w:rsidR="00000000" w:rsidRPr="00000000">
        <w:rPr>
          <w:rtl w:val="0"/>
        </w:rPr>
        <w:t xml:space="preserve"> the RSI indicates the stock is in the </w:t>
      </w:r>
      <w:r w:rsidDel="00000000" w:rsidR="00000000" w:rsidRPr="00000000">
        <w:rPr>
          <w:b w:val="1"/>
          <w:rtl w:val="0"/>
        </w:rPr>
        <w:t xml:space="preserve">"Oversold Zone"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RSI &lt; 30</w:t>
      </w:r>
      <w:r w:rsidDel="00000000" w:rsidR="00000000" w:rsidRPr="00000000">
        <w:rPr>
          <w:rtl w:val="0"/>
        </w:rPr>
        <w:t xml:space="preserve">), AND concurrently or shortly after, the price generates the </w:t>
      </w:r>
      <w:r w:rsidDel="00000000" w:rsidR="00000000" w:rsidRPr="00000000">
        <w:rPr>
          <w:b w:val="1"/>
          <w:rtl w:val="0"/>
        </w:rPr>
        <w:t xml:space="preserve">stabilization trigger</w:t>
      </w:r>
      <w:r w:rsidDel="00000000" w:rsidR="00000000" w:rsidRPr="00000000">
        <w:rPr>
          <w:rtl w:val="0"/>
        </w:rPr>
        <w:t xml:space="preserve"> (crosses back above the lower Bollinger Band).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: (A symmetrical sell rule can be designed): Execute a sell order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RSI &gt; 70</w:t>
      </w:r>
      <w:r w:rsidDel="00000000" w:rsidR="00000000" w:rsidRPr="00000000">
        <w:rPr>
          <w:rtl w:val="0"/>
        </w:rPr>
        <w:t xml:space="preserve"> AND the price crosses back down below the upper Bollinger Band.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Rationale &amp; Advantages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Safer Bottom-Fishing</w:t>
      </w:r>
      <w:r w:rsidDel="00000000" w:rsidR="00000000" w:rsidRPr="00000000">
        <w:rPr>
          <w:rtl w:val="0"/>
        </w:rPr>
        <w:t xml:space="preserve">: Buying based on RSI &lt; 30 alone is risky. By combining it with the Bollinger Band "re-entry" signal, the strategy waits for confirmation that downward momentum is fading, identifying a safer entry point.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: This combination has built-in risk management by avoiding entry during the most volatile moments of a sell-off. It is very suitable for highly volatile stocks like TSLA.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xa34cc1e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sw0jvlruu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vjopo6lxf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yrw2jer5s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bpcidoh48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h9dlc9e9s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Composite Signal 3: Price Breakout with Volume Confirmation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strategy is designed to capture the beginning of a powerful new trend. A true breakout is typically supported by a significant increase in trading volume, whereas a breakout without volume is often a "false breakout" or "fakeout."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Sub-signal A (Price Breakout Trigger): Donchian Channel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Indicator</w:t>
      </w:r>
      <w:r w:rsidDel="00000000" w:rsidR="00000000" w:rsidRPr="00000000">
        <w:rPr>
          <w:rtl w:val="0"/>
        </w:rPr>
        <w:t xml:space="preserve">: 20-day Donchian Channel. This indicator consists of an upper band representing the highest price over the last 20 days and a lower band representing the lowest price over the last 20 days.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Trade Trigger</w:t>
      </w:r>
      <w:r w:rsidDel="00000000" w:rsidR="00000000" w:rsidRPr="00000000">
        <w:rPr>
          <w:rtl w:val="0"/>
        </w:rPr>
        <w:t xml:space="preserve">: A potential </w:t>
      </w:r>
      <w:r w:rsidDel="00000000" w:rsidR="00000000" w:rsidRPr="00000000">
        <w:rPr>
          <w:b w:val="1"/>
          <w:rtl w:val="0"/>
        </w:rPr>
        <w:t xml:space="preserve">buy trigger</w:t>
      </w:r>
      <w:r w:rsidDel="00000000" w:rsidR="00000000" w:rsidRPr="00000000">
        <w:rPr>
          <w:rtl w:val="0"/>
        </w:rPr>
        <w:t xml:space="preserve"> occurs when the closing price breaks above the Donchian upper band (i.e., makes a new 20-day high).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Sub-signal B (Trend Strength Confirmation): Volume Moving Average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Indicator</w:t>
      </w:r>
      <w:r w:rsidDel="00000000" w:rsidR="00000000" w:rsidRPr="00000000">
        <w:rPr>
          <w:rtl w:val="0"/>
        </w:rPr>
        <w:t xml:space="preserve">: 20-day simple moving average of volume (VMA20).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 Definition</w:t>
      </w:r>
      <w:r w:rsidDel="00000000" w:rsidR="00000000" w:rsidRPr="00000000">
        <w:rPr>
          <w:rtl w:val="0"/>
        </w:rPr>
        <w:t xml:space="preserve">: When the current day's volume is </w:t>
      </w:r>
      <w:r w:rsidDel="00000000" w:rsidR="00000000" w:rsidRPr="00000000">
        <w:rPr>
          <w:b w:val="1"/>
          <w:rtl w:val="0"/>
        </w:rPr>
        <w:t xml:space="preserve">significantly higher</w:t>
      </w:r>
      <w:r w:rsidDel="00000000" w:rsidR="00000000" w:rsidRPr="00000000">
        <w:rPr>
          <w:rtl w:val="0"/>
        </w:rPr>
        <w:t xml:space="preserve"> than its 20-day average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Today's Volume &gt; 1.5 * VMA20</w:t>
      </w:r>
      <w:r w:rsidDel="00000000" w:rsidR="00000000" w:rsidRPr="00000000">
        <w:rPr>
          <w:rtl w:val="0"/>
        </w:rPr>
        <w:t xml:space="preserve">), we consider the market to have </w:t>
      </w:r>
      <w:r w:rsidDel="00000000" w:rsidR="00000000" w:rsidRPr="00000000">
        <w:rPr>
          <w:b w:val="1"/>
          <w:rtl w:val="0"/>
        </w:rPr>
        <w:t xml:space="preserve">high conviction</w:t>
      </w:r>
      <w:r w:rsidDel="00000000" w:rsidR="00000000" w:rsidRPr="00000000">
        <w:rPr>
          <w:rtl w:val="0"/>
        </w:rPr>
        <w:t xml:space="preserve"> in the price move.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Combined Signal Rule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: Execute a buy order </w:t>
      </w:r>
      <w:r w:rsidDel="00000000" w:rsidR="00000000" w:rsidRPr="00000000">
        <w:rPr>
          <w:b w:val="1"/>
          <w:rtl w:val="0"/>
        </w:rPr>
        <w:t xml:space="preserve">if and only if</w:t>
      </w:r>
      <w:r w:rsidDel="00000000" w:rsidR="00000000" w:rsidRPr="00000000">
        <w:rPr>
          <w:rtl w:val="0"/>
        </w:rPr>
        <w:t xml:space="preserve"> the price generates a </w:t>
      </w:r>
      <w:r w:rsidDel="00000000" w:rsidR="00000000" w:rsidRPr="00000000">
        <w:rPr>
          <w:b w:val="1"/>
          <w:rtl w:val="0"/>
        </w:rPr>
        <w:t xml:space="preserve">breakout trigger</w:t>
      </w:r>
      <w:r w:rsidDel="00000000" w:rsidR="00000000" w:rsidRPr="00000000">
        <w:rPr>
          <w:rtl w:val="0"/>
        </w:rPr>
        <w:t xml:space="preserve"> (new 20-day high), AND on the same day, the volume provides </w:t>
      </w:r>
      <w:r w:rsidDel="00000000" w:rsidR="00000000" w:rsidRPr="00000000">
        <w:rPr>
          <w:b w:val="1"/>
          <w:rtl w:val="0"/>
        </w:rPr>
        <w:t xml:space="preserve">strength confirmation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 &gt; 1.5 * VMA20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: (A symmetrical sell rule can be designed): Execute a sell order when the price breaks below the 20-day low with significantly high volume.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Rationale &amp; Advantages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Validates Breakout Legitimacy</w:t>
      </w:r>
      <w:r w:rsidDel="00000000" w:rsidR="00000000" w:rsidRPr="00000000">
        <w:rPr>
          <w:rtl w:val="0"/>
        </w:rPr>
        <w:t xml:space="preserve">: Volume is the "fuel" for price movement. This strategy focuses on participating only in high-conviction breakouts that are supported by this fuel.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Captures Start of Major Moves</w:t>
      </w:r>
      <w:r w:rsidDel="00000000" w:rsidR="00000000" w:rsidRPr="00000000">
        <w:rPr>
          <w:rtl w:val="0"/>
        </w:rPr>
        <w:t xml:space="preserve">: Many of the most significant rallies in stocks like AAPL, AMD, and TSLA began with a high-volume breakout. This strategy is designed specifically to capture the start of such events.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