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D71" w:rsidRDefault="00350E48">
      <w:r w:rsidRPr="00350E48">
        <w:drawing>
          <wp:inline distT="0" distB="0" distL="0" distR="0" wp14:anchorId="614D7C8F" wp14:editId="63D7EBA5">
            <wp:extent cx="5943600" cy="36791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48" w:rsidRDefault="00350E48">
      <w:r>
        <w:t>Supplemental Figure 1 – Vessels per year passing through specific locks, from 1992 to 2015. Locks are color-coded by the river they are within.</w:t>
      </w:r>
      <w:bookmarkStart w:id="0" w:name="_GoBack"/>
      <w:bookmarkEnd w:id="0"/>
    </w:p>
    <w:sectPr w:rsidR="00350E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E48"/>
    <w:rsid w:val="00350E48"/>
    <w:rsid w:val="008C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4E26"/>
  <w15:chartTrackingRefBased/>
  <w15:docId w15:val="{417FBA0C-5D90-4563-B49F-DC3212DB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SEXTON</dc:creator>
  <cp:keywords/>
  <dc:description/>
  <cp:lastModifiedBy>Aaron SEXTON</cp:lastModifiedBy>
  <cp:revision>1</cp:revision>
  <dcterms:created xsi:type="dcterms:W3CDTF">2023-05-05T08:13:00Z</dcterms:created>
  <dcterms:modified xsi:type="dcterms:W3CDTF">2023-05-05T08:16:00Z</dcterms:modified>
</cp:coreProperties>
</file>