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50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Certified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Ground-State</w:t>
      </w:r>
      <w:r>
        <w:t xml:space="preserve"> </w:t>
      </w:r>
      <w:r>
        <w:t xml:space="preserve">Filtering</w:t>
      </w:r>
      <w:r>
        <w:t xml:space="preserve"> </w:t>
      </w:r>
      <w:r>
        <w:t xml:space="preserve">from</w:t>
      </w:r>
      <w:r>
        <w:t xml:space="preserve"> </w:t>
      </w:r>
      <w:r>
        <w:t xml:space="preserve">DMRG</w:t>
      </w:r>
      <w:r>
        <w:t xml:space="preserve"> </w:t>
      </w:r>
      <w:r>
        <w:t xml:space="preserve">Trial</w:t>
      </w:r>
      <w:r>
        <w:t xml:space="preserve"> </w:t>
      </w:r>
      <w:r>
        <w:t xml:space="preserve">States:</w:t>
      </w:r>
      <w:r>
        <w:t xml:space="preserve"> </w:t>
      </w:r>
      <w:r>
        <w:t xml:space="preserve">Rigorous</w:t>
      </w:r>
      <w:r>
        <w:t xml:space="preserve"> </w:t>
      </w:r>
      <w:r>
        <w:t xml:space="preserve">Bounds,</w:t>
      </w:r>
      <w:r>
        <w:t xml:space="preserve"> </w:t>
      </w:r>
      <w:r>
        <w:t xml:space="preserve">a</w:t>
      </w:r>
      <w:r>
        <w:t xml:space="preserve"> </w:t>
      </w:r>
      <w:r>
        <w:t xml:space="preserve">Hybrid</w:t>
      </w:r>
      <w:r>
        <w:t xml:space="preserve"> </w:t>
      </w:r>
      <w:r>
        <w:t xml:space="preserve">Empirical</w:t>
      </w:r>
      <w:r>
        <w:t xml:space="preserve"> </w:t>
      </w:r>
      <w:r>
        <w:t xml:space="preserve">Protocol,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Resource</w:t>
      </w:r>
      <w:r>
        <w:t xml:space="preserve"> </w:t>
      </w:r>
      <w:r>
        <w:t xml:space="preserve">Comparison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J1–J2</w:t>
      </w:r>
      <w:r>
        <w:t xml:space="preserve"> </w:t>
      </w:r>
      <w:r>
        <w:t xml:space="preserve">Chain</w:t>
      </w:r>
    </w:p>
    <w:p>
      <w:pPr>
        <w:pStyle w:val="Author"/>
      </w:pPr>
      <w:r>
        <w:t xml:space="preserve">Draft</w:t>
      </w:r>
      <w:r>
        <w:t xml:space="preserve"> </w:t>
      </w:r>
      <w:r>
        <w:t xml:space="preserve">prepared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code</w:t>
      </w:r>
      <w:r>
        <w:t xml:space="preserve"> </w:t>
      </w:r>
      <w:r>
        <w:t xml:space="preserve">base</w:t>
      </w:r>
      <w:r>
        <w:t xml:space="preserve"> </w:t>
      </w:r>
      <w:r>
        <w:t xml:space="preserve">(internal</w:t>
      </w:r>
      <w:r>
        <w:t xml:space="preserve"> </w:t>
      </w:r>
      <w:r>
        <w:t xml:space="preserve">evaluation;</w:t>
      </w:r>
      <w:r>
        <w:t xml:space="preserve"> </w:t>
      </w:r>
      <w:r>
        <w:t xml:space="preserve">authors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added)</w:t>
      </w:r>
    </w:p>
    <w:p>
      <w:pPr>
        <w:pStyle w:val="Date"/>
      </w:pPr>
      <w:r>
        <w:t xml:space="preserve">6</w:t>
      </w:r>
      <w:r>
        <w:t xml:space="preserve"> </w:t>
      </w:r>
      <w:r>
        <w:t xml:space="preserve">October</w:t>
      </w:r>
      <w:r>
        <w:t xml:space="preserve"> </w:t>
      </w:r>
      <w:r>
        <w:t xml:space="preserve">2026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Ground states of one-dimensional spin chains are routinely obtained classically by DMRG; a hybrid quantum workflow compiles the DMRG matrix-product state (MPS) into a shallow circuit and repairs its residual error with the ancilla-based projection algorithm of Stetcu, Baroni and Carlson. We study this workflow for the 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with a classically optimised,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product-of-cosines filter and first-order Lie–Trotter evolution, and ask three questions: is the error analysis correct, how conservative is it, and does the filter beat simply preparing the MPS better?</w:t>
      </w:r>
      <w:r>
        <w:t xml:space="preserve"> </w:t>
      </w:r>
      <w:r>
        <w:rPr>
          <w:bCs/>
          <w:b/>
        </w:rPr>
        <w:t xml:space="preserve">(1) Correctness.</w:t>
      </w:r>
      <w:r>
        <w:t xml:space="preserve"> </w:t>
      </w:r>
      <w:r>
        <w:t xml:space="preserve">We re-derive the analysis and test every building block against brute force (pulse convention, spectral-suppression certificates, leakage bound, commutator constant, composed bound); no violation occurred in any test, and we prove a sharpened angle-based composition that tightens the bound by 2.5–3.1× and the a-priori step count by 2.3–3.2×.</w:t>
      </w:r>
      <w:r>
        <w:t xml:space="preserve"> </w:t>
      </w:r>
      <w:r>
        <w:rPr>
          <w:bCs/>
          <w:b/>
        </w:rPr>
        <w:t xml:space="preserve">(2) Conservatism.</w:t>
      </w:r>
      <w:r>
        <w:t xml:space="preserve"> </w:t>
      </w:r>
      <w:r>
        <w:t xml:space="preserve">The rigorous step count is 17–1200× the oracle-empirical one. We trace this to the worst-case commutator constant: the ground state feels a first-order Trotter coefficient 28–41× below it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(9–13×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), a gap that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, plus 4× pulse-level and 2× composition slack. We propose a</w:t>
      </w:r>
      <w:r>
        <w:t xml:space="preserve"> </w:t>
      </w:r>
      <w:r>
        <w:rPr>
          <w:bCs/>
          <w:b/>
        </w:rPr>
        <w:t xml:space="preserve">hybrid protocol</w:t>
      </w:r>
      <w:r>
        <w:t xml:space="preserve"> </w:t>
      </w:r>
      <w:r>
        <w:t xml:space="preserve">— rigorous leakage certificate plus a Richardson-type empirical Trotter estimate that does not use the exact ground state — which met its infidelity target in every completed case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) at roughly 30–1300× lower CX cost than the certified circuits.</w:t>
      </w:r>
      <w:r>
        <w:t xml:space="preserve"> </w:t>
      </w:r>
      <w:r>
        <w:rPr>
          <w:bCs/>
          <w:b/>
        </w:rPr>
        <w:t xml:space="preserve">(3) Resource comparison.</w:t>
      </w:r>
      <w:r>
        <w:t xml:space="preserve"> </w:t>
      </w:r>
      <w:r>
        <w:t xml:space="preserve">Against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(exact) MPS circuits and generic state preparation,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5–216× (median ≈22×) for all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; MPS preparation needs only a bond dimension of 4–8 there, so these systems are too easy for the filter to offer an advantage. We therefore frame the contribution as a</w:t>
      </w:r>
      <w:r>
        <w:t xml:space="preserve"> </w:t>
      </w:r>
      <w:r>
        <w:rPr>
          <w:iCs/>
          <w:i/>
        </w:rPr>
        <w:t xml:space="preserve">certified-filtering methodology and verification harness</w:t>
      </w:r>
      <w:r>
        <w:t xml:space="preserve"> </w:t>
      </w:r>
      <w:r>
        <w:t xml:space="preserve">with an honest negative resource result for 1D chains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identify the regimes (large bond dimension, higher dimension,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tensor-network simulation of the filter) in which an advantage could still appear, and report the defects found in the reference implementation (a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fallback that built million-CX filters for exact states, an unguarded first-order assumption, an unreachable-memory dense check), all now fixed. The numbers in §5.8–5.10 are regenerated from the raw result files as further runs complete (</w:t>
      </w:r>
      <w:r>
        <w:rPr>
          <w:rStyle w:val="VerbatimChar"/>
        </w:rPr>
        <w:t xml:space="preserve">paper/build_paper.py</w:t>
      </w:r>
      <w:r>
        <w:t xml:space="preserve">).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Ground-state preparation is the entry point of most quantum simulation workflows. For one-dimensional gapped or critical spin chains, DMRG supplies classically excellent but not exactly circuit-preparable states; a natural hybrid is to compile the MPS into a low-depth circuit with fidelity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 repair the remainder with a quantum projection step. The Stetcu–Baroni–Carlson (SBC) projection algorithm [1] does this with one ancilla, controlled time evolution and post-selection; its randomised-time variant is the rodeo algorithm [2,3]. Here the pulse times and phases are instead</w:t>
      </w:r>
      <w:r>
        <w:t xml:space="preserve"> </w:t>
      </w:r>
      <w:r>
        <w:rPr>
          <w:iCs/>
          <w:i/>
        </w:rPr>
        <w:t xml:space="preserve">optimised and certified</w:t>
      </w:r>
      <w:r>
        <w:t xml:space="preserve"> </w:t>
      </w:r>
      <w:r>
        <w:t xml:space="preserve">classically, and the Trotter error is controlled by a commutator bound [4].</w:t>
      </w:r>
    </w:p>
    <w:p>
      <w:pPr>
        <w:pStyle w:val="BodyText"/>
      </w:pPr>
      <w:r>
        <w:t xml:space="preserve">This paper evaluates that workflow as implemented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and turns the evaluation into a methodology. It aims to state precisely</w:t>
      </w:r>
      <w:r>
        <w:t xml:space="preserve"> </w:t>
      </w:r>
      <w:r>
        <w:rPr>
          <w:bCs/>
          <w:b/>
        </w:rPr>
        <w:t xml:space="preserve">what is established, what is conditional, and what the filter costs relative to the classical-quantum alternatives</w:t>
      </w:r>
      <w:r>
        <w:t xml:space="preserve">, supported by reproducible experiments (</w:t>
      </w:r>
      <w:r>
        <w:rPr>
          <w:rStyle w:val="VerbatimChar"/>
        </w:rPr>
        <w:t xml:space="preserve">AARON/evaluation/experiments</w:t>
      </w:r>
      <w:r>
        <w:t xml:space="preserve">, results in</w:t>
      </w:r>
      <w:r>
        <w:t xml:space="preserve"> </w:t>
      </w:r>
      <w:r>
        <w:rPr>
          <w:rStyle w:val="VerbatimChar"/>
        </w:rPr>
        <w:t xml:space="preserve">AARON/evaluation/results</w:t>
      </w:r>
      <w:r>
        <w:t xml:space="preserve">). Negative results are reported as such; they motivate the hybrid protocol of §5.10 and the framing of §7.</w:t>
      </w:r>
    </w:p>
    <w:p>
      <w:pPr>
        <w:pStyle w:val="BodyText"/>
      </w:pPr>
      <w:r>
        <w:rPr>
          <w:bCs/>
          <w:b/>
        </w:rPr>
        <w:t xml:space="preserve">Contributions.</w:t>
      </w:r>
      <w:r>
        <w:t xml:space="preserve"> </w:t>
      </w:r>
      <w:r>
        <w:t xml:space="preserve">(i) A self-contained derivation of the error analysis, with a proven sharpened composition bound (§3). (ii) Independent verification of each analytic component and of the end-to-end bound (§5.1–5.2). (iii) A quantitative account of why the certified guarantee is 100–1000× above the empirical cost (§5.9). (iv) A non-oracle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protocol that combines a rigorous leakage certificate with an empirical Trotter estimate (§5.10). (v) An equal-fidelity comparison with MPS-based and generic state preparation (§5.8). (vi) An assessment of the DMRG-derived inputs and of symmetry (§5.5–5.6). (vii) A code audit with fixes (§6).</w:t>
      </w:r>
    </w:p>
    <w:bookmarkEnd w:id="21"/>
    <w:bookmarkStart w:id="22" w:name="model-algorithm-and-conventions"/>
    <w:p>
      <w:pPr>
        <w:pStyle w:val="Heading2"/>
      </w:pPr>
      <w:r>
        <w:t xml:space="preserve">2. Model, algorithm and conventions</w:t>
      </w:r>
    </w:p>
    <w:p>
      <w:pPr>
        <w:pStyle w:val="FirstParagraph"/>
      </w:pPr>
      <w:r>
        <w:rPr>
          <w:bCs/>
          <w:b/>
        </w:rPr>
        <w:t xml:space="preserve">Model.</w:t>
      </w:r>
      <w:r>
        <w:t xml:space="preserve"> </w:t>
      </w:r>
      <w:r>
        <w:t xml:space="preserve">We study the open-boundary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i</m:t>
              </m:r>
            </m:sub>
          </m:sSub>
          <m:r>
            <m:t>​</m:t>
          </m:r>
          <m:r>
            <m:rPr>
              <m:sty m:val="p"/>
            </m:rPr>
            <m:t>⋅</m:t>
          </m:r>
          <m:r>
            <m:t>​</m:t>
          </m:r>
          <m:sSub>
            <m:e>
              <m:r>
                <m:rPr>
                  <m:sty m:val="b"/>
                </m:rPr>
                <m:t>S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even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(so that the ground state is a non-degenerate singlet)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 </m:t>
        </m:r>
        <m:r>
          <m:t>0.2411</m:t>
        </m:r>
        <m:r>
          <m:rPr>
            <m:sty m:val="p"/>
          </m:rPr>
          <m:t>,</m:t>
        </m:r>
        <m:r>
          <m:t> </m:t>
        </m:r>
        <m:r>
          <m:t>0.5</m:t>
        </m:r>
        <m:r>
          <m:rPr>
            <m:sty m:val="p"/>
          </m:rPr>
          <m:t>}</m:t>
        </m:r>
      </m:oMath>
      <w:r>
        <w:t xml:space="preserve"> </w:t>
      </w:r>
      <w:r>
        <w:t xml:space="preserve">(Heisenberg, the Okamoto–Nomura dimerisation point, and the Majumdar–Ghosh point). The Pauli form has</w:t>
      </w:r>
      <w:r>
        <w:t xml:space="preserve"> </w:t>
      </w:r>
      <m:oMath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 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≠</m:t>
            </m:r>
            <m:r>
              <m:t>0</m:t>
            </m:r>
          </m:e>
        </m:d>
      </m:oMath>
      <w:r>
        <w:t xml:space="preserve"> </w:t>
      </w:r>
      <w:r>
        <w:t xml:space="preserve">terms.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conserves total spin</w:t>
      </w:r>
      <w:r>
        <w:t xml:space="preserve"> </w:t>
      </w:r>
      <m:oMath>
        <m:sSup>
          <m:e>
            <m:r>
              <m:rPr>
                <m:sty m:val="b"/>
              </m:rP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spatial reflection; the lowest excitation is a triplet.</w:t>
      </w:r>
    </w:p>
    <w:p>
      <w:pPr>
        <w:pStyle w:val="BodyText"/>
      </w:pPr>
      <w:r>
        <w:rPr>
          <w:bCs/>
          <w:b/>
        </w:rPr>
        <w:t xml:space="preserve">Scaled Hamiltonian.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ground energy and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define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spec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</m:e>
        </m:d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/</m:t>
        </m:r>
        <m:r>
          <m:t>W</m:t>
        </m:r>
      </m:oMath>
      <w:r>
        <w:t xml:space="preserve">. All pulse times below are in units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Projection pulse (Stetcu–Baroni–Carlson).</w:t>
      </w:r>
      <w:r>
        <w:t xml:space="preserve"> </w:t>
      </w:r>
      <w:r>
        <w:t xml:space="preserve">One pulse acts on the system register and one ancilla initialised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W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ϕ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t> 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t>t</m:t>
              </m:r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sup>
          </m:sSup>
          <m:r>
            <m:t> 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z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t>ϕ</m:t>
              </m:r>
            </m:e>
          </m:d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sans-serif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z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ϕ</m:t>
            </m:r>
          </m:e>
        </m:d>
        <m:r>
          <m:rPr>
            <m:sty m:val="p"/>
          </m:rPr>
          <m:t>=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g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ϕ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i</m:t>
                </m:r>
                <m:r>
                  <m:t>ϕ</m:t>
                </m:r>
              </m:sup>
            </m:sSup>
          </m:e>
        </m:d>
      </m:oMath>
      <w:r>
        <w:t xml:space="preserve"> </w:t>
      </w:r>
      <w:r>
        <w:t xml:space="preserve">one finds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ϕ</m:t>
                      </m:r>
                    </m:e>
                  </m:d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sSub>
            <m:e>
              <m:r>
                <m:t>1</m:t>
              </m:r>
            </m:e>
            <m:sub>
              <m:r>
                <m:rPr>
                  <m:sty m:val="p"/>
                </m:rPr>
                <m:t>a</m:t>
              </m:r>
            </m:sub>
          </m:sSub>
          <m:d>
            <m:dPr>
              <m:begChr m:val="|"/>
              <m:endChr m:val="|"/>
              <m:sepChr m:val=""/>
              <m:grow/>
            </m:dPr>
            <m:e>
              <m:r>
                <m:rPr>
                  <m:sty m:val="p"/>
                  <m:scr m:val="script"/>
                </m:rPr>
                <m:t>W</m:t>
              </m:r>
            </m:e>
          </m:d>
          <m:sSub>
            <m:e>
              <m:r>
                <m:t>0</m:t>
              </m:r>
            </m:e>
            <m:sub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sin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s</m:t>
                  </m:r>
                </m:sub>
              </m:sSub>
              <m:r>
                <m:t>t</m:t>
              </m:r>
              <m:r>
                <m:rPr>
                  <m:sty m:val="p"/>
                </m:rPr>
                <m:t>+</m:t>
              </m:r>
              <m:r>
                <m:t>ϕ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Measuring the ancilla and keeping only outcome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after each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(with the ancilla reset between pulses) applies, up to normalisation, the</w:t>
      </w:r>
      <w:r>
        <w:t xml:space="preserve"> </w:t>
      </w:r>
      <w:r>
        <w:rPr>
          <w:bCs/>
          <w:b/>
        </w:rP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rPr>
                  <m:sty m:val="p"/>
                </m:rPr>
                <m:t>cos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to the trial state. The probability of the all-zeros record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for a trial state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ψ</m:t>
            </m:r>
            <m:r>
              <m:rPr>
                <m:sty m:val="p"/>
              </m:rPr>
              <m:t>⟩</m:t>
            </m:r>
            <m:r>
              <m:rPr>
                <m:sty m:val="p"/>
              </m:rPr>
              <m:t>=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e>
        </m:d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⟩</m:t>
        </m:r>
      </m:oMath>
      <w:r>
        <w:t xml:space="preserve">;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product of cosines, a failed pulse aborts the run immediately (</w:t>
      </w:r>
      <w:r>
        <w:t xml:space="preserve">“</w:t>
      </w:r>
      <w:r>
        <w:t xml:space="preserve">early abort</w:t>
      </w:r>
      <w:r>
        <w:t xml:space="preserve">”</w:t>
      </w:r>
      <w:r>
        <w:t xml:space="preserve">). We verified the sign convention (including that</w:t>
      </w:r>
      <w:r>
        <w:t xml:space="preserve"> </w:t>
      </w:r>
      <m:oMath>
        <m:r>
          <m:t>ϕ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t>ϕ</m:t>
        </m:r>
      </m:oMath>
      <w:r>
        <w:t xml:space="preserve"> </w:t>
      </w:r>
      <w:r>
        <w:t xml:space="preserve">is rejected) directly on a random, non-commuting, field-carrying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a random complex state (</w:t>
      </w:r>
      <w:r>
        <w:rPr>
          <w:rStyle w:val="VerbatimChar"/>
        </w:rPr>
        <w:t xml:space="preserve">verify_pulse_convention</w:t>
      </w:r>
      <w:r>
        <w:t xml:space="preserve">, error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</w:t>
      </w:r>
    </w:p>
    <w:p>
      <w:pPr>
        <w:pStyle w:val="BodyText"/>
      </w:pPr>
      <w:r>
        <w:rPr>
          <w:bCs/>
          <w:b/>
        </w:rPr>
        <w:t xml:space="preserve">Relation to prior work.</w:t>
      </w:r>
      <w:r>
        <w:t xml:space="preserve"> </w:t>
      </w:r>
      <w:r>
        <w:t xml:space="preserve">The pulse is the deterministic-time, optimised-phase version of the projection/</w:t>
      </w:r>
      <w:r>
        <w:t xml:space="preserve">“</w:t>
      </w:r>
      <w:r>
        <w:t xml:space="preserve">rodeo</w:t>
      </w:r>
      <w:r>
        <w:t xml:space="preserve">”</w:t>
      </w:r>
      <w:r>
        <w:t xml:space="preserve"> </w:t>
      </w:r>
      <w:r>
        <w:t xml:space="preserve">circuit of Stetcu, Baroni and Carlson (Phys. Rev. C 105, 064308 (2022));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random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 reduces to the rodeo algorithm. The product-of-cosines filter is a real trigonometric polynomial 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of total frequency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is therefore a restricted member of the family realised by quantum eigenvalue transformation of unitaries / QSVT (Lin–Tong, Dong–Lin–Tong), which achieve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Δ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log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η</m:t>
                </m:r>
              </m:e>
            </m:d>
          </m:e>
        </m:d>
      </m:oMath>
      <w:r>
        <w:t xml:space="preserve"> </w:t>
      </w:r>
      <w:r>
        <w:t xml:space="preserve">with a single ancilla but need coherent (not measurement-based) control. The present scheme trades that for a</w:t>
      </w:r>
      <w:r>
        <w:t xml:space="preserve"> </w:t>
      </w:r>
      <w:r>
        <w:rPr>
          <w:iCs/>
          <w:i/>
        </w:rPr>
        <w:t xml:space="preserve">classically optimised</w:t>
      </w:r>
      <w:r>
        <w:t xml:space="preserve"> </w:t>
      </w:r>
      <w:r>
        <w:t xml:space="preserve">filter that can be certified and for early-abort statistics.</w:t>
      </w:r>
    </w:p>
    <w:bookmarkEnd w:id="22"/>
    <w:bookmarkStart w:id="23" w:name="rigorous-error-analysis"/>
    <w:p>
      <w:pPr>
        <w:pStyle w:val="Heading2"/>
      </w:pPr>
      <w:r>
        <w:t xml:space="preserve">3. Rigorous error analysis</w:t>
      </w:r>
    </w:p>
    <w:p>
      <w:pPr>
        <w:pStyle w:val="FirstParagraph"/>
      </w:pPr>
      <w:r>
        <w:t xml:space="preserve">Notation: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t>ψ</m:t>
        </m:r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trial-state ground-state weight;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sup</m:t>
            </m:r>
          </m:e>
          <m:sub>
            <m:r>
              <m:t>E</m:t>
            </m:r>
            <m:r>
              <m:rPr>
                <m:sty m:val="p"/>
              </m:rPr>
              <m:t>∈</m:t>
            </m:r>
            <m:d>
              <m:dPr>
                <m:begChr m:val="["/>
                <m:endChr m:val="]"/>
                <m:sepChr m:val=""/>
                <m:grow/>
              </m:dPr>
              <m:e>
                <m:r>
                  <m:t>Δ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sub>
        </m:sSub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</m:oMath>
      <w:r>
        <w:t xml:space="preserve">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for the Pauli terms</w:t>
      </w:r>
      <w:r>
        <w:t xml:space="preserve"> </w:t>
      </w:r>
      <m:oMath>
        <m:sSub>
          <m:e>
            <m:r>
              <m:t>H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in circuit order.</w:t>
      </w:r>
    </w:p>
    <w:p>
      <w:pPr>
        <w:pStyle w:val="BodyText"/>
      </w:pPr>
      <w:r>
        <w:rPr>
          <w:bCs/>
          <w:b/>
        </w:rPr>
        <w:t xml:space="preserve">R1 (certified suppression).</w:t>
      </w:r>
      <w:r>
        <w:t xml:space="preserve"> </w:t>
      </w:r>
      <w:r>
        <w:t xml:space="preserve">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cos</m:t>
            </m:r>
          </m:e>
        </m:d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</m:rPr>
                  <m:t>∂</m:t>
                </m:r>
              </m:e>
              <m:sub>
                <m:r>
                  <m:t>E</m:t>
                </m:r>
              </m:sub>
            </m:sSub>
            <m:r>
              <m:rPr>
                <m:sty m:val="p"/>
              </m:rPr>
              <m:t>cos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ϕ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. On an interval of half-width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centred at</w:t>
      </w:r>
      <w: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E</m:t>
                </m:r>
              </m:e>
            </m:d>
          </m:e>
        </m:d>
        <m:r>
          <m:rPr>
            <m:sty m:val="p"/>
          </m:rPr>
          <m:t>≤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rPr>
            <m:sty m:val="p"/>
          </m:rPr>
          <m:t>+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c</m:t>
                    </m:r>
                  </m:sub>
                </m:sSub>
              </m:e>
            </m:d>
          </m:e>
        </m:d>
        <m:r>
          <m:t>d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L</m:t>
            </m:r>
          </m:e>
          <m:sup>
            <m:r>
              <m:t>2</m:t>
            </m:r>
          </m:sup>
        </m:sSup>
        <m:sSup>
          <m:e>
            <m:r>
              <m:t>d</m:t>
            </m:r>
          </m:e>
          <m:sup>
            <m:r>
              <m:t>2</m:t>
            </m:r>
          </m:sup>
        </m:sSup>
      </m:oMath>
      <w:r>
        <w:t xml:space="preserve">. Interval bisection with this envelope (</w:t>
      </w:r>
      <w:r>
        <w:rPr>
          <w:rStyle w:val="VerbatimChar"/>
        </w:rPr>
        <w:t xml:space="preserve">floor.certify</w:t>
      </w:r>
      <w:r>
        <w:t xml:space="preserve">) returns a rigorous 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; a cheaper variant (grid maximum</w:t>
      </w:r>
      <w:r>
        <w:t xml:space="preserve"> </w:t>
      </w:r>
      <m:oMath>
        <m:r>
          <m:rPr>
            <m:sty m:val="p"/>
          </m:rPr>
          <m:t>+</m:t>
        </m:r>
        <m:r>
          <m:t> </m:t>
        </m:r>
        <m:r>
          <m:t>L</m:t>
        </m:r>
        <m:r>
          <m:t>h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filter_design.certify_filter</w:t>
      </w:r>
      <w:r>
        <w:t xml:space="preserve">) is also provided. The ground-state amplitude is bounded below by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r>
          <m:t> 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(scaled) uncertainty of the ground-state energy.</w:t>
      </w:r>
    </w:p>
    <w:p>
      <w:pPr>
        <w:pStyle w:val="BodyText"/>
      </w:pPr>
      <w:r>
        <w:rPr>
          <w:bCs/>
          <w:b/>
        </w:rPr>
        <w:t xml:space="preserve">R2 (leakage).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spec</m:t>
        </m:r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⊂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then for the</w:t>
      </w:r>
      <w:r>
        <w:t xml:space="preserve"> </w:t>
      </w:r>
      <w:r>
        <w:rPr>
          <w:iCs/>
          <w:i/>
        </w:rPr>
        <w:t xml:space="preserve">exact</w:t>
      </w:r>
      <w:r>
        <w:t xml:space="preserve"> </w:t>
      </w:r>
      <w:r>
        <w:t xml:space="preserve">filter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</m:sub>
          </m:sSub>
          <m:r>
            <m:t> </m:t>
          </m:r>
          <m:r>
            <m:rPr>
              <m:sty m:val="p"/>
            </m:rPr>
            <m:t>≥</m:t>
          </m:r>
          <m:r>
            <m:t> </m:t>
          </m:r>
          <m:f>
            <m:fPr>
              <m:type m:val="bar"/>
            </m:fPr>
            <m:num>
              <m:r>
                <m:t>γ</m:t>
              </m:r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i.e. leakage </m:t>
          </m:r>
          <m:r>
            <m:t> </m:t>
          </m:r>
          <m:r>
            <m:rPr>
              <m:sty m:val="p"/>
            </m:rPr>
            <m:t>ℓ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γ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</m:e>
              </m:d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(Proof: numerator</w:t>
      </w:r>
      <w:r>
        <w:t xml:space="preserve"> </w:t>
      </w:r>
      <m:oMath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, denominator</w:t>
      </w:r>
      <w:r>
        <w:t xml:space="preserve"> </w:t>
      </w:r>
      <m:oMath>
        <m:r>
          <m:rPr>
            <m:sty m:val="p"/>
          </m:rPr>
          <m:t>≤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r>
          <m:rPr>
            <m:sty m:val="p"/>
          </m:rPr>
          <m:t>sup</m:t>
        </m:r>
        <m:s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</m:e>
            </m:d>
          </m:e>
          <m:sup>
            <m:r>
              <m:t>2</m:t>
            </m:r>
          </m:sup>
        </m:sSup>
      </m:oMath>
      <w:r>
        <w:t xml:space="preserve">.) The design problem is therefore: given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a target leakage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find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with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m:t>ℓ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e>
                </m:d>
              </m:e>
            </m:d>
          </m:e>
        </m:rad>
      </m:oMath>
      <w:r>
        <w:t xml:space="preserve"> </w:t>
      </w:r>
      <w:r>
        <w:t xml:space="preserve">that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∏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) at fixed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pulse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floor.py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R3 (Lie–Trotter error of the post-selected state).</w:t>
      </w:r>
      <w:r>
        <w:t xml:space="preserve"> </w:t>
      </w:r>
      <w:r>
        <w:t xml:space="preserve">Replace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first-order Lie–Trotter steps over the Pauli terms. Because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  <m:r>
              <m:t>Z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H</m:t>
                </m:r>
              </m:e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</m:sub>
            </m:sSub>
          </m:e>
        </m:d>
        <m:r>
          <m:rPr>
            <m:sty m:val="p"/>
          </m:rPr>
          <m:t>⊗</m:t>
        </m:r>
        <m:r>
          <m:rPr>
            <m:sty m:val="p"/>
            <m:scr m:val="double-struck"/>
          </m:rPr>
          <m:t>1</m:t>
        </m:r>
      </m:oMath>
      <w:r>
        <w:t xml:space="preserve">, the commutator constant of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r>
          <m:t>Z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α</m:t>
        </m:r>
      </m:oMath>
      <w:r>
        <w:t xml:space="preserve">, and the standard bound (Childs et al., Phys. Rev. X 11, 011020, Eq.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gives</w:t>
      </w:r>
      <w:r>
        <w:t xml:space="preserve"> </w:t>
      </w:r>
      <m:oMath>
        <m:r>
          <m:rPr>
            <m:sty m:val="p"/>
          </m:rPr>
          <m:t>∥</m:t>
        </m:r>
        <m:sSub>
          <m:e>
            <m:r>
              <m:rPr>
                <m:sty m:val="p"/>
                <m:scr m:val="script"/>
              </m:rP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rPr>
                    <m:sty m:val="p"/>
                    <m:scr m:val="script"/>
                  </m:rPr>
                  <m:t>W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:</m:t>
        </m:r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. The post-selected blocks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⟨</m:t>
        </m:r>
        <m:r>
          <m:t>0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rPr>
                    <m:sty m:val="p"/>
                    <m:scr m:val="script"/>
                  </m:rPr>
                  <m:t>W</m:t>
                </m:r>
              </m:e>
              <m:sub>
                <m:r>
                  <m:t>i</m:t>
                </m:r>
              </m:sub>
            </m:sSub>
          </m:e>
        </m:d>
        <m:r>
          <m:t>0</m:t>
        </m:r>
        <m:r>
          <m:rPr>
            <m:sty m:val="p"/>
          </m:rPr>
          <m:t>⟩</m:t>
        </m:r>
      </m:oMath>
      <w:r>
        <w:t xml:space="preserve"> </w:t>
      </w:r>
      <w:r>
        <w:t xml:space="preserve">are contractions, so telescoping gives for the un-normalised vectors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ψ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⋯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t>ψ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sSub>
            <m:e>
              <m:r>
                <m:t>ϵ</m:t>
              </m:r>
            </m:e>
            <m:sub>
              <m:r>
                <m:t>T</m:t>
              </m:r>
            </m:sub>
          </m:sSub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t>α</m:t>
                  </m:r>
                  <m:sSubSup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2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t>d</m:t>
              </m:r>
              <m:r>
                <m:t>t</m:t>
              </m:r>
            </m:lim>
          </m:limUpp>
          <m:r>
            <m:t> </m:t>
          </m:r>
          <m:f>
            <m:fPr>
              <m:type m:val="bar"/>
            </m:fPr>
            <m:num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Renormalisation after each pulse is irrelevant because the projections commute with global rescaling. The code uses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b</m:t>
            </m:r>
          </m:e>
        </m:d>
        <m:r>
          <m:rPr>
            <m:sty m:val="p"/>
          </m:rPr>
          <m:t>∥</m:t>
        </m:r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this is a first-order statement; the identical formula is used by the code whatever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is set to (see §7).</w:t>
      </w:r>
    </w:p>
    <w:p>
      <w:pPr>
        <w:pStyle w:val="BodyText"/>
      </w:pPr>
      <w:r>
        <w:rPr>
          <w:bCs/>
          <w:b/>
        </w:rPr>
        <w:t xml:space="preserve">R4 (composition).</w:t>
      </w:r>
      <w:r>
        <w:t xml:space="preserve"> </w:t>
      </w:r>
      <w:r>
        <w:t xml:space="preserve">The code combines the two contributions as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. This is valid (proved in the code docstring, re-derived by us: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ℓ</m:t>
            </m:r>
          </m:e>
        </m:rad>
        <m:r>
          <m:rPr>
            <m:sty m:val="p"/>
          </m:rPr>
          <m:t>≤</m:t>
        </m:r>
        <m:r>
          <m:rPr>
            <m:sty m:val="p"/>
          </m:rPr>
          <m:t>ℓ</m:t>
        </m:r>
      </m:oMath>
      <w:r>
        <w:t xml:space="preserve"> </w:t>
      </w:r>
      <w:r>
        <w:t xml:space="preserve">plus the triangle inequality for phase-optimised distance,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d>
              <m:dPr>
                <m:begChr m:val="|"/>
                <m:endChr m:val="|"/>
                <m:sepChr m:val=""/>
                <m:grow/>
              </m:dPr>
              <m:e>
                <m:r>
                  <m:rPr>
                    <m:sty m:val="p"/>
                  </m:rPr>
                  <m:t>⟨</m:t>
                </m:r>
                <m:r>
                  <m:t>g</m:t>
                </m:r>
              </m:e>
            </m:d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⟩</m:t>
            </m:r>
            <m:r>
              <m:rPr>
                <m:sty m:val="p"/>
              </m:rPr>
              <m:t>|</m:t>
            </m:r>
          </m:e>
        </m:d>
      </m:oMath>
      <w:r>
        <w:t xml:space="preserve">; 0 violations in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trials) but</w:t>
      </w:r>
      <w:r>
        <w:t xml:space="preserve"> </w:t>
      </w:r>
      <w:r>
        <w:rPr>
          <w:bCs/>
          <w:b/>
        </w:rPr>
        <w:t xml:space="preserve">not tight</w:t>
      </w:r>
      <w:r>
        <w:t xml:space="preserve">. Working with the Fubini–Study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instead of the Euclidean distance:</w:t>
      </w:r>
    </w:p>
    <w:p>
      <w:pPr>
        <w:pStyle w:val="BlockText"/>
      </w:pPr>
      <w:r>
        <w:rPr>
          <w:bCs/>
          <w:b/>
        </w:rPr>
        <w:t xml:space="preserve">Proposition (sharpened composition).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&lt;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  <m:r>
          <m:rPr>
            <m:sty m:val="p"/>
          </m:rPr>
          <m:t>/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</m:oMath>
      <w:r>
        <w:t xml:space="preserve">. With</w:t>
      </w:r>
      <w:r>
        <w:t xml:space="preserve"> </w:t>
      </w:r>
      <m:oMath>
        <m:r>
          <m:rPr>
            <m:sty m:val="p"/>
          </m:rPr>
          <m:t>sin</m:t>
        </m:r>
        <m:sSub>
          <m:e>
            <m:r>
              <m:t>θ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and the triangle inequality for</w:t>
      </w:r>
      <w:r>
        <w:t xml:space="preserve"> </w:t>
      </w:r>
      <m:oMath>
        <m:r>
          <m:rPr>
            <m:sty m:val="p"/>
          </m:rPr>
          <m:t>∠</m:t>
        </m:r>
      </m:oMath>
      <w:r>
        <w:t xml:space="preserve">,</w:t>
      </w:r>
    </w:p>
    <w:p>
      <w:pPr>
        <w:pStyle w:val="Block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t> </m:t>
          </m:r>
          <m:r>
            <m:rPr>
              <m:sty m:val="p"/>
            </m:rPr>
            <m:t>≤</m:t>
          </m:r>
          <m:r>
            <m:t> 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arcsin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ℓ</m:t>
                  </m:r>
                </m:e>
              </m:ra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arcsin</m:t>
              </m:r>
              <m:f>
                <m:fPr>
                  <m:type m:val="bar"/>
                </m:fPr>
                <m:num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rad>
                </m:den>
              </m:f>
            </m:e>
          </m:d>
          <m:r>
            <m:t> </m:t>
          </m:r>
          <m:r>
            <m:rPr>
              <m:sty m:val="p"/>
            </m:rPr>
            <m:t>≤</m:t>
          </m:r>
          <m:r>
            <m:t> </m:t>
          </m:r>
          <m:r>
            <m:rPr>
              <m:sty m:val="p"/>
            </m:rPr>
            <m:t>(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ℓ</m:t>
              </m:r>
            </m:e>
          </m:ra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Cs/>
          <w:i/>
        </w:rPr>
        <w:t xml:space="preserve">Proof.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≤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dist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span</m:t>
            </m:r>
            <m:r>
              <m:t>b</m:t>
            </m:r>
          </m:e>
        </m:d>
        <m:r>
          <m:rPr>
            <m:sty m:val="p"/>
          </m:rPr>
          <m:t>=</m:t>
        </m:r>
        <m:r>
          <m:rPr>
            <m:sty m:val="p"/>
          </m:rPr>
          <m:t>∥</m:t>
        </m:r>
        <m:r>
          <m:t>a</m:t>
        </m:r>
        <m:r>
          <m:rPr>
            <m:sty m:val="p"/>
          </m:rPr>
          <m:t>∥</m:t>
        </m:r>
        <m:r>
          <m:rPr>
            <m:sty m:val="p"/>
          </m:rPr>
          <m:t>sin</m:t>
        </m:r>
        <m:r>
          <m:rPr>
            <m:sty m:val="p"/>
          </m:rPr>
          <m:t>∠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. The angle between rays is a metric on projective space, so</w:t>
      </w:r>
      <w: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  <m:r>
          <m:rPr>
            <m:sty m:val="p"/>
          </m:rPr>
          <m:t>≤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ϕ</m:t>
            </m:r>
          </m:e>
        </m:d>
        <m:r>
          <m:rPr>
            <m:sty m:val="p"/>
          </m:rPr>
          <m:t>+</m:t>
        </m:r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ϕ</m:t>
            </m:r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; finally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θ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̃"/>
              </m:accPr>
              <m:e>
                <m:r>
                  <m:t>ϕ</m:t>
                </m:r>
              </m:e>
            </m:acc>
            <m:r>
              <m:rPr>
                <m:sty m:val="p"/>
              </m:rPr>
              <m:t>,</m:t>
            </m:r>
            <m:r>
              <m:t>g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is increasing on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.</w:t>
      </w:r>
      <w:r>
        <w:t xml:space="preserve"> </w:t>
      </w:r>
      <m:oMath>
        <m:r>
          <m:rPr>
            <m:sty m:val="p"/>
          </m:rPr>
          <m:t>▫</m:t>
        </m:r>
      </m:oMath>
    </w:p>
    <w:p>
      <w:pPr>
        <w:pStyle w:val="BodyText"/>
      </w:pPr>
      <w:r>
        <w:t xml:space="preserve">Relative to R4 this removes a factor 2 in the Trotter distance and a factor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in the leakage distance. Because the required step number scales as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∝</m:t>
        </m:r>
        <m:rad>
          <m:radPr>
            <m:degHide m:val="on"/>
          </m:radPr>
          <m:deg/>
          <m:e>
            <m:r>
              <m:t>ε</m:t>
            </m:r>
          </m:e>
        </m:rad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</m:e>
        </m:rad>
      </m:oMath>
      <w:r>
        <w:t xml:space="preserve"> </w:t>
      </w:r>
      <w:r>
        <w:t xml:space="preserve">(first-order Trotter gives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ε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for an</w:t>
      </w:r>
      <w:r>
        <w:t xml:space="preserve"> </w:t>
      </w:r>
      <w:r>
        <w:rPr>
          <w:iCs/>
          <w:i/>
        </w:rPr>
        <w:t xml:space="preserve">infidelity</w:t>
      </w:r>
      <w:r>
        <w:t xml:space="preserve"> </w:t>
      </w:r>
      <w:r>
        <w:t xml:space="preserve">target), the proposition lowers the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about a factor 2 and the guaranteed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by about 4 at fixed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(quantified in §6.2).</w:t>
      </w:r>
    </w:p>
    <w:p>
      <w:pPr>
        <w:pStyle w:val="BodyText"/>
      </w:pPr>
      <w:r>
        <w:rPr>
          <w:bCs/>
          <w:b/>
        </w:rPr>
        <w:t xml:space="preserve">Cost model.</w:t>
      </w:r>
      <w:r>
        <w:t xml:space="preserve"> </w:t>
      </w:r>
      <w:r>
        <w:t xml:space="preserve">One Trotter step of one pulse costs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CX (transpiled once); a design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and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non-zero pulses costs</w:t>
      </w:r>
      <w:r>
        <w:t xml:space="preserve"> </w:t>
      </w:r>
      <m:oMath>
        <m:r>
          <m:t>n</m:t>
        </m:r>
        <m:r>
          <m:t> </m:t>
        </m:r>
        <m:sSub>
          <m:e>
            <m:r>
              <m:t>c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CX and</w:t>
      </w:r>
      <w:r>
        <w:t xml:space="preserve"> </w:t>
      </w:r>
      <m:oMath>
        <m:r>
          <m:t>n</m:t>
        </m:r>
        <m:r>
          <m:t> </m:t>
        </m:r>
        <m:sSub>
          <m:e>
            <m:r>
              <m:t>r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z</m:t>
            </m:r>
          </m:sub>
        </m:sSub>
      </m:oMath>
      <w:r>
        <w:t xml:space="preserve"> </w:t>
      </w:r>
      <w:r>
        <w:t xml:space="preserve">non-Clifford rotations; the expected cost to obtain a success is divided by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</m:oMath>
      <w:r>
        <w:t xml:space="preserve">.</w:t>
      </w:r>
    </w:p>
    <w:bookmarkEnd w:id="23"/>
    <w:bookmarkStart w:id="27" w:name="X929f78f0133e21586df4be69d8fc595c08adf0b"/>
    <w:p>
      <w:pPr>
        <w:pStyle w:val="Heading2"/>
      </w:pPr>
      <w:r>
        <w:t xml:space="preserve">4. The DMRG-to-filter workflow as implemented</w:t>
      </w:r>
    </w:p>
    <w:p>
      <w:pPr>
        <w:pStyle w:val="FirstParagraph"/>
      </w:pPr>
      <w:r>
        <w:t xml:space="preserve">The workflow in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has five stages. For each, we record</w:t>
      </w:r>
      <w:r>
        <w:t xml:space="preserve"> </w:t>
      </w:r>
      <w:r>
        <w:rPr>
          <w:iCs/>
          <w:i/>
        </w:rPr>
        <w:t xml:space="preserve">what the code does</w:t>
      </w:r>
      <w:r>
        <w:t xml:space="preserve">,</w:t>
      </w:r>
      <w:r>
        <w:t xml:space="preserve"> </w:t>
      </w:r>
      <w:r>
        <w:rPr>
          <w:iCs/>
          <w:i/>
        </w:rPr>
        <w:t xml:space="preserve">what it certifies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what it merely assumes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produces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the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Hamiltonian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hamiltonians.py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form (qiskit) and MPO (quimb);</w:t>
            </w:r>
            <w:r>
              <w:t xml:space="preserve"> </w:t>
            </w:r>
            <w:r>
              <w:rPr>
                <w:rStyle w:val="VerbatimChar"/>
              </w:rPr>
              <w:t xml:space="preserve">check_mpo_matches_pauli</w:t>
            </w:r>
            <w:r>
              <w:t xml:space="preserve"> </w:t>
            </w:r>
            <w:r>
              <w:t xml:space="preserve">compares them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Verified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DMRG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get_energies.py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MPS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 </w:t>
            </w:r>
            <w:r>
              <w:t xml:space="preserve">(two-site DMRG,</w:t>
            </w:r>
            <w:r>
              <w:t xml:space="preserve"> </w:t>
            </w:r>
            <m:oMath>
              <m:r>
                <m:t>χ</m:t>
              </m:r>
              <m:r>
                <m:rPr>
                  <m:sty m:val="p"/>
                </m:rPr>
                <m:t>≤</m:t>
              </m:r>
              <m:r>
                <m:t>64</m:t>
              </m:r>
            </m:oMath>
            <w:r>
              <w:t xml:space="preserve">);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DMRG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+</m:t>
              </m:r>
              <m:r>
                <m:t>λ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⟩</m:t>
                  </m:r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1.1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Estimates</w:t>
            </w:r>
            <w:r>
              <w:t xml:space="preserve">, not bounds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Spectral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shift,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 scaled gap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ED path: exact (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). DMRG path: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certified,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rPr>
                <w:bCs/>
                <w:b/>
              </w:rPr>
              <w:t xml:space="preserve">indicative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Trial state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(external)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  <w:r>
              <w:t xml:space="preserve">-layer brickwork circuit approximating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computed by overlap with the ED ground state if available, else with the DMRG 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only on the ED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Filter + Trotter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core/filter_design.py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pipeline.py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 certified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, a-priori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rigorous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bound, CX/T counts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</w:t>
            </w:r>
            <w:r>
              <w:t xml:space="preserve"> </w:t>
            </w:r>
            <w:r>
              <w:rPr>
                <w:iCs/>
                <w:i/>
              </w:rPr>
              <w:t xml:space="preserve">conditional on stages 3–4</w:t>
            </w:r>
          </w:p>
        </w:tc>
      </w:tr>
    </w:tbl>
    <w:bookmarkStart w:id="24" w:name="where-dmrg-enters-and-what-depends-on-it"/>
    <w:p>
      <w:pPr>
        <w:pStyle w:val="Heading3"/>
      </w:pPr>
      <w:r>
        <w:t xml:space="preserve">4.1 Where DMRG enters, and what depends on 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Trial state.</w:t>
      </w:r>
      <w:r>
        <w:t xml:space="preserve"> </w:t>
      </w:r>
      <w:r>
        <w:t xml:space="preserve">The MPS is compiled to an</w:t>
      </w:r>
      <w:r>
        <w:t xml:space="preserve"> </w:t>
      </w:r>
      <m:oMath>
        <m:r>
          <m:t>L</m:t>
        </m:r>
      </m:oMath>
      <w:r>
        <w:t xml:space="preserve">-layer circuit.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controls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the circuit cost; the filter exists to repair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Spectral inputs.</w:t>
      </w:r>
      <w:r>
        <w:t xml:space="preserve"> </w:t>
      </w:r>
      <w:r>
        <w:t xml:space="preserve">In the default configuration (</w:t>
      </w:r>
      <w:r>
        <w:rPr>
          <w:rStyle w:val="VerbatimChar"/>
        </w:rPr>
        <w:t xml:space="preserve">SPECTRUM_SOURCE="ed"</w:t>
      </w:r>
      <w:r>
        <w:t xml:space="preserve">)</w:t>
      </w:r>
      <w:r>
        <w:t xml:space="preserve"> </w:t>
      </w:r>
      <w:r>
        <w:rPr>
          <w:iCs/>
          <w:i/>
        </w:rPr>
        <w:t xml:space="preserve">no DMRG number enters the certificate</w:t>
      </w:r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come from dense ED and DMRG is used only for the trial circuit and as a cross-check (</w:t>
      </w:r>
      <w:r>
        <w:rPr>
          <w:rStyle w:val="VerbatimChar"/>
        </w:rPr>
        <w:t xml:space="preserve">ed_cross_check</w:t>
      </w:r>
      <w:r>
        <w:t xml:space="preserve">). This restricts every certified result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 where DMRG is not needed. With</w:t>
      </w:r>
      <w:r>
        <w:t xml:space="preserve"> </w:t>
      </w:r>
      <w:r>
        <w:rPr>
          <w:rStyle w:val="VerbatimChar"/>
        </w:rPr>
        <w:t xml:space="preserve">SPECTRUM_SOURCE="dmrg"</w:t>
      </w:r>
      <w:r>
        <w:t xml:space="preserve"> </w:t>
      </w:r>
      <w:r>
        <w:t xml:space="preserve">the scaled window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is built from DMRG quantities, and the guarantees of §3 become conditional on three assumptions that DMRG cannot certify:</w:t>
      </w:r>
    </w:p>
    <w:p>
      <w:pPr>
        <w:numPr>
          <w:ilvl w:val="1"/>
          <w:numId w:val="1002"/>
        </w:numPr>
        <w:pStyle w:val="Compact"/>
      </w:pPr>
      <w:r>
        <w:t xml:space="preserve">(A1)</w:t>
      </w:r>
      <w:r>
        <w:t xml:space="preserve"> </w:t>
      </w:r>
      <m:oMath>
        <m:sSubSup>
          <m:e>
            <m:r>
              <m:t>E</m:t>
            </m:r>
          </m:e>
          <m:sub>
            <m:r>
              <m:t>1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that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 on the true gap). The penalty method returns an energy of a state orthogonal to an</w:t>
      </w:r>
      <w:r>
        <w:t xml:space="preserve"> </w:t>
      </w:r>
      <w:r>
        <w:rPr>
          <w:iCs/>
          <w:i/>
        </w:rPr>
        <w:t xml:space="preserve">approximate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, i.e. an</w:t>
      </w:r>
      <w:r>
        <w:t xml:space="preserve"> </w:t>
      </w:r>
      <w:r>
        <w:rPr>
          <w:iCs/>
          <w:i/>
        </w:rPr>
        <w:t xml:space="preserve">upper</w:t>
      </w:r>
      <w:r>
        <w:t xml:space="preserve"> </w:t>
      </w:r>
      <w:r>
        <w:t xml:space="preserve">bound on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ψ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exact; the wrong side for a certificate (§6.4 quantifies the consequence).</w:t>
      </w:r>
    </w:p>
    <w:p>
      <w:pPr>
        <w:numPr>
          <w:ilvl w:val="1"/>
          <w:numId w:val="1002"/>
        </w:numPr>
        <w:pStyle w:val="Compact"/>
      </w:pPr>
      <w:r>
        <w:t xml:space="preserve">(A2)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lower bound. A DMRG–circuit overlap is an overlap with an approximation 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.</w:t>
      </w:r>
    </w:p>
    <w:p>
      <w:pPr>
        <w:numPr>
          <w:ilvl w:val="1"/>
          <w:numId w:val="1002"/>
        </w:numPr>
        <w:pStyle w:val="Compact"/>
      </w:pPr>
      <w:r>
        <w:t xml:space="preserve">(A3) the scaled ground energy is within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zero;</w:t>
      </w:r>
      <w:r>
        <w:t xml:space="preserve"> </w:t>
      </w:r>
      <w:r>
        <w:rPr>
          <w:rStyle w:val="VerbatimChar"/>
        </w:rPr>
        <w:t xml:space="preserve">get_spectrum</w:t>
      </w:r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, which the code itself calls</w:t>
      </w:r>
      <w:r>
        <w:t xml:space="preserve"> </w:t>
      </w:r>
      <w:r>
        <w:t xml:space="preserve">“</w:t>
      </w:r>
      <w:r>
        <w:t xml:space="preserve">indicative</w:t>
      </w:r>
      <w:r>
        <w:t xml:space="preserve">”</w:t>
      </w:r>
      <w:r>
        <w:t xml:space="preserve"> </w:t>
      </w:r>
      <w:r>
        <w:t xml:space="preserve">(some eigenvalue lies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Var</m:t>
            </m:r>
          </m:e>
        </m:ra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</m:oMath>
      <w:r>
        <w:t xml:space="preserve">, not necessarily the lowest).</w:t>
      </w:r>
    </w:p>
    <w:p>
      <w:pPr>
        <w:numPr>
          <w:ilvl w:val="0"/>
          <w:numId w:val="1000"/>
        </w:numPr>
        <w:pStyle w:val="Compact"/>
      </w:pPr>
      <w:r>
        <w:t xml:space="preserve">The bandwidth, in contrast,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t xml:space="preserve">certified: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r>
              <m:rPr>
                <m:sty m:val="p"/>
              </m:rPr>
              <m:t>∑</m:t>
            </m:r>
            <m:d>
              <m:dPr>
                <m:begChr m:val="|"/>
                <m:endChr m:val="|"/>
                <m:sepChr m:val=""/>
                <m:grow/>
              </m:dPr>
              <m:e>
                <m:sSub>
                  <m:e>
                    <m:r>
                      <m:t>c</m:t>
                    </m:r>
                  </m:e>
                  <m:sub>
                    <m:r>
                      <m:t>β</m:t>
                    </m:r>
                  </m:sub>
                </m:sSub>
              </m:e>
            </m:d>
          </m:e>
        </m:d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≥</m:t>
        </m:r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−</m:t>
        </m:r>
        <m:sSubSup>
          <m:e>
            <m:r>
              <m:t>E</m:t>
            </m:r>
          </m:e>
          <m:sub>
            <m:r>
              <m:t>0</m:t>
            </m:r>
          </m:sub>
          <m:sup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</m:sup>
        </m:sSubSup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Hilbert-space dimension.</w:t>
      </w:r>
      <w:r>
        <w:t xml:space="preserve"> </w:t>
      </w:r>
      <w:r>
        <w:t xml:space="preserve">Every number in stage 5 (exact reference, Trotter simulation, trial-circuit statevector) is computed with dense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vectors, so the pipeline never exploits DMRG’s ability to reach large</w:t>
      </w:r>
      <w:r>
        <w:t xml:space="preserve"> </w:t>
      </w:r>
      <m:oMath>
        <m:r>
          <m:t>N</m:t>
        </m:r>
      </m:oMath>
      <w:r>
        <w:t xml:space="preserve">. It is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≲</m:t>
        </m:r>
        <m:r>
          <m:t>14</m:t>
        </m:r>
      </m:oMath>
      <w:r>
        <w:t xml:space="preserve">, not (yet) a large-</w:t>
      </w:r>
      <m:oMath>
        <m:r>
          <m:t>N</m:t>
        </m:r>
      </m:oMath>
      <w:r>
        <w:t xml:space="preserve"> </w:t>
      </w:r>
      <w:r>
        <w:t xml:space="preserve">workflow.</w:t>
      </w:r>
    </w:p>
    <w:bookmarkEnd w:id="24"/>
    <w:bookmarkStart w:id="25" w:name="filter-design-floor-problem"/>
    <w:p>
      <w:pPr>
        <w:pStyle w:val="Heading3"/>
      </w:pPr>
      <w:r>
        <w:t xml:space="preserve">4.2 Filter design (</w:t>
      </w:r>
      <w:r>
        <w:t xml:space="preserve">“</w:t>
      </w:r>
      <w:r>
        <w:t xml:space="preserve">floor</w:t>
      </w:r>
      <w:r>
        <w:t xml:space="preserve">”</w:t>
      </w:r>
      <w:r>
        <w:t xml:space="preserve"> </w:t>
      </w:r>
      <w:r>
        <w:t xml:space="preserve">problem)</w:t>
      </w:r>
    </w:p>
    <w:p>
      <w:pPr>
        <w:pStyle w:val="FirstParagraph"/>
      </w:pPr>
      <w:r>
        <w:t xml:space="preserve">For fixed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T</m:t>
            </m:r>
            <m:r>
              <m:t>Δ</m:t>
            </m:r>
            <m:r>
              <m:rPr>
                <m:sty m:val="p"/>
              </m:rPr>
              <m:t>/</m:t>
            </m:r>
            <m:r>
              <m:t>π</m:t>
            </m:r>
            <m:r>
              <m:rPr>
                <m:sty m:val="p"/>
              </m:rPr>
              <m:t>,</m:t>
            </m:r>
            <m:r>
              <m:t> </m:t>
            </m:r>
            <m:r>
              <m:t>m</m:t>
            </m:r>
          </m:e>
        </m:d>
      </m:oMath>
      <w:r>
        <w:t xml:space="preserve"> </w:t>
      </w:r>
      <w:r>
        <w:t xml:space="preserve">the solver (</w:t>
      </w:r>
      <w:r>
        <w:rPr>
          <w:rStyle w:val="VerbatimChar"/>
        </w:rPr>
        <w:t xml:space="preserve">floor.solve_floor</w:t>
      </w:r>
      <w:r>
        <w:t xml:space="preserve">) maximises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using SLSQP with analytic Jacobians, a ladder of feasibility guards, a cutting-plane refinement of the constraint grid and a certification fixed point. Across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m</m:t>
            </m:r>
          </m:e>
        </m:d>
      </m:oMath>
      <w:r>
        <w:t xml:space="preserve"> </w:t>
      </w:r>
      <w:r>
        <w:t xml:space="preserve">and leakage budgets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r>
          <m:t>f</m:t>
        </m:r>
        <m:r>
          <m:t>ε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0.01</m:t>
        </m:r>
        <m:r>
          <m:rPr>
            <m:sty m:val="p"/>
          </m:rPr>
          <m:t>}</m:t>
        </m:r>
      </m:oMath>
      <w:r>
        <w:t xml:space="preserve">, the pipeline picks the candidate minimising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q</m:t>
            </m:r>
          </m:sub>
        </m:sSub>
        <m:r>
          <m:rPr>
            <m:sty m:val="p"/>
          </m:rPr>
          <m:t>/</m:t>
        </m:r>
        <m:sSubSup>
          <m:e>
            <m:r>
              <m:t>p</m:t>
            </m:r>
          </m:e>
          <m:sub>
            <m:r>
              <m:t>g</m:t>
            </m:r>
          </m:sub>
          <m:sup>
            <m:r>
              <m:rPr>
                <m:sty m:val="p"/>
              </m:rPr>
              <m:t>l</m:t>
            </m:r>
            <m:r>
              <m:rPr>
                <m:sty m:val="p"/>
              </m:rPr>
              <m:t>b</m:t>
            </m:r>
          </m:sup>
        </m:sSubSup>
      </m:oMath>
      <w:r>
        <w:t xml:space="preserve">. The continuous design is then snapped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 steps (largest-remainder), zero-length pulses are dropped (a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pulse is a scalar</w:t>
      </w:r>
      <w: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t xml:space="preserve"> </w:t>
      </w:r>
      <w:r>
        <w:t xml:space="preserve">after post-selection, so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and the state are unchanged), phases are re-optimised at the snapped times and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 re-certified.</w:t>
      </w:r>
    </w:p>
    <w:bookmarkEnd w:id="25"/>
    <w:bookmarkStart w:id="26" w:name="two-reported-operating-points"/>
    <w:p>
      <w:pPr>
        <w:pStyle w:val="Heading3"/>
      </w:pPr>
      <w:r>
        <w:t xml:space="preserve">4.3 Two reported operating points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Guaranteed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(5 % search) whose</w:t>
      </w:r>
      <w:r>
        <w:t xml:space="preserve"> </w:t>
      </w:r>
      <w:r>
        <w:rPr>
          <w:iCs/>
          <w:i/>
        </w:rPr>
        <w:t xml:space="preserve">a-priori</w:t>
      </w:r>
      <w:r>
        <w:t xml:space="preserve"> </w:t>
      </w:r>
      <w:r>
        <w:t xml:space="preserve">bound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Empirical</w:t>
      </w:r>
      <w:r>
        <w:t xml:space="preserve">: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(sweep + bisection) whose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infidelity to the ED ground state is</w:t>
      </w:r>
      <w:r>
        <w:t xml:space="preserve"> </w:t>
      </w:r>
      <m:oMath>
        <m:r>
          <m:rPr>
            <m:sty m:val="p"/>
          </m:rPr>
          <m:t>≤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second is an oracle quantity (it uses the exact ground state that the algorithm is supposed to produce) and, as §6.2 shows, it can sit in a regime where the Trotterised filter is not an approximation of the designed filter at all.</w:t>
      </w:r>
    </w:p>
    <w:bookmarkEnd w:id="26"/>
    <w:bookmarkEnd w:id="27"/>
    <w:bookmarkStart w:id="59" w:name="verification-and-results"/>
    <w:p>
      <w:pPr>
        <w:pStyle w:val="Heading2"/>
      </w:pPr>
      <w:r>
        <w:t xml:space="preserve">5. Verification and results</w:t>
      </w:r>
    </w:p>
    <w:p>
      <w:pPr>
        <w:pStyle w:val="FirstParagraph"/>
      </w:pPr>
      <w:r>
        <w:t xml:space="preserve">All experiments use noiseless exact statevector (or exact-unitary) simulation,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open boundaries, a one-layer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brickwork trial circuit from the DMRG MPS unless stated, and the pipeline defaults (first-order Lie–Trotter, ED spectrum,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design). DMRG: two-site, bond dimensions</w:t>
      </w:r>
      <w:r>
        <w:t xml:space="preserve"> </w:t>
      </w:r>
      <m:oMath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, cutoff and tolerance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 </w:t>
      </w:r>
      <w:r>
        <w:t xml:space="preserve">(quimb 1.15; qiskit 2.5.2;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, Python 3.12). Environment note: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does not install on Python ≥ 3.13.</w:t>
      </w:r>
    </w:p>
    <w:bookmarkStart w:id="28" w:name="the-analytic-building-blocks-hold"/>
    <w:p>
      <w:pPr>
        <w:pStyle w:val="Heading3"/>
      </w:pPr>
      <w:r>
        <w:t xml:space="preserve">5.1 The analytic building blocks hold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Pulse convention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non-commuting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random complex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ϕ</m:t>
              </m:r>
            </m:oMath>
            <w:r>
              <w:t xml:space="preserve"> </w:t>
            </w:r>
            <w:r>
              <w:t xml:space="preserve">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</w:t>
            </w:r>
            <w:r>
              <w:t xml:space="preserve"> </w:t>
            </w: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 </w:t>
            </w:r>
            <w:r>
              <w:t xml:space="preserve">(code’s own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random designs vs. 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-point brute-force sup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violations; branch-and-bound/brute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1.0000002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1.0023</m:t>
                  </m:r>
                </m:e>
              </m:d>
            </m:oMath>
            <w:r>
              <w:t xml:space="preserve">; grid+Lipschitz</w:t>
            </w:r>
            <w:r>
              <w:t xml:space="preserve"> </w:t>
            </w:r>
            <m:oMath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1.000006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1.0013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leakage bound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spectra, trial states, filters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(commutator 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 commutator norms,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  <w:r>
              <w:t xml:space="preserve">, both term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 equals dense value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sup>
              </m:sSup>
            </m:oMath>
            <w:r>
              <w:t xml:space="preserve">; the triangle-inequality value is up to 40 % larger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Lie–Trotter pulse error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  <m:scr m:val="script"/>
                </m:rPr>
                <m:t>W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rPr>
                      <m:sty m:val="p"/>
                      <m:scr m:val="script"/>
                    </m:rPr>
                    <m:t>W</m:t>
                  </m:r>
                </m:e>
              </m:acc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⊗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; system-level first-order error,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–</w:t>
            </w:r>
            <m:oMath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pulse level always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0.24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the bound; system level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0.47</m:t>
              </m:r>
              <m:r>
                <m:rPr>
                  <m:sty m:val="p"/>
                </m:rPr>
                <m:t>×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Composition R4 and sharpened version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unit-vector triples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of either; sharpened is 2.2× tighter on median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Normalisation lemma</w:t>
            </w:r>
            <w: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a</m:t>
              </m:r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random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violations (max ratio 0.99999)</w:t>
            </w:r>
          </w:p>
        </w:tc>
      </w:tr>
    </w:tbl>
    <w:p>
      <w:pPr>
        <w:pStyle w:val="BodyText"/>
      </w:pPr>
      <w:r>
        <w:t xml:space="preserve">The Lie–Trotter ordering that qiskit realises with</w:t>
      </w:r>
      <w:r>
        <w:t xml:space="preserve"> </w:t>
      </w:r>
      <w:r>
        <w:rPr>
          <w:rStyle w:val="VerbatimChar"/>
        </w:rPr>
        <w:t xml:space="preserve">preserve_order=True</w:t>
      </w:r>
      <w:r>
        <w:t xml:space="preserve"> </w:t>
      </w:r>
      <w:r>
        <w:t xml:space="preserve">was identified by explicit comparison with both ordered products (forward matches to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); the code nevertheless takes the maximum of the two orderings, which is safe.</w:t>
      </w:r>
    </w:p>
    <w:bookmarkEnd w:id="28"/>
    <w:bookmarkStart w:id="35" w:name="X555b9a91b9fca85ea99ba52466ec20a032c9b88"/>
    <w:p>
      <w:pPr>
        <w:pStyle w:val="Heading3"/>
      </w:pPr>
      <w:r>
        <w:t xml:space="preserve">5.2 Guaranteed versus empirical, and tightness of the bound</w:t>
      </w:r>
    </w:p>
    <w:p>
      <w:pPr>
        <w:pStyle w:val="CaptionedFigure"/>
      </w:pPr>
      <w:r>
        <w:drawing>
          <wp:inline>
            <wp:extent cx="3733800" cy="2678595"/>
            <wp:effectExtent b="0" l="0" r="0" t="0"/>
            <wp:docPr descr="Guaranteed (solid) and empirical (open markers) Trotter step counts versus target infidelity." title="" id="30" name="Picture"/>
            <a:graphic>
              <a:graphicData uri="http://schemas.openxmlformats.org/drawingml/2006/picture">
                <pic:pic>
                  <pic:nvPicPr>
                    <pic:cNvPr descr="figs/fig1_guar_vs_em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785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Guaranteed (solid) and empirical (open markers) Trotter step counts versus target infidelity.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sharpened bound</w:t>
            </w:r>
          </w:p>
        </w:tc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</m:sub>
                <m:sup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CX guar.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 emp.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1 450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9 797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2.8e-5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1.6e-4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3.2e-3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25 634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(not simulated)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11 317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1 256 087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1 099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floor design.</w:t>
      </w:r>
      <w:r>
        <w:t xml:space="preserve"> </w:t>
      </w:r>
      <m:oMath>
        <m:sSubSup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sup>
        </m:sSubSup>
      </m:oMath>
      <w:r>
        <w:t xml:space="preserve"> </w:t>
      </w:r>
      <w:r>
        <w:t xml:space="preserve">is the a-priori step number if the sharpened composition of §3 replaced R4, computed on the un-gridded design, i.e. indicative.)</w:t>
      </w:r>
    </w:p>
    <w:p>
      <w:pPr>
        <w:pStyle w:val="BodyText"/>
      </w:pPr>
      <w:r>
        <w:t xml:space="preserve">Three observations.</w:t>
      </w:r>
    </w:p>
    <w:p>
      <w:pPr>
        <w:pStyle w:val="BodyText"/>
      </w:pPr>
      <w:r>
        <w:rPr>
          <w:iCs/>
          <w:i/>
        </w:rPr>
        <w:t xml:space="preserve">(a) The guarantee is sound but loose.</w:t>
      </w:r>
      <w:r>
        <w:t xml:space="preserve"> </w:t>
      </w:r>
      <w:r>
        <w:t xml:space="preserve">No design violated its bound. The measured infidelity 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</m:oMath>
      <w:r>
        <w:t xml:space="preserve"> </w:t>
      </w:r>
      <w:r>
        <w:t xml:space="preserve">is 8–63× below the bound, and the sharpened composition (valid in every case) tightens the bound by 2.5–3.1× and reduces the a-priori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 2.3–3.2×. Two further sources of slack remain: the commutator norm is a worst case over the full Hilbert space (the pulse-level operator error is already only</w:t>
      </w:r>
      <w:r>
        <w:t xml:space="preserve"> 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state error on low-energy states is far smaller than the operator error (measured state error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vs. bound</w:t>
      </w:r>
      <w:r>
        <w:t xml:space="preserve"> </w:t>
      </w:r>
      <m:oMath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p>
      <w:pPr>
        <w:pStyle w:val="CaptionedFigure"/>
      </w:pPr>
      <w:r>
        <w:drawing>
          <wp:inline>
            <wp:extent cx="2933700" cy="2305050"/>
            <wp:effectExtent b="0" l="0" r="0" t="0"/>
            <wp:docPr descr="Measured infidelity vs. a-priori bound. All points lie below y=x." title="" id="33" name="Picture"/>
            <a:graphic>
              <a:graphicData uri="http://schemas.openxmlformats.org/drawingml/2006/picture">
                <pic:pic>
                  <pic:nvPicPr>
                    <pic:cNvPr descr="figs/fig2_bound_tightnes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05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Measured infidelity vs. a-priori bound. All points lie below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Cs/>
          <w:i/>
        </w:rPr>
        <w:t xml:space="preserve">(b) The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empirical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point is an oracle and sometimes not a filter at all.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defined by comparison with the exact ground state. In several rows 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snapped Trotter step (</w:t>
      </w:r>
      <m:oMath>
        <m:r>
          <m:t>d</m:t>
        </m:r>
        <m:r>
          <m:t>t</m:t>
        </m:r>
        <m:r>
          <m:rPr>
            <m:sty m:val="p"/>
          </m:rPr>
          <m:t>≈</m:t>
        </m:r>
        <m:r>
          <m:t>3.6</m:t>
        </m:r>
      </m:oMath>
      <w:r>
        <w:t xml:space="preserve"> </w:t>
      </w:r>
      <w:r>
        <w:t xml:space="preserve">in scaled units, i.e. </w:t>
      </w:r>
      <m:oMath>
        <m:r>
          <m:t>W</m:t>
        </m:r>
        <m:r>
          <m:t> </m:t>
        </m:r>
        <m:r>
          <m:t>d</m:t>
        </m:r>
        <m:r>
          <m:t>t</m:t>
        </m:r>
        <m:r>
          <m:rPr>
            <m:sty m:val="p"/>
          </m:rPr>
          <m:t>≈</m:t>
        </m:r>
        <m:r>
          <m:t>13</m:t>
        </m:r>
      </m:oMath>
      <w:r>
        <w:t xml:space="preserve"> </w:t>
      </w:r>
      <w:r>
        <w:t xml:space="preserve">rad) is so coarse that the circuit is no longer an approximation of the designed filter, and the measured improvement is a property of that particular discretisation, not something a bound can certify or a user could know a priori. The empirical numbers should be presented as a lower envelope, not as the algorithm’s cost.</w:t>
      </w:r>
    </w:p>
    <w:p>
      <w:pPr>
        <w:pStyle w:val="BodyText"/>
      </w:pPr>
      <w:r>
        <w:rPr>
          <w:iCs/>
          <w:i/>
        </w:rPr>
        <w:t xml:space="preserve">(c) Cost.</w:t>
      </w:r>
      <w:r>
        <w:t xml:space="preserve"> </w:t>
      </w:r>
      <w:r>
        <w:t xml:space="preserve">The guaranteed circuits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have 1450 Trotter steps, 50 765 CX, depth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non-Clifford rotations, i.e. </w:t>
      </w:r>
      <m:oMath>
        <m:r>
          <m:rPr>
            <m:sty m:val="p"/>
          </m:rPr>
          <m:t>∼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 gates under the code’s own synthesis estimate, with success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≈</m:t>
        </m:r>
        <m:r>
          <m:t>0.72</m:t>
        </m:r>
      </m:oMath>
      <w:r>
        <w:t xml:space="preserve">.</w:t>
      </w:r>
    </w:p>
    <w:bookmarkEnd w:id="35"/>
    <w:bookmarkStart w:id="39" w:name="is-the-filter-worth-it-baselines"/>
    <w:p>
      <w:pPr>
        <w:pStyle w:val="Heading3"/>
      </w:pPr>
      <w:r>
        <w:t xml:space="preserve">5.3 Is the filter worth it? Baselines</w:t>
      </w:r>
    </w:p>
    <w:p>
      <w:pPr>
        <w:pStyle w:val="CaptionedFigure"/>
      </w:pPr>
      <w:r>
        <w:drawing>
          <wp:inline>
            <wp:extent cx="3733800" cy="3049182"/>
            <wp:effectExtent b="0" l="0" r="0" t="0"/>
            <wp:docPr descr="CX versus infidelity for the DMRG-derived MPS circuit (L=1..8), exact state preparation (stars, plotted at a nominal 10^{-3}) and the guaranteed filter (crosses)." title="" id="37" name="Picture"/>
            <a:graphic>
              <a:graphicData uri="http://schemas.openxmlformats.org/drawingml/2006/picture">
                <pic:pic>
                  <pic:nvPicPr>
                    <pic:cNvPr descr="figs/fig3_baselin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49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.8</m:t>
        </m:r>
      </m:oMath>
      <w:r>
        <w:t xml:space="preserve">), exact state preparation (stars, plotted at a nominal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the guaranteed filter (crosses).</w:t>
      </w:r>
    </w:p>
    <w:p>
      <w:pPr>
        <w:pStyle w:val="BodyText"/>
      </w:pPr>
      <w:r>
        <w:t xml:space="preserve">Exact preparation of the ED ground state with qiskit’s generic isometry synthesis costs 57, 247, 1013 and 4083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). The guaranteed filter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costs 50 765, 240 268 and 696 807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, i.e. </w:t>
      </w:r>
      <w:r>
        <w:rPr>
          <w:bCs/>
          <w:b/>
        </w:rPr>
        <w:t xml:space="preserve">890×, 970× and 690×</w:t>
      </w:r>
      <w:r>
        <w:t xml:space="preserve"> </w:t>
      </w:r>
      <w:r>
        <w:t xml:space="preserve">more than exact preparation, and 2–3 orders of magnitude more than the entire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MPS-circuit family (15–264 CX). The MPS-circuit baseline is itself imperfect and</w:t>
      </w:r>
      <w:r>
        <w:t xml:space="preserve"> </w:t>
      </w:r>
      <w:r>
        <w:rPr>
          <w:iCs/>
          <w:i/>
        </w:rPr>
        <w:t xml:space="preserve">non-monotone in</w:t>
      </w:r>
      <w:r>
        <w:rPr>
          <w:iCs/>
          <w:i/>
        </w:rPr>
        <w:t xml:space="preserve"> </w:t>
      </w:r>
      <m:oMath>
        <m:r>
          <m:t>L</m:t>
        </m:r>
      </m:oMath>
      <w:r>
        <w:t xml:space="preserve"> </w:t>
      </w:r>
      <w:r>
        <w:t xml:space="preserve">(e.g. 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: infidelity</w:t>
      </w:r>
      <w:r>
        <w:t xml:space="preserve"> </w:t>
      </w:r>
      <m:oMath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4</m:t>
        </m:r>
      </m:oMath>
      <w:r>
        <w:t xml:space="preserve">; the compilation is a local optimisation), and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12</m:t>
        </m:r>
      </m:oMath>
      <w:r>
        <w:t xml:space="preserve"> </w:t>
      </w:r>
      <w:r>
        <w:t xml:space="preserve">it has not converged by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(5.8 % and 12 % infidelity). Extrapolating the fitted</w:t>
      </w:r>
      <w:r>
        <w:t xml:space="preserve"> </w:t>
      </w:r>
      <m:oMath>
        <m:sSup>
          <m:e>
            <m:r>
              <m:t>N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filter cost against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exact cost suggests a crossover near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26</m:t>
        </m:r>
      </m:oMath>
      <w:r>
        <w:t xml:space="preserve"> </w:t>
      </w:r>
      <w:r>
        <w:t xml:space="preserve">— but dense isometry synthesis is not available at that size and the extrapolation ignores the decay of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; the relevant comparators there are MPS-based sequential preparation [7] and QETU/Lin–Tong filters [5,6]. The full equal-fidelity comparison with the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t xml:space="preserve">approximate and sequential circuits,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, is given in §5.8.</w:t>
      </w:r>
    </w:p>
    <w:bookmarkEnd w:id="39"/>
    <w:bookmarkStart w:id="43" w:name="scaling-with-system-size"/>
    <w:p>
      <w:pPr>
        <w:pStyle w:val="Heading3"/>
      </w:pPr>
      <w:r>
        <w:t xml:space="preserve">5.4 Scaling with system size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Left: guaranteed Trotter steps at \varepsilon=10^{-2} versus N. Right: guaranteed CX versus N, compared with exact state preparation." title="" id="41" name="Picture"/>
            <a:graphic>
              <a:graphicData uri="http://schemas.openxmlformats.org/drawingml/2006/picture">
                <pic:pic>
                  <pic:nvPicPr>
                    <pic:cNvPr descr="figs/fig4_scaling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guaranteed Trotter steps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. Right: guaranteed CX versus</w:t>
      </w:r>
      <w:r>
        <w:t xml:space="preserve"> </w:t>
      </w:r>
      <m:oMath>
        <m:r>
          <m:t>N</m:t>
        </m:r>
      </m:oMath>
      <w:r>
        <w:t xml:space="preserve">, compared with exact state preparation.</w:t>
      </w:r>
    </w:p>
    <w:p>
      <w:pPr>
        <w:pStyle w:val="BodyText"/>
      </w:pPr>
      <w:r>
        <w:t xml:space="preserve">Guaranteed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: 226, 1523, 4903, 11 060 (fit exponent 4.3 over 4–10, 3.9 over 6–10); CX:</w:t>
      </w:r>
      <w:r>
        <w:t xml:space="preserve"> </w:t>
      </w:r>
      <m:oMath>
        <m:r>
          <m:t>4.8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,</w:t>
      </w:r>
      <w:r>
        <w:t xml:space="preserve"> </w:t>
      </w:r>
      <m:oMath>
        <m:r>
          <m:t>7.0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(exponent 5.0–5.5). This agrees with the structure of the bound,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sSubSup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sSub>
                  <m:e>
                    <m:r>
                      <m:t>p</m:t>
                    </m:r>
                  </m:e>
                  <m:sub>
                    <m:r>
                      <m:t>g</m:t>
                    </m:r>
                  </m:sub>
                </m:sSub>
              </m:e>
            </m:rad>
            <m:r>
              <m:t> </m:t>
            </m:r>
            <m:sSub>
              <m:e>
                <m:r>
                  <m:t>d</m:t>
                </m:r>
              </m:e>
              <m:sub>
                <m:r>
                  <m:t>T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(3.0, 4.5, 6.0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∝</m:t>
        </m:r>
        <m:r>
          <m:t>N</m:t>
        </m:r>
      </m:oMath>
      <w:r>
        <w:t xml:space="preserve"> </w:t>
      </w:r>
      <w:r>
        <w:t xml:space="preserve">(gap 0.49, 0.39, 0.33) giving</w:t>
      </w:r>
      <w: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with the remaining power from</w:t>
      </w:r>
      <w:r>
        <w:t xml:space="preserve"> </w:t>
      </w:r>
      <m:oMath>
        <m:r>
          <m:t>γ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falling at fixed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(0.90, 0.84, 0.78) and hence tighter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plus the per-step CX growing</w:t>
      </w:r>
      <w:r>
        <w:t xml:space="preserve"> </w:t>
      </w:r>
      <m:oMath>
        <m:r>
          <m:rPr>
            <m:sty m:val="p"/>
          </m:rPr>
          <m:t>∝</m:t>
        </m:r>
        <m:r>
          <m:t>N</m:t>
        </m:r>
      </m:oMath>
      <w:r>
        <w:t xml:space="preserve">. (Note that rescaling by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cancels:</w:t>
      </w:r>
      <w:r>
        <w:t xml:space="preserve"> 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W</m:t>
        </m:r>
      </m:oMath>
      <w:r>
        <w:t xml:space="preserve">-independent.) Using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layers raises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(0.98, 0.94, 0.90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) and lowers guaranteed CX by 3.2×, 1.7× and 1.5× respectively: the benefit of a better trial state shrinks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because the evolution time</w:t>
      </w:r>
      <w:r>
        <w:t xml:space="preserve"> 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is set by the gap, not by</w:t>
      </w:r>
      <w:r>
        <w:t xml:space="preserve"> </w:t>
      </w:r>
      <m:oMath>
        <m:r>
          <m:t>γ</m:t>
        </m:r>
      </m:oMath>
      <w:r>
        <w:t xml:space="preserve">.</w:t>
      </w:r>
    </w:p>
    <w:bookmarkEnd w:id="43"/>
    <w:bookmarkStart w:id="44" w:name="the-dmrg-derived-inputs"/>
    <w:p>
      <w:pPr>
        <w:pStyle w:val="Heading3"/>
      </w:pPr>
      <w:r>
        <w:t xml:space="preserve">5.5 The DMRG-derived inputs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G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rel. gap error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Δ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⟨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G</m:t>
                      </m:r>
                    </m:sub>
                  </m:sSub>
                </m:e>
              </m:d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−4e-16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−3.7e-10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−8.5e-10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−2.0e-9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2.4e-9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1.0e-8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</w:tbl>
    <w:p>
      <w:pPr>
        <w:pStyle w:val="BodyText"/>
      </w:pP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Rows with ≈0 variance are at rounding level.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0.2411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16</m:t>
        </m:r>
      </m:oMath>
      <w:r>
        <w:t xml:space="preserve">) 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10</m:t>
        </m:r>
      </m:oMath>
      <w:r>
        <w:t xml:space="preserve">) show the same behaviour: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  <m:r>
          <m:rPr>
            <m:sty m:val="p"/>
          </m:rPr>
          <m:t>,</m:t>
        </m:r>
        <m:d>
          <m:dPr>
            <m:begChr m:val="|"/>
            <m:endChr m:val="|"/>
            <m:sepChr m:val=""/>
            <m:grow/>
          </m:dPr>
          <m:e>
            <m:r>
              <m:t>Δ</m:t>
            </m:r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≤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overlap 1; the full table is in</w:t>
      </w:r>
      <w:r>
        <w:t xml:space="preserve"> </w:t>
      </w:r>
      <w:r>
        <w:rPr>
          <w:rStyle w:val="VerbatimChar"/>
        </w:rPr>
        <w:t xml:space="preserve">results/exp3a_*.json</w:t>
      </w:r>
      <w:r>
        <w:t xml:space="preserve">, which is written when the sweep finishes.) DMRG reproduces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and the ground state to overlap 1 against sparse-Lanczos ED 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 Three caveats are relevant to certification, not to accuracy:</w:t>
      </w:r>
    </w:p>
    <w:p>
      <w:pPr>
        <w:numPr>
          <w:ilvl w:val="0"/>
          <w:numId w:val="1004"/>
        </w:numPr>
        <w:pStyle w:val="Compact"/>
      </w:pPr>
      <m:oMath>
        <m:r>
          <m:t>Δ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(up to rounding), as expected for a variational excited-state energy — the</w:t>
      </w:r>
      <w:r>
        <w:t xml:space="preserve"> </w:t>
      </w:r>
      <w:r>
        <w:rPr>
          <w:bCs/>
          <w:b/>
        </w:rPr>
        <w:t xml:space="preserve">unsafe direction</w:t>
      </w:r>
      <w:r>
        <w:t xml:space="preserve"> </w:t>
      </w:r>
      <w:r>
        <w:t xml:space="preserve">for a gap used as a</w:t>
      </w:r>
      <w:r>
        <w:t xml:space="preserve"> </w:t>
      </w:r>
      <w:r>
        <w:rPr>
          <w:iCs/>
          <w:i/>
        </w:rPr>
        <w:t xml:space="preserve">lower</w:t>
      </w:r>
      <w:r>
        <w:t xml:space="preserve"> </w:t>
      </w:r>
      <w:r>
        <w:t xml:space="preserve">bound. The size is negligible here, but nothing guarantees it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 frustrated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The relative gap error changes sign, so the sign of the error is not controlled either.</w:t>
      </w:r>
    </w:p>
    <w:p>
      <w:pPr>
        <w:numPr>
          <w:ilvl w:val="0"/>
          <w:numId w:val="1004"/>
        </w:numPr>
        <w:pStyle w:val="Compact"/>
      </w:pPr>
      <w:r>
        <w:t xml:space="preserve">The code’s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t>H</m:t>
            </m:r>
          </m:e>
        </m:rad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(e.g.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/</m:t>
        </m:r>
        <m:r>
          <m:t>W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) is five orders of magnitude larger than the true energy error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): it is simultaneously non-rigorous (an eigenvalue within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</m:rad>
      </m:oMath>
      <w:r>
        <w:t xml:space="preserve"> </w:t>
      </w:r>
      <w:r>
        <w:t xml:space="preserve">need not be the lowest) and wasteful (it enters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0</m:t>
                    </m:r>
                  </m:sub>
                </m:sSub>
              </m:e>
            </m:d>
          </m:e>
        </m:d>
        <m:r>
          <m:rPr>
            <m:sty m:val="p"/>
          </m:rPr>
          <m:t>≥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</m:d>
        <m:r>
          <m:rPr>
            <m:sty m:val="p"/>
          </m:rPr>
          <m:t>−</m:t>
        </m:r>
        <m:r>
          <m:t>L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). A Temple-type lower bound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rPr>
                <m:sty m:val="p"/>
              </m:rPr>
              <m:t>⟨</m:t>
            </m:r>
            <m:r>
              <m:t>H</m:t>
            </m:r>
            <m:r>
              <m:rPr>
                <m:sty m:val="p"/>
              </m:rPr>
              <m:t>⟩</m:t>
            </m:r>
          </m:e>
        </m:d>
      </m:oMath>
      <w:r>
        <w:t xml:space="preserve">, which is</w:t>
      </w:r>
      <w:r>
        <w:t xml:space="preserve"> </w:t>
      </w:r>
      <w:r>
        <w:rPr>
          <w:iCs/>
          <w:i/>
        </w:rPr>
        <w:t xml:space="preserve">quadratically</w:t>
      </w:r>
      <w:r>
        <w:t xml:space="preserve"> </w:t>
      </w:r>
      <w:r>
        <w:t xml:space="preserve">smaller, becomes available as soon as a rigorous lower bound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on the first excitation is accepted — the same quantity the certificate already needs.</w:t>
      </w:r>
    </w:p>
    <w:p>
      <w:pPr>
        <w:pStyle w:val="FirstParagraph"/>
      </w:pPr>
      <w:r>
        <w:t xml:space="preserve">(The DMRG penalty state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weight 0.03–0.56 on any</w:t>
      </w:r>
      <w:r>
        <w:t xml:space="preserve"> </w:t>
      </w:r>
      <w:r>
        <w:rPr>
          <w:iCs/>
          <w:i/>
        </w:rPr>
        <w:t xml:space="preserve">single</w:t>
      </w:r>
      <w:r>
        <w:t xml:space="preserve"> </w:t>
      </w:r>
      <w:r>
        <w:t xml:space="preserve">ED vector at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threefold-degenerate triplet; this is not an error.)</w:t>
      </w:r>
    </w:p>
    <w:bookmarkEnd w:id="44"/>
    <w:bookmarkStart w:id="48" w:name="X0529b14ae857857a6664a0f4589a5359074636c"/>
    <w:p>
      <w:pPr>
        <w:pStyle w:val="Heading3"/>
      </w:pPr>
      <w:r>
        <w:t xml:space="preserve">5.6 Over-estimating the gap, and what symmetry could buy</w:t>
      </w:r>
    </w:p>
    <w:p>
      <w:pPr>
        <w:pStyle w:val="FirstParagraph"/>
      </w:pPr>
      <w:r>
        <w:t xml:space="preserve">We designed filters for a gap over-estimated by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evaluated them on the true spectrum.</w:t>
      </w:r>
    </w:p>
    <w:p>
      <w:pPr>
        <w:pStyle w:val="CaptionedFigure"/>
      </w:pPr>
      <w:r>
        <w:drawing>
          <wp:inline>
            <wp:extent cx="2933700" cy="2000250"/>
            <wp:effectExtent b="0" l="0" r="0" t="0"/>
            <wp:docPr descr="Inflation of the certified \eta when the design gap exceeds the true gap." title="" id="46" name="Picture"/>
            <a:graphic>
              <a:graphicData uri="http://schemas.openxmlformats.org/drawingml/2006/picture">
                <pic:pic>
                  <pic:nvPicPr>
                    <pic:cNvPr descr="figs/fig5_gap_sensitiv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Inflation of the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when the design gap exceeds the true gap.</w:t>
      </w:r>
    </w:p>
    <w:p>
      <w:pPr>
        <w:pStyle w:val="BodyText"/>
      </w:pPr>
      <w:r>
        <w:t xml:space="preserve">The certificate fails as soon as the design gap exceeds the true one: certified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on the true window rises from 0.092 to 0.15, 0.21, 0.28, 0.34 and 0.50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35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(design target 0.092). The</w:t>
      </w:r>
      <w:r>
        <w:t xml:space="preserve"> </w:t>
      </w:r>
      <w:r>
        <w:rPr>
          <w:iCs/>
          <w:i/>
        </w:rPr>
        <w:t xml:space="preserve">measured</w:t>
      </w:r>
      <w:r>
        <w:t xml:space="preserve"> </w:t>
      </w:r>
      <w:r>
        <w:t xml:space="preserve">leakage of this particular trial state nevertheless stays below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target (</w:t>
      </w:r>
      <m:oMath>
        <m:r>
          <m:rPr>
            <m:sty m:val="p"/>
          </m:rPr>
          <m:t>≤</m:t>
        </m:r>
        <m:r>
          <m:t>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The reason is symmetry: the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 state has 96.3 % of its weight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0.49 %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3.2 %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</m:oMath>
      <w:r>
        <w:t xml:space="preserve">, and the triplet that fixes the gap carries almost none of it, while the first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excitation lies at 2.66× the triplet gap (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 A rigorous statement therefore needs the sector weights, which suggests a concrete improvement (§6): because every bond exponential is SU(2)-symmetric (</w:t>
      </w:r>
      <w:r>
        <w:t xml:space="preserve">“</w:t>
      </w:r>
      <w:r>
        <w:t xml:space="preserve">bond</w:t>
      </w:r>
      <w:r>
        <w:t xml:space="preserve">”</w:t>
      </w:r>
      <w:r>
        <w:t xml:space="preserve"> </w:t>
      </w:r>
      <w:r>
        <w:t xml:space="preserve">ordering) the Trotterised evolution preserves</w:t>
      </w:r>
      <w:r>
        <w:t xml:space="preserve"> </w:t>
      </w:r>
      <m:oMath>
        <m:r>
          <m:t>S</m:t>
        </m:r>
      </m:oMath>
      <w:r>
        <w:t xml:space="preserve">, so one may certify with sector-dependent windows. The potential saving, since</w:t>
      </w:r>
      <w:r>
        <w:t xml:space="preserve"> </w:t>
      </w:r>
      <m:oMath>
        <m:r>
          <m:t>n</m:t>
        </m:r>
        <m:r>
          <m:rPr>
            <m:sty m:val="p"/>
          </m:rPr>
          <m:t>∝</m:t>
        </m:r>
        <m:sSup>
          <m:e>
            <m:r>
              <m:t>Δ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is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1.4×</w:t>
            </w:r>
          </w:p>
        </w:tc>
      </w:tr>
    </w:tbl>
    <w:p>
      <w:pPr>
        <w:pStyle w:val="BodyText"/>
      </w:pPr>
      <w:r>
        <w:t xml:space="preserve">(ratio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t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r</m:t>
                    </m:r>
                  </m:sub>
                </m:sSub>
                <m:r>
                  <m:rPr>
                    <m:sty m:val="p"/>
                  </m:rPr>
                  <m:t>/</m:t>
                </m:r>
                <m:sSub>
                  <m:e>
                    <m:r>
                      <m:t>Δ</m:t>
                    </m:r>
                  </m:e>
                  <m:sub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y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from exact diagonalisation;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6.8×.)</w:t>
      </w:r>
    </w:p>
    <w:bookmarkEnd w:id="48"/>
    <w:bookmarkStart w:id="49" w:name="X986549702bb753381e177305c03073af7e6b63c"/>
    <w:p>
      <w:pPr>
        <w:pStyle w:val="Heading3"/>
      </w:pPr>
      <w:r>
        <w:t xml:space="preserve">5.7 The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case is trivial, and exposes a defect</w:t>
      </w:r>
    </w:p>
    <w:p>
      <w:pPr>
        <w:pStyle w:val="FirstParagraph"/>
      </w:pPr>
      <w:r>
        <w:t xml:space="preserve">At the Majumdar–Ghosh point the open even chain has the product-of-dimers ground state [8], which a single brickwork layer reproduces exactly: we find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(to double precision)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–</w:t>
      </w:r>
      <m:oMath>
        <m:r>
          <m:t>12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floor_vs_precision</w:t>
      </w:r>
      <w:r>
        <w:t xml:space="preserve"> </w:t>
      </w:r>
      <w:r>
        <w:t xml:space="preserve">then correctly returns</w:t>
      </w:r>
      <w:r>
        <w:t xml:space="preserve"> </w:t>
      </w:r>
      <w:r>
        <w:t xml:space="preserve">“</w:t>
      </w:r>
      <w:r>
        <w:t xml:space="preserve">no filter needed</w:t>
      </w:r>
      <w:r>
        <w:t xml:space="preserve">”</w:t>
      </w:r>
      <w:r>
        <w:t xml:space="preserve"> </w:t>
      </w:r>
      <w:r>
        <w:t xml:space="preserve">rows (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), but</w:t>
      </w:r>
      <w:r>
        <w:t xml:space="preserve"> </w:t>
      </w:r>
      <w:r>
        <w:rPr>
          <w:rStyle w:val="VerbatimChar"/>
        </w:rPr>
        <w:t xml:space="preserve">choose_floor_design</w:t>
      </w:r>
      <w:r>
        <w:t xml:space="preserve"> </w:t>
      </w:r>
      <w:r>
        <w:t xml:space="preserve">counts them as infeasible and</w:t>
      </w:r>
      <w:r>
        <w:t xml:space="preserve"> </w:t>
      </w:r>
      <w:r>
        <w:rPr>
          <w:rStyle w:val="VerbatimChar"/>
        </w:rPr>
        <w:t xml:space="preserve">make_design</w:t>
      </w:r>
      <w:r>
        <w:t xml:space="preserve"> </w:t>
      </w:r>
      <w:r>
        <w:t xml:space="preserve">silently falls back to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design with a hard-coded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≥</m:t>
        </m:r>
        <m:r>
          <m:t>0.9</m:t>
        </m:r>
      </m:oMath>
      <w:r>
        <w:t xml:space="preserve">. The pipeline then reports guaranteed circuits of 24 261, 511 068 and 1 157 409 CX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to prepare a state it already has, and the oracle-empirical search</w:t>
      </w:r>
      <w:r>
        <w:t xml:space="preserve"> </w:t>
      </w:r>
      <w:r>
        <w:t xml:space="preserve">“</w:t>
      </w:r>
      <w:r>
        <w:t xml:space="preserve">meets</w:t>
      </w:r>
      <w:r>
        <w:t xml:space="preserve">”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with a state that has</w:t>
      </w:r>
      <w:r>
        <w:t xml:space="preserve"> </w:t>
      </w:r>
      <w:r>
        <w:rPr>
          <w:iCs/>
          <w:i/>
        </w:rPr>
        <w:t xml:space="preserve">lost</w:t>
      </w:r>
      <w:r>
        <w:t xml:space="preserve"> </w:t>
      </w:r>
      <w:r>
        <w:t xml:space="preserve">9 % fidelity. The near-MG regime is therefore a poor benchmark for the algorithm; the interesting frustrated regime is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t>0.3</m:t>
        </m:r>
      </m:oMath>
      <w:r>
        <w:t xml:space="preserve">–</w:t>
      </w:r>
      <m:oMath>
        <m:r>
          <m:t>0.45</m:t>
        </m:r>
      </m:oMath>
      <w:r>
        <w:t xml:space="preserve"> </w:t>
      </w:r>
      <w:r>
        <w:t xml:space="preserve">or non-dimerised trial limits (small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at larger</w:t>
      </w:r>
      <w:r>
        <w:t xml:space="preserve"> </w:t>
      </w:r>
      <m:oMath>
        <m:r>
          <m:t>N</m:t>
        </m:r>
      </m:oMath>
      <w:r>
        <w:t xml:space="preserve">).</w:t>
      </w:r>
    </w:p>
    <w:bookmarkEnd w:id="49"/>
    <w:bookmarkStart w:id="56" w:name="Xe790f6881172cd3621e9470810a414240d328a5"/>
    <w:p>
      <w:pPr>
        <w:pStyle w:val="Heading3"/>
      </w:pPr>
      <w:r>
        <w:t xml:space="preserve">5.8 Baselines at equal fidelity: the filter does not beat MPS preparation here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CX versus infidelity for the DMRG-derived MPS circuit (L=1..10, mps-to-circuit approximate), the sequential (exact) MPS circuit at bond dimension \chi=2,4,8,16, generic isometry state preparation, and the certified filter on L=1 and L=3 trial circuits. Filter points are certified bounds. Infidelity floor 10^{-6}." title="" id="51" name="Picture"/>
            <a:graphic>
              <a:graphicData uri="http://schemas.openxmlformats.org/drawingml/2006/picture">
                <pic:pic>
                  <pic:nvPicPr>
                    <pic:cNvPr descr="figs/fig6_baseline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versus infidelity for the DMRG-derived MPS circuit (</w:t>
      </w:r>
      <m:oMath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.</m:t>
        </m:r>
        <m:r>
          <m:t>.10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 </w:t>
      </w:r>
      <w:r>
        <w:rPr>
          <w:iCs/>
          <w:i/>
        </w:rPr>
        <w:t xml:space="preserve">approximate</w:t>
      </w:r>
      <w:r>
        <w:t xml:space="preserve">), the sequential (</w:t>
      </w:r>
      <w:r>
        <w:rPr>
          <w:iCs/>
          <w:i/>
        </w:rPr>
        <w:t xml:space="preserve">exact</w:t>
      </w:r>
      <w:r>
        <w:t xml:space="preserve">) MPS circuit at bond dimension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16</m:t>
        </m:r>
      </m:oMath>
      <w:r>
        <w:t xml:space="preserve">, generic isometry state preparation, and the certified filter on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circuits. Filter points are certified bounds. Infidelity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Table 5.8 lists, for each target</w:t>
      </w:r>
      <w:r>
        <w:t xml:space="preserve"> </w:t>
      </w:r>
      <m:oMath>
        <m:r>
          <m:t>ε</m:t>
        </m:r>
      </m:oMath>
      <w:r>
        <w:t xml:space="preserve">, the cheapest baseline that reaches it (measured against the exact ground state) next to the filter’s cost (including the trial circuit): the</w:t>
      </w:r>
      <w:r>
        <w:t xml:space="preserve"> </w:t>
      </w:r>
      <w:r>
        <w:rPr>
          <w:iCs/>
          <w:i/>
        </w:rPr>
        <w:t xml:space="preserve">certified</w:t>
      </w:r>
      <w:r>
        <w:t xml:space="preserve"> </w:t>
      </w:r>
      <w:r>
        <w:t xml:space="preserve">design of §3 and the</w:t>
      </w:r>
      <w:r>
        <w:t xml:space="preserve"> </w:t>
      </w:r>
      <w:r>
        <w:rPr>
          <w:iCs/>
          <w:i/>
        </w:rPr>
        <w:t xml:space="preserve">hybrid protocol</w:t>
      </w:r>
      <w:r>
        <w:t xml:space="preserve"> </w:t>
      </w:r>
      <w:r>
        <w:t xml:space="preserve">of §5.10.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baseline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certified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hybrid protocol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/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(247)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1,066,499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(519)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3,802,824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1,292,390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1,828,526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18470×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7571×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11168×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17,365,356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99801×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216×</w:t>
            </w:r>
          </w:p>
        </w:tc>
      </w:tr>
    </w:tbl>
    <w:p>
      <w:pPr>
        <w:pStyle w:val="BodyText"/>
      </w:pPr>
      <w:r>
        <w:t xml:space="preserve">The best baseline is an MPS-based circuit with bond dimension</w:t>
      </w:r>
      <w:r>
        <w:t xml:space="preserve"> </w:t>
      </w:r>
      <m:oMath>
        <m:r>
          <m:t>χ</m:t>
        </m:r>
        <m:r>
          <m:rPr>
            <m:sty m:val="p"/>
          </m:rPr>
          <m:t>≤</m:t>
        </m:r>
        <m:r>
          <m:t>8</m:t>
        </m:r>
      </m:oMath>
      <w:r>
        <w:t xml:space="preserve"> </w:t>
      </w:r>
      <w:r>
        <w:t xml:space="preserve">in nearly every row; generic preparation wins only at the smallest sizes and tightest targets (</w:t>
      </w:r>
      <m:oMath>
        <m:r>
          <m:t>N</m:t>
        </m:r>
        <m:r>
          <m:rPr>
            <m:sty m:val="p"/>
          </m:rPr>
          <m:t>≤</m:t>
        </m:r>
        <m:r>
          <m:t>8</m:t>
        </m:r>
      </m:oMath>
      <w:r>
        <w:t xml:space="preserve">). The sequential MPS method needs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and its cost grows slowly (63–174 CX); for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the state is nearly a dimer product and</w:t>
      </w:r>
      <w:r>
        <w:t xml:space="preserve"> </w:t>
      </w:r>
      <m:oMath>
        <m:r>
          <m:t>χ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already gives</w:t>
      </w:r>
      <w:r>
        <w:t xml:space="preserve"> </w:t>
      </w:r>
      <m:oMath>
        <m:r>
          <m:t>ε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15–33 CX. The certified filter is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more expensive and the gap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(figure 7). The hybrid protocol closes most of the gap but, at these sizes, remains 5–216× above the best baseline (median ≈22×; largest at tight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 large</w:t>
      </w:r>
      <w:r>
        <w:t xml:space="preserve"> </w:t>
      </w:r>
      <m:oMath>
        <m:r>
          <m:t>N</m:t>
        </m:r>
      </m:oMath>
      <w:r>
        <w:t xml:space="preserve">, where the hybrid step count itself grows).</w:t>
      </w:r>
    </w:p>
    <w:p>
      <w:pPr>
        <w:pStyle w:val="CaptionedFigure"/>
      </w:pPr>
      <w:r>
        <w:drawing>
          <wp:inline>
            <wp:extent cx="5334000" cy="2222500"/>
            <wp:effectExtent b="0" l="0" r="0" t="0"/>
            <wp:docPr descr="CX at \varepsilon=10^{-2} versus N: best baseline, certified filter, hybrid protocol and oracle-empirical filter." title="" id="54" name="Picture"/>
            <a:graphic>
              <a:graphicData uri="http://schemas.openxmlformats.org/drawingml/2006/picture">
                <pic:pic>
                  <pic:nvPicPr>
                    <pic:cNvPr descr="figs/fig7_cx_vs_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CX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versus</w:t>
      </w:r>
      <w:r>
        <w:t xml:space="preserve"> </w:t>
      </w:r>
      <m:oMath>
        <m:r>
          <m:t>N</m:t>
        </m:r>
      </m:oMath>
      <w:r>
        <w:t xml:space="preserve">: best baseline, certified filter, hybrid protocol and oracle-empirical filter.</w:t>
      </w:r>
    </w:p>
    <w:bookmarkEnd w:id="56"/>
    <w:bookmarkStart w:id="57" w:name="Xdb2ac6972e68ec7d8d71ce1ddd320489d481c90"/>
    <w:p>
      <w:pPr>
        <w:pStyle w:val="Heading3"/>
      </w:pPr>
      <w:r>
        <w:t xml:space="preserve">5.9 Where the certified-versus-empirical gap comes from</w:t>
      </w:r>
    </w:p>
    <w:p>
      <w:pPr>
        <w:pStyle w:val="FirstParagraph"/>
      </w:pPr>
      <w:r>
        <w:t xml:space="preserve">The worst-case constant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 </w:t>
      </w:r>
      <w:r>
        <w:t xml:space="preserve">is an operator norm over the whole Hilbert space. The first-order Lie–Trotter error vector acting on a state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k</m:t>
            </m:r>
          </m:den>
        </m:f>
        <m:r>
          <m:t>C</m:t>
        </m:r>
        <m:r>
          <m:t>ψ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  <m:r>
              <m:rPr>
                <m:sty m:val="p"/>
              </m:rPr>
              <m:t>&lt;</m:t>
            </m:r>
            <m:r>
              <m:t>g</m:t>
            </m:r>
            <m:r>
              <m:rPr>
                <m:sty m:val="p"/>
              </m:rPr>
              <m:t>′</m:t>
            </m:r>
          </m:sub>
          <m:sup>
            <m:r>
              <m:t>​</m:t>
            </m:r>
          </m:sup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</m:sub>
                </m:sSub>
              </m:e>
            </m:d>
          </m:e>
        </m:nary>
      </m:oMath>
      <w:r>
        <w:t xml:space="preserve"> </w:t>
      </w:r>
      <w:r>
        <w:t xml:space="preserve">(anti-Hermitian), so what a low-energy state actually feels is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r>
          <m:t>ψ</m:t>
        </m:r>
        <m:r>
          <m:rPr>
            <m:sty m:val="p"/>
          </m:rPr>
          <m:t>∥</m:t>
        </m:r>
      </m:oMath>
      <w:r>
        <w:t xml:space="preserve">, not</w:t>
      </w:r>
      <w:r>
        <w:t xml:space="preserve"> </w:t>
      </w:r>
      <m:oMath>
        <m:r>
          <m:t>α</m:t>
        </m:r>
      </m:oMath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(worst case)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(ground state)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p>
      <w:pPr>
        <w:pStyle w:val="BodyText"/>
      </w:pPr>
      <w:r>
        <w:t xml:space="preserve">(</w:t>
      </w:r>
      <m:oMath>
        <m:r>
          <m:t>H</m:t>
        </m:r>
      </m:oMath>
      <w:r>
        <w:t xml:space="preserve"> </w:t>
      </w:r>
      <w:r>
        <w:t xml:space="preserve">scaled by</w:t>
      </w:r>
      <w:r>
        <w:t xml:space="preserve"> </w:t>
      </w:r>
      <m:oMath>
        <m:r>
          <m:t>W</m:t>
        </m:r>
      </m:oMath>
      <w:r>
        <w:t xml:space="preserve">;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ground state is annihilated by</w:t>
      </w:r>
      <w:r>
        <w:t xml:space="preserve"> </w:t>
      </w:r>
      <m:oMath>
        <m:r>
          <m:t>C</m:t>
        </m:r>
      </m:oMath>
      <w:r>
        <w:t xml:space="preserve">.) The ground state feels a first-order error coefficient 28–41× below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9–13× below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, and the ratio</w:t>
      </w:r>
      <w:r>
        <w:t xml:space="preserve"> </w:t>
      </w:r>
      <w:r>
        <w:rPr>
          <w:iCs/>
          <w:i/>
        </w:rPr>
        <w:t xml:space="preserve">grows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grows linearly while</w:t>
      </w:r>
      <w:r>
        <w:t xml:space="preserve"> </w:t>
      </w:r>
      <m:oMath>
        <m:r>
          <m:rPr>
            <m:sty m:val="p"/>
          </m:rPr>
          <m:t>∥</m:t>
        </m:r>
        <m:r>
          <m:t>C</m:t>
        </m:r>
        <m:sSub>
          <m:e>
            <m:r>
              <m:t>ψ</m:t>
            </m:r>
          </m:e>
          <m:sub>
            <m:r>
              <m:t>0</m:t>
            </m:r>
          </m:sub>
        </m:sSub>
        <m:r>
          <m:rPr>
            <m:sty m:val="p"/>
          </m:rPr>
          <m:t>∥</m:t>
        </m:r>
      </m:oMath>
      <w:r>
        <w:t xml:space="preserve"> </w:t>
      </w:r>
      <w:r>
        <w:t xml:space="preserve">falls), so the bound becomes looser, not tighter, as the system grows. Combined with the pulse-level slack (</w:t>
      </w:r>
      <m:oMath>
        <m:r>
          <m:rPr>
            <m:sty m:val="p"/>
          </m:rPr>
          <m:t>≤</m:t>
        </m:r>
        <m:r>
          <m:t>0.24</m:t>
        </m:r>
      </m:oMath>
      <w:r>
        <w:t xml:space="preserve"> </w:t>
      </w:r>
      <w:r>
        <w:t xml:space="preserve">of the bound, §5.1) and the factor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</m:oMath>
      <w:r>
        <w:t xml:space="preserve"> </w:t>
      </w:r>
      <w:r>
        <w:t xml:space="preserve">of the original composition, this accounts for the measured</w:t>
      </w:r>
      <w:r>
        <w:t xml:space="preserve"> </w:t>
      </w:r>
      <m:oMath>
        <m:r>
          <m:rPr>
            <m:sty m:val="p"/>
          </m:rPr>
          <m:t>≈</m:t>
        </m:r>
        <m:r>
          <m:t>270</m:t>
        </m:r>
        <m:r>
          <m:rPr>
            <m:sty m:val="p"/>
          </m:rPr>
          <m:t>×</m:t>
        </m:r>
      </m:oMath>
      <w:r>
        <w:t xml:space="preserve"> </w:t>
      </w:r>
      <w:r>
        <w:t xml:space="preserve">gap between predicted and observed state error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m:oMath>
        <m:r>
          <m:t>28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≈</m:t>
        </m:r>
        <m:r>
          <m:t>240</m:t>
        </m:r>
      </m:oMath>
      <w:r>
        <w:t xml:space="preserve">). The measured state error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exactly as the first-order theory predicts, only with a much smaller constant: the oracle-empirical step counts are therefore</w:t>
      </w:r>
      <w:r>
        <w:t xml:space="preserve"> </w:t>
      </w:r>
      <w:r>
        <w:rPr>
          <w:iCs/>
          <w:i/>
        </w:rPr>
        <w:t xml:space="preserve">consistent with</w:t>
      </w:r>
      <w:r>
        <w:t xml:space="preserve"> </w:t>
      </w:r>
      <w:r>
        <w:t xml:space="preserve">the theory, not evidence against it.</w:t>
      </w:r>
    </w:p>
    <w:bookmarkEnd w:id="57"/>
    <w:bookmarkStart w:id="58" w:name="Xb97b683e4b9288b8f09bdc1dc5421b4342dea82"/>
    <w:p>
      <w:pPr>
        <w:pStyle w:val="Heading3"/>
      </w:pPr>
      <w:r>
        <w:t xml:space="preserve">5.10 A hybrid, non-oracle protocol: rigorous leakage plus empirical Trotter control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</w:t>
      </w:r>
      <w:r>
        <w:t xml:space="preserve">empirical</w:t>
      </w:r>
      <w:r>
        <w:t xml:space="preserve">”</w:t>
      </w:r>
      <w:r>
        <w:t xml:space="preserve"> </w:t>
      </w:r>
      <w:r>
        <w:t xml:space="preserve">step counts of §5.2 use the exact ground state and are not available to a user. We therefore replace them by a protocol that uses only quantities a practitioner can obtain: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Leakage — rigorous.</w:t>
      </w:r>
      <w:r>
        <w:t xml:space="preserve"> </w:t>
      </w:r>
      <w:r>
        <w:t xml:space="preserve">For the snapped step grid, certify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(R1) and compute the leakage bound</w:t>
      </w:r>
      <w:r>
        <w:t xml:space="preserve"> </w:t>
      </w:r>
      <m:oMath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from R2 (needs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Trotter — empirical, Richardson-type.</w:t>
      </w:r>
      <w:r>
        <w:t xml:space="preserve"> </w:t>
      </w:r>
      <w:r>
        <w:t xml:space="preserve">Run the same circuit family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; because the error vector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the distance to the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state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a geometric grid with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ℓ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</m:e>
                </m:rad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rad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t xml:space="preserve">and certified</w:t>
      </w:r>
      <w:r>
        <w:t xml:space="preserve"> </w:t>
      </w:r>
      <m:oMath>
        <m:r>
          <m:t>η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exact ground state is used only afterwards, to validate. (On hardware the two-run comparison is replaced by the convergence of an energy or other observable estimated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n</m:t>
        </m:r>
      </m:oMath>
      <w:r>
        <w:t xml:space="preserve">.) Results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trial,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; rows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were rerun with the full floor-search settings (6 leakage fractions,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), which found a feasible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design in every case, so no row uses the legacy</w:t>
      </w:r>
      <w:r>
        <w:t xml:space="preserve"> </w:t>
      </w:r>
      <w:r>
        <w:rPr>
          <w:rStyle w:val="VerbatimChar"/>
        </w:rPr>
        <w:t xml:space="preserve">builder</w:t>
      </w:r>
      <w:r>
        <w:t xml:space="preserve"> </w:t>
      </w:r>
      <w:r>
        <w:t xml:space="preserve">fallback; † would mark such a row. The floor search is a heuristic local optimiser, so costs for the same target can differ by tens of percent between search settings (e.g. certified CX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: 1.29M with the reduced search of §5.8 versus 1.67M here)):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÷ protocol (CX)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/ 5,265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 / 53,320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10286 / 360,025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/ 27,216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4903 / 240,268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1,246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32653 / 1,600,018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1212 / 76,383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11060 / 696,807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2,295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61683 / 3,886,056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2673 / 205,854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21651 / 1,667,160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/ 3,421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119858 / 9,229,099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/ 11,166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 / 55,581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1,401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8323 / 524,364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 / 47,159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3128 / 284,669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4,935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28715 / 2,613,086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1051 / 125,096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8251 / 981,896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/ 8,714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70053 / 8,336,334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1979 / 290,946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/ 5,178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18004 / 2,646,621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/ 17,967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175985 / 25,869,828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687×</w:t>
            </w:r>
          </w:p>
        </w:tc>
      </w:tr>
    </w:tbl>
    <w:p>
      <w:pPr>
        <w:pStyle w:val="BodyText"/>
      </w:pPr>
      <w:r>
        <w:t xml:space="preserve">The protocol met its target in every completed row, with a safety margin of roughly 1.6–10× in infidelity, and it needs roughly 30–1300× fewer CX than the certified circuits (the larger factors at tighter</w:t>
      </w:r>
      <w:r>
        <w:t xml:space="preserve"> </w:t>
      </w:r>
      <m:oMath>
        <m:r>
          <m:t>ε</m:t>
        </m:r>
      </m:oMath>
      <w:r>
        <w:t xml:space="preserve">). It is, however,</w:t>
      </w:r>
      <w:r>
        <w:t xml:space="preserve"> </w:t>
      </w:r>
      <w:r>
        <w:rPr>
          <w:iCs/>
          <w:i/>
        </w:rPr>
        <w:t xml:space="preserve">not rigorous</w:t>
      </w:r>
      <w:r>
        <w:t xml:space="preserve">: step 2 is an extrapolation that assumes the asymptotic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regime. The rigorous and the hybrid numbers should be reported side by side, labelled as such.</w:t>
      </w:r>
    </w:p>
    <w:bookmarkEnd w:id="58"/>
    <w:bookmarkEnd w:id="59"/>
    <w:bookmarkStart w:id="61" w:name="code-audit-and-recommended-changes"/>
    <w:p>
      <w:pPr>
        <w:pStyle w:val="Heading2"/>
      </w:pPr>
      <w:r>
        <w:t xml:space="preserve">6. Code audit and recommended changes</w:t>
      </w:r>
    </w:p>
    <w:p>
      <w:pPr>
        <w:pStyle w:val="FirstParagraph"/>
      </w:pPr>
      <w:r>
        <w:t xml:space="preserve">Severity:</w:t>
      </w:r>
      <w:r>
        <w:t xml:space="preserve"> </w:t>
      </w:r>
      <w:r>
        <w:rPr>
          <w:bCs/>
          <w:b/>
        </w:rPr>
        <w:t xml:space="preserve">H</w:t>
      </w:r>
      <w:r>
        <w:t xml:space="preserve"> </w:t>
      </w:r>
      <w:r>
        <w:t xml:space="preserve">invalidates a claim or can silently produce a wrong/ruinous result;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weakens a claim or wastes resources;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hygiene. Line references are to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pipeline.choose_floor_design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make_design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ϵ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h</m:t>
                  </m:r>
                </m:sub>
              </m:sSub>
            </m:oMath>
            <w:r>
              <w:t xml:space="preserve"> </w:t>
            </w:r>
            <w:r>
              <w:t xml:space="preserve">produces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rows that are counted infeasible; fallback to</w:t>
            </w:r>
            <w:r>
              <w:t xml:space="preserve"> 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(hard-coded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0.9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target) builds a filter for an already-exact state (24 k–1.2 M CX at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§5.7). Mixed</w:t>
            </w:r>
            <w:r>
              <w:t xml:space="preserve"> </w:t>
            </w:r>
            <w:r>
              <w:rPr>
                <w:rStyle w:val="VerbatimChar"/>
              </w:rPr>
              <w:t xml:space="preserve">floor</w:t>
            </w:r>
            <w:r>
              <w:t xml:space="preserve">/</w:t>
            </w:r>
            <w:r>
              <w:rPr>
                <w:rStyle w:val="VerbatimChar"/>
              </w:rPr>
              <w:t xml:space="preserve">builder</w:t>
            </w:r>
            <w:r>
              <w:t xml:space="preserve"> </w:t>
            </w:r>
            <w:r>
              <w:t xml:space="preserve">rows are also not comparable.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the identity (</w:t>
            </w:r>
            <w:r>
              <w:t xml:space="preserve">“</w:t>
            </w:r>
            <w:r>
              <w:t xml:space="preserve">no filter, cost 0</w:t>
            </w:r>
            <w:r>
              <w:t xml:space="preserve">”</w:t>
            </w:r>
            <w:r>
              <w:t xml:space="preserve">) when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is within tolerance of 1, and never mix design sources in one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core/spectrum.get_spectrum</w:t>
            </w:r>
            <w:r>
              <w:t xml:space="preserve"> </w:t>
            </w:r>
            <w:r>
              <w:t xml:space="preserve">(DMRG path),</w:t>
            </w:r>
            <w:r>
              <w:t xml:space="preserve"> </w:t>
            </w: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Certificates are rigorous only if (A1)</w:t>
            </w:r>
            <w: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(A2)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, (A3)</w:t>
            </w:r>
            <w: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h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f</m:t>
                      </m:r>
                      <m:r>
                        <m:rPr>
                          <m:sty m:val="p"/>
                        </m:rPr>
                        <m:t>t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≤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hold; DMRG supplies none of them (§4.1, §5.5–5.6). In the default ED mode the certified results are limited 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the theorem</w:t>
            </w:r>
            <w:r>
              <w:t xml:space="preserve"> </w:t>
            </w:r>
            <w:r>
              <w:rPr>
                <w:iCs/>
                <w:i/>
              </w:rPr>
              <w:t xml:space="preserve">conditional on</w:t>
            </w:r>
            <w:r>
              <w:t xml:space="preserve"> </w:t>
            </w:r>
            <w:r>
              <w:t xml:space="preserve">(A1)–(A3) with these labels; report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 </w:t>
            </w:r>
            <w:r>
              <w:t xml:space="preserve">with an explicit safety margin;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obtain a gap lower bound by an independent method (e.g. symmetry-resolved DMRG plus a Temple/Weinstein-type bound) or present the large-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numbers as estimates.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core/trotter.trotter_bounds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bound is first-order; setting</w:t>
            </w:r>
            <w:r>
              <w:t xml:space="preserve"> </w:t>
            </w:r>
            <w:r>
              <w:rPr>
                <w:rStyle w:val="VerbatimChar"/>
              </w:rPr>
              <w:t xml:space="preserve">ORDER=2</w:t>
            </w:r>
            <w:r>
              <w:t xml:space="preserve"> </w:t>
            </w:r>
            <w:r>
              <w:t xml:space="preserve">changes the circuits but the same</w:t>
            </w:r>
            <w:r>
              <w:t xml:space="preserve"> </w:t>
            </w:r>
            <m:oMath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t>k</m:t>
              </m:r>
            </m:oMath>
            <w:r>
              <w:t xml:space="preserve"> </w:t>
            </w:r>
            <w:r>
              <w:t xml:space="preserve">bound is still reported (and</w:t>
            </w:r>
            <w:r>
              <w:t xml:space="preserve"> </w:t>
            </w:r>
            <w:r>
              <w:rPr>
                <w:rStyle w:val="VerbatimChar"/>
              </w:rPr>
              <w:t xml:space="preserve">lie_trotter_order</w:t>
            </w:r>
            <w:r>
              <w:t xml:space="preserve"> </w:t>
            </w:r>
            <w:r>
              <w:t xml:space="preserve">only checks order 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assert ORDER == 1</w:t>
            </w:r>
            <w:r>
              <w:t xml:space="preserve"> </w:t>
            </w:r>
            <w:r>
              <w:t xml:space="preserve">next to the bound, or implement the second-order commutator bound.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if N &lt;= 16: ... eigvalsh(Hs.toarray())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Dense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 </w:t>
            </w:r>
            <w:r>
              <w:t xml:space="preserve">complex matrix: 4.3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68.7 GB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16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SOURCE='dmrg'</w:t>
            </w:r>
            <w:r>
              <w:t xml:space="preserve"> </w:t>
            </w:r>
            <w:r>
              <w:t xml:space="preserve">is advertised for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12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 the dense check at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≤</m:t>
              </m:r>
              <m:r>
                <m:t>12</m:t>
              </m:r>
            </m:oMath>
            <w:r>
              <w:t xml:space="preserve"> </w:t>
            </w:r>
            <w:r>
              <w:t xml:space="preserve">or use</w:t>
            </w:r>
            <w:r>
              <w:t xml:space="preserve"> </w:t>
            </w:r>
            <w:r>
              <w:rPr>
                <w:rStyle w:val="VerbatimChar"/>
              </w:rPr>
              <w:t xml:space="preserve">eigsh</w:t>
            </w:r>
            <w:r>
              <w:t xml:space="preserve"> </w:t>
            </w:r>
            <w:r>
              <w:t xml:space="preserve">for the two extremal eigenvalues.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reproducible as shipped:</w:t>
            </w:r>
            <w:r>
              <w:t xml:space="preserve"> </w:t>
            </w:r>
            <w:r>
              <w:rPr>
                <w:rStyle w:val="VerbatimChar"/>
              </w:rPr>
              <w:t xml:space="preserve">scripts/run_study.py</w:t>
            </w:r>
            <w:r>
              <w:t xml:space="preserve"> </w:t>
            </w:r>
            <w:r>
              <w:t xml:space="preserve">imports a</w:t>
            </w:r>
            <w:r>
              <w:t xml:space="preserve"> </w:t>
            </w:r>
            <w:r>
              <w:rPr>
                <w:rStyle w:val="VerbatimChar"/>
              </w:rPr>
              <w:t xml:space="preserve">study</w:t>
            </w:r>
            <w:r>
              <w:t xml:space="preserve"> </w:t>
            </w:r>
            <w:r>
              <w:t xml:space="preserve">module that is absent;</w:t>
            </w:r>
            <w:r>
              <w:t xml:space="preserve"> </w:t>
            </w:r>
            <w:r>
              <w:rPr>
                <w:rStyle w:val="VerbatimChar"/>
              </w:rPr>
              <w:t xml:space="preserve">mps_to_circuit</w:t>
            </w:r>
            <w:r>
              <w:t xml:space="preserve"> </w:t>
            </w:r>
            <w:r>
              <w:t xml:space="preserve">is an unpinned external dependency that fails on Python ≥ 3.13;</w:t>
            </w:r>
            <w:r>
              <w:t xml:space="preserve"> </w:t>
            </w:r>
            <w:r>
              <w:rPr>
                <w:rStyle w:val="VerbatimChar"/>
              </w:rPr>
              <w:t xml:space="preserve">main.ipynb</w:t>
            </w:r>
            <w:r>
              <w:t xml:space="preserve"> </w:t>
            </w:r>
            <w:r>
              <w:t xml:space="preserve">imports a stale 831-line monolith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hamiltonians.py</w:t>
            </w:r>
            <w:r>
              <w:t xml:space="preserve">/</w:t>
            </w:r>
            <w:r>
              <w:rPr>
                <w:rStyle w:val="VerbatimChar"/>
              </w:rPr>
              <w:t xml:space="preserve">get_energies.py</w:t>
            </w:r>
            <w:r>
              <w:t xml:space="preserve"> </w:t>
            </w:r>
            <w:r>
              <w:t xml:space="preserve">exist twice; comments cite tests (</w:t>
            </w:r>
            <w:r>
              <w:t xml:space="preserve">“</w:t>
            </w:r>
            <w:r>
              <w:t xml:space="preserve">T1</w:t>
            </w:r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“</w:t>
            </w:r>
            <w:r>
              <w:t xml:space="preserve">T8</w:t>
            </w:r>
            <w:r>
              <w:t xml:space="preserve">”</w:t>
            </w:r>
            <w:r>
              <w:t xml:space="preserve">, audit items A1–A14) that are not in the repository.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study.py</w:t>
            </w:r>
            <w:r>
              <w:t xml:space="preserve">, a pinned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  <w:r>
              <w:t xml:space="preserve">/lock file, delete or archive</w:t>
            </w:r>
            <w:r>
              <w:t xml:space="preserve"> </w:t>
            </w:r>
            <w:r>
              <w:rPr>
                <w:rStyle w:val="VerbatimChar"/>
              </w:rPr>
              <w:t xml:space="preserve">builder.py</w:t>
            </w:r>
            <w:r>
              <w:t xml:space="preserve">, single-source the two duplicated modules, and add a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  <w:r>
              <w:t xml:space="preserve"> </w:t>
            </w:r>
            <w:r>
              <w:t xml:space="preserve">directory containing the checks of §5.1 (our</w:t>
            </w:r>
            <w:r>
              <w:t xml:space="preserve"> </w:t>
            </w:r>
            <w:r>
              <w:rPr>
                <w:rStyle w:val="VerbatimChar"/>
              </w:rPr>
              <w:t xml:space="preserve">exp1_primitives.py</w:t>
            </w:r>
            <w:r>
              <w:t xml:space="preserve"> </w:t>
            </w:r>
            <w:r>
              <w:t xml:space="preserve">can be the seed).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floor.floor_vs_precision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pipeline.choose_floor_design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</m:oMath>
            <w:r>
              <w:t xml:space="preserve"> </w:t>
            </w:r>
            <w:r>
              <w:t xml:space="preserve">winner for each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 </w:t>
            </w:r>
            <w:r>
              <w:t xml:space="preserve">is picked with proxy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, but the true cost is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t xml:space="preserve"> </w:t>
            </w:r>
            <w:r>
              <w:t xml:space="preserve">(since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∝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); the later choice over leakage fractions uses the correct cost, so the two stages optimise different objectives.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cost_fn=lambda x,f,m: x*x/f**1.5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pipeline.find_empirical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Empirical</w:t>
            </w:r>
            <w:r>
              <w:t xml:space="preserve">”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uses the exact ground state and can land where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(§5.2b).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it only as an oracle lower envelope; require certified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cost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ignores early abort (a failed pulse stops the run), so it overestimates; correct form: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</m:sub>
                      </m:sSub>
                    </m:e>
                  </m:nary>
                  <m:sSub>
                    <m:e>
                      <m:r>
                        <m:t>k</m:t>
                      </m:r>
                    </m:e>
                    <m:sub>
                      <m:r>
                        <m:t>i</m:t>
                      </m:r>
                    </m:sub>
                  </m:sSub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d>
              <m:r>
                <m:rPr>
                  <m:sty m:val="p"/>
                </m:rPr>
                <m:t>/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with the per-pulse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that the simulation already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hi=1.0</w:t>
            </w:r>
            <w:r>
              <w:t xml:space="preserve"> </w:t>
            </w:r>
            <w:r>
              <w:t xml:space="preserve">everywhere);</w:t>
            </w:r>
            <w:r>
              <w:t xml:space="preserve"> </w:t>
            </w:r>
            <w:r>
              <w:rPr>
                <w:rStyle w:val="VerbatimChar"/>
              </w:rPr>
              <w:t xml:space="preserve">core/spectrum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filter must suppress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  <w:r>
              <w:t xml:space="preserve">, but the spectrum ends at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is the certified (looser) bandwidth;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∑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β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overstates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t xml:space="preserve"> </w:t>
            </w:r>
            <w:r>
              <w:t xml:space="preserve">by 3× because</w:t>
            </w:r>
            <w:r>
              <w:t xml:space="preserve"> </w:t>
            </w:r>
            <m:oMath>
              <m:r>
                <m:t>X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Z</m:t>
              </m:r>
            </m:oMath>
            <w:r>
              <w:t xml:space="preserve"> </w:t>
            </w:r>
            <w:r>
              <w:t xml:space="preserve">is bounded termwise (true per-bond bound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  <w:r>
              <w:t xml:space="preserve"> </w:t>
            </w:r>
            <w:r>
              <w:rPr>
                <w:rStyle w:val="VerbatimChar"/>
              </w:rPr>
              <w:t xml:space="preserve">hi=(E_top_bound-E0)/W</w:t>
            </w:r>
            <w:r>
              <w:t xml:space="preserve"> </w:t>
            </w:r>
            <w:r>
              <w:t xml:space="preserve">and use the per-bond bound, which is also rigorous and 3× tighter.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core/trotter.total_error_bound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Composition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ℓ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rad>
            </m:oMath>
            <w:r>
              <w:t xml:space="preserve"> </w:t>
            </w:r>
            <w:r>
              <w:t xml:space="preserve">is valid but 2.5–3.1× loose.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arcsin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m:t>ℓ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arcsin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rad>
                    </m:e>
                  </m:d>
                </m:e>
              </m:d>
            </m:oMath>
            <w:r>
              <w:t xml:space="preserve"> </w:t>
            </w:r>
            <w:r>
              <w:t xml:space="preserve">(Proposition, §3; verified in all simulated cases).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core/__init__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core/resources.rotation_synthesis_t_count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authors themselves flag the Trotter theorem statement and the synthesis constants (</w:t>
            </w:r>
            <m:oMath>
              <m:r>
                <m:t>1.15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ϵ</m:t>
                  </m:r>
                </m:e>
              </m:d>
              <m:r>
                <m:rPr>
                  <m:sty m:val="p"/>
                </m:rPr>
                <m:t>+</m:t>
              </m:r>
              <m:r>
                <m:t>9.2</m:t>
              </m:r>
            </m:oMath>
            <w:r>
              <w:t xml:space="preserve">) as</w:t>
            </w:r>
            <w:r>
              <w:t xml:space="preserve"> </w:t>
            </w:r>
            <w:r>
              <w:t xml:space="preserve">“</w:t>
            </w:r>
            <w:r>
              <w:t xml:space="preserve">quoted from memory</w:t>
            </w:r>
            <w:r>
              <w:t xml:space="preserve">”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against the sources and cite them in the paper before reporting T-counts.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core/circuits.h_tensor_z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shift term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Z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t xml:space="preserve"> </w:t>
            </w:r>
            <w:r>
              <w:t xml:space="preserve">is applied as a separate non-Clifford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in every Trotter step; it commutes with everything and can be folded into</w:t>
            </w:r>
            <w:r>
              <w:t xml:space="preserve"> 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W</m:t>
              </m:r>
            </m:oMath>
            <w:r>
              <w:t xml:space="preserve">), saving one of 47 non-Clifford rotations per step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 into the phase.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pipeline.build_ctx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 </w:t>
            </w:r>
            <w:r>
              <w:t xml:space="preserve">is clipped with</w:t>
            </w:r>
            <w:r>
              <w:t xml:space="preserve"> </w:t>
            </w:r>
            <w:r>
              <w:rPr>
                <w:rStyle w:val="VerbatimChar"/>
              </w:rPr>
              <w:t xml:space="preserve">min(·,1)</w:t>
            </w:r>
            <w:r>
              <w:t xml:space="preserve"> </w:t>
            </w:r>
            <w:r>
              <w:t xml:space="preserve">but the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branch is never propagated (see 1); the ED-vs-DMRG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fallback is labelled but not carried into reports.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Carry</w:t>
            </w:r>
            <w:r>
              <w:t xml:space="preserve"> </w:t>
            </w:r>
            <w:r>
              <w:rPr>
                <w:rStyle w:val="VerbatimChar"/>
              </w:rPr>
              <w:t xml:space="preserve">gamma_src</w:t>
            </w:r>
            <w:r>
              <w:t xml:space="preserve"> </w:t>
            </w:r>
            <w:r>
              <w:t xml:space="preserve">into every exported number.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 after this evaluation.</w:t>
      </w:r>
      <w:r>
        <w:t xml:space="preserve"> </w:t>
      </w:r>
      <w:r>
        <w:t xml:space="preserve">Items 1, 3 and 4 are fixed in the repository (explicit no-filter design when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γ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handled by</w:t>
      </w:r>
      <w:r>
        <w:t xml:space="preserve"> </w:t>
      </w:r>
      <w:r>
        <w:rPr>
          <w:rStyle w:val="VerbatimChar"/>
        </w:rPr>
        <w:t xml:space="preserve">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export_circuits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ORDER\neq1</w:t>
      </w:r>
      <w:r>
        <w:t xml:space="preserve"> </w:t>
      </w:r>
      <w:r>
        <w:t xml:space="preserve">raises; dense spectrum check only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eigsh</w:t>
      </w:r>
      <w:r>
        <w:t xml:space="preserve"> </w:t>
      </w:r>
      <w:r>
        <w:t xml:space="preserve">otherwise). Item 5 is partly addressed: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 </w:t>
      </w:r>
      <w:r>
        <w:t xml:space="preserve">is present and its imports now point at the refactored</w:t>
      </w:r>
      <w:r>
        <w:t xml:space="preserve"> </w:t>
      </w:r>
      <w:r>
        <w:rPr>
          <w:rStyle w:val="VerbatimChar"/>
        </w:rPr>
        <w:t xml:space="preserve">core/</w:t>
      </w:r>
      <w:r>
        <w:t xml:space="preserve"> </w:t>
      </w:r>
      <w:r>
        <w:t xml:space="preserve">modules instead of the stale</w:t>
      </w:r>
      <w:r>
        <w:t xml:space="preserve"> </w:t>
      </w:r>
      <w:r>
        <w:rPr>
          <w:rStyle w:val="VerbatimChar"/>
        </w:rPr>
        <w:t xml:space="preserve">builder.py</w:t>
      </w:r>
      <w:r>
        <w:t xml:space="preserve">; its defaults now use</w:t>
      </w:r>
      <w:r>
        <w:t xml:space="preserve"> </w:t>
      </w:r>
      <w:r>
        <w:rPr>
          <w:iCs/>
          <w:i/>
        </w:rPr>
        <w:t xml:space="preserve">guaranteed</w:t>
      </w:r>
      <w:r>
        <w:t xml:space="preserve"> </w:t>
      </w:r>
      <w:r>
        <w:t xml:space="preserve">designs,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0.2411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 Items 2, 6–13 remain open.</w:t>
      </w:r>
    </w:p>
    <w:bookmarkStart w:id="60" w:name="methodological-improvements"/>
    <w:p>
      <w:pPr>
        <w:pStyle w:val="Heading3"/>
      </w:pPr>
      <w:r>
        <w:t xml:space="preserve">6.1 Methodological improvements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Sharpened composition</w:t>
      </w:r>
      <w:r>
        <w:t xml:space="preserve"> </w:t>
      </w:r>
      <w:r>
        <w:t xml:space="preserve">(item 10): a free, proven 2.5–3.1× tighter bound and 2.3–3.2× fewer guaranteed steps.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Symmetry-resolved certification</w:t>
      </w:r>
      <w:r>
        <w:t xml:space="preserve">: let</w:t>
      </w:r>
      <w:r>
        <w:t xml:space="preserve"> </w:t>
      </w:r>
      <m:oMath>
        <m:sSub>
          <m:e>
            <m: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be the trial weight in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the gap of that sector. Then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≤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rPr>
                        <m:sty m:val="p"/>
                      </m:rPr>
                      <m:t>sup</m:t>
                    </m:r>
                  </m:e>
                  <m:sub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e>
                    </m:d>
                  </m:sub>
                </m:sSub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F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over the ground-state sector and the (small) remainder bounded with the global gap. Because bond-ordered Trotter steps are exactly SU(2)-symmetric, the sector weights are conserved by the (Trotterised) evolution, so this is rigorous given the sector weights, which are cheap to compute from the trial MPS. Potential saving up to</w:t>
      </w:r>
      <w: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Δ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t>Δ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(§5.6).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Subspace-restricted Trotter bounds</w:t>
      </w:r>
      <w:r>
        <w:t xml:space="preserve">: replace the global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by commutator norms restricted to the low-energy subspace populated by the trial state (the observed state error is ≈ 300× below the bound), or use higher-order formulas with the matching commutator bound.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Tensor-network simulation of the filter.</w:t>
      </w:r>
      <w:r>
        <w:t xml:space="preserve"> </w:t>
      </w:r>
      <w:r>
        <w:t xml:space="preserve">The DMRG advantage is lost as long as every number comes from dense vectors; the controlled evolution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t</m:t>
            </m:r>
            <m:r>
              <m:t>H</m:t>
            </m:r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is an MPO-friendly operation, so MPS/TEBD simulation of the Trotterised filter would allow</w:t>
      </w:r>
      <w:r>
        <w:t xml:space="preserve"> </w:t>
      </w:r>
      <m:oMath>
        <m:r>
          <m:t>N</m:t>
        </m:r>
        <m:r>
          <m:rPr>
            <m:sty m:val="p"/>
          </m:rPr>
          <m:t>∼</m:t>
        </m:r>
        <m:r>
          <m:t>30</m:t>
        </m:r>
      </m:oMath>
      <w:r>
        <w:t xml:space="preserve">–</w:t>
      </w:r>
      <m:oMath>
        <m:r>
          <m:t>100</m:t>
        </m:r>
      </m:oMath>
      <w:r>
        <w:t xml:space="preserve"> </w:t>
      </w:r>
      <w:r>
        <w:t xml:space="preserve">and show the real DMRG→circuit→filter story.</w:t>
      </w:r>
    </w:p>
    <w:bookmarkEnd w:id="60"/>
    <w:bookmarkEnd w:id="61"/>
    <w:bookmarkStart w:id="62" w:name="conclusions-and-framing"/>
    <w:p>
      <w:pPr>
        <w:pStyle w:val="Heading2"/>
      </w:pPr>
      <w:r>
        <w:t xml:space="preserve">7. Conclusions and framing</w:t>
      </w:r>
    </w:p>
    <w:p>
      <w:pPr>
        <w:pStyle w:val="FirstParagraph"/>
      </w:pPr>
      <w:r>
        <w:rPr>
          <w:bCs/>
          <w:b/>
        </w:rPr>
        <w:t xml:space="preserve">Established.</w:t>
      </w:r>
      <w:r>
        <w:t xml:space="preserve"> </w:t>
      </w:r>
      <w:r>
        <w:t xml:space="preserve">(a) The mathematics of the filter, leakage, Trotter and composition bounds is correct and held in every test; a sharpened composition is proved and verified. (b) The certified guarantee is loose by a factor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because the commutator constant is a worst case over the whole Hilbert space; the slack is quantified (§5.9) and grows with</w:t>
      </w:r>
      <w:r>
        <w:t xml:space="preserve"> </w:t>
      </w:r>
      <m:oMath>
        <m:r>
          <m:t>N</m:t>
        </m:r>
      </m:oMath>
      <w:r>
        <w:t xml:space="preserve">. (c) A hybrid protocol — rigorous leakage plus a Richardson-type Trotter estimate, with no oracle — met its target in every completed case at 30–1300× lower CX than the certified circuits. (d) DMRG supplies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$E_{\rm top}$</w:t>
      </w:r>
      <w:r>
        <w:t xml:space="preserve"> </w:t>
      </w:r>
      <w:r>
        <w:t xml:space="preserve">and the ground state to</w:t>
      </w:r>
      <w:r>
        <w:t xml:space="preserve"> 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 but cannot certify the gap or</w:t>
      </w:r>
      <w:r>
        <w:t xml:space="preserve"> </w:t>
      </w:r>
      <m:oMath>
        <m:r>
          <m:t>γ</m:t>
        </m:r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Negative result.</w:t>
      </w:r>
      <w:r>
        <w:t xml:space="preserve"> </w:t>
      </w:r>
      <w:r>
        <w:t xml:space="preserve">For the open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at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0.4</m:t>
        </m:r>
        <m:r>
          <m:rPr>
            <m:sty m:val="p"/>
          </m:rPr>
          <m:t>}</m:t>
        </m:r>
      </m:oMath>
      <w:r>
        <w:t xml:space="preserve"> </w:t>
      </w:r>
      <w:r>
        <w:t xml:space="preserve">the filter does not beat classical-then-quantum MPS preparation: the best baseline is cheaper than the certified filter by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and than the hybrid protocol by 5–216× (median ≈22×), because a bond dimension of 4–8 already prepares these states to</w:t>
      </w:r>
      <w:r>
        <w:t xml:space="preserve"> </w:t>
      </w:r>
      <m:oMath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with a few hundred CX. The filter’s cost is set by the physical gap (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) and Trotter error, not by how entangled the state is, so its relative merit can only improve for states whose MPS preparation cost grows quickly — which none of the tested ones do.</w:t>
      </w:r>
    </w:p>
    <w:p>
      <w:pPr>
        <w:pStyle w:val="BodyText"/>
      </w:pPr>
      <w:r>
        <w:rPr>
          <w:bCs/>
          <w:b/>
        </w:rPr>
        <w:t xml:space="preserve">Framing.</w:t>
      </w:r>
      <w:r>
        <w:t xml:space="preserve"> </w:t>
      </w:r>
      <w:r>
        <w:t xml:space="preserve">We therefore recommend presenting this work as (i) a</w:t>
      </w:r>
      <w:r>
        <w:t xml:space="preserve"> </w:t>
      </w:r>
      <w:r>
        <w:rPr>
          <w:iCs/>
          <w:i/>
        </w:rPr>
        <w:t xml:space="preserve">methodology</w:t>
      </w:r>
      <w:r>
        <w:t xml:space="preserve"> </w:t>
      </w:r>
      <w:r>
        <w:t xml:space="preserve">for certified SBC filtering (rigorous bounds, sharpened composition, symmetry-resolved certification, and the hybrid protocol), (ii) a</w:t>
      </w:r>
      <w:r>
        <w:t xml:space="preserve"> </w:t>
      </w:r>
      <w:r>
        <w:rPr>
          <w:iCs/>
          <w:i/>
        </w:rPr>
        <w:t xml:space="preserve">verification harness</w:t>
      </w:r>
      <w:r>
        <w:t xml:space="preserve"> </w:t>
      </w:r>
      <w:r>
        <w:t xml:space="preserve">with open code, and (iii) an</w:t>
      </w:r>
      <w:r>
        <w:t xml:space="preserve"> </w:t>
      </w:r>
      <w:r>
        <w:rPr>
          <w:iCs/>
          <w:i/>
        </w:rPr>
        <w:t xml:space="preserve">honest comparison</w:t>
      </w:r>
      <w:r>
        <w:t xml:space="preserve"> </w:t>
      </w:r>
      <w:r>
        <w:t xml:space="preserve">showing that for 1D chains of this size MPS preparation suffices, with the regimes where the filter might help named explicitly. It should not claim a resource advantage.</w:t>
      </w:r>
    </w:p>
    <w:p>
      <w:pPr>
        <w:pStyle w:val="BodyText"/>
      </w:pPr>
      <w:r>
        <w:rPr>
          <w:bCs/>
          <w:b/>
        </w:rPr>
        <w:t xml:space="preserve">What would turn the negative result into a positive one (open work).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States that are expensive for MPS circuits:</w:t>
      </w:r>
      <w:r>
        <w:t xml:space="preserve"> </w:t>
      </w:r>
      <w:r>
        <w:t xml:space="preserve">two-dimensional or ladder lattices, critical systems at larger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χ</m:t>
        </m:r>
      </m:oMath>
      <w:r>
        <w:t xml:space="preserve"> </w:t>
      </w:r>
      <w:r>
        <w:t xml:space="preserve">must grow, or trial states from methods other than DMRG. These require tensor-network or other large-</w:t>
      </w:r>
      <m:oMath>
        <m:r>
          <m:t>N</m:t>
        </m:r>
      </m:oMath>
      <w:r>
        <w:t xml:space="preserve"> </w:t>
      </w:r>
      <w:r>
        <w:t xml:space="preserve">simulation of the filter itself; dense vectors stop at</w:t>
      </w:r>
      <w:r>
        <w:t xml:space="preserve"> </w:t>
      </w:r>
      <m:oMath>
        <m:r>
          <m:t>N</m:t>
        </m:r>
        <m:r>
          <m:rPr>
            <m:sty m:val="p"/>
          </m:rPr>
          <m:t>≈</m:t>
        </m:r>
        <m:r>
          <m:t>14</m:t>
        </m:r>
      </m:oMath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Tighter and cheaper filtering:</w:t>
      </w:r>
      <w:r>
        <w:t xml:space="preserve"> </w:t>
      </w:r>
      <w:r>
        <w:t xml:space="preserve">subspace-restricted Trotter bounds (the observed constant is 10–40× below</w:t>
      </w:r>
      <w:r>
        <w:t xml:space="preserve"> </w:t>
      </w:r>
      <m:oMath>
        <m:r>
          <m:t>α</m:t>
        </m:r>
      </m:oMath>
      <w:r>
        <w:t xml:space="preserve">), second-order formulas with the matching commutator bound, symmetry-resolved windows (up to</w:t>
      </w:r>
      <w:r>
        <w:t xml:space="preserve"> </w:t>
      </w:r>
      <m:oMath>
        <m:r>
          <m:rPr>
            <m:sty m:val="p"/>
          </m:rPr>
          <m:t>≈</m:t>
        </m:r>
        <m:r>
          <m:t>7</m:t>
        </m:r>
        <m:r>
          <m:rPr>
            <m:sty m:val="p"/>
          </m:rPr>
          <m:t>×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absorbing the energy shift into the phases, and Hamiltonian-aware compilation of the controlled bond exponentials.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Rigor for large</w:t>
      </w:r>
      <w:r>
        <w:rPr>
          <w:iCs/>
          <w:i/>
        </w:rPr>
        <w:t xml:space="preserve"> </w:t>
      </w:r>
      <m:oMath>
        <m:r>
          <m:t>N</m:t>
        </m:r>
      </m:oMath>
      <w:r>
        <w:rPr>
          <w:iCs/>
          <w:i/>
        </w:rPr>
        <w:t xml:space="preserve">:</w:t>
      </w:r>
      <w:r>
        <w:t xml:space="preserve"> </w:t>
      </w:r>
      <w:r>
        <w:t xml:space="preserve">a certified lower bound on the gap (e.g. symmetry-resolved DMRG plus a Temple/Weinstein-type bound) so that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not assumptions.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Competing quantum methods</w:t>
      </w:r>
      <w:r>
        <w:t xml:space="preserve"> </w:t>
      </w:r>
      <w:r>
        <w:t xml:space="preserve">under the same trial state: QETU/Lin–Tong filtering and the rodeo algorithm with random times.</w:t>
      </w:r>
    </w:p>
    <w:p>
      <w:pPr>
        <w:numPr>
          <w:ilvl w:val="0"/>
          <w:numId w:val="1007"/>
        </w:numPr>
        <w:pStyle w:val="Compact"/>
      </w:pPr>
      <w:r>
        <w:rPr>
          <w:iCs/>
          <w:i/>
        </w:rPr>
        <w:t xml:space="preserve">Completeness of the present data:</w:t>
      </w:r>
      <w:r>
        <w:t xml:space="preserve"> </w:t>
      </w:r>
      <w:r>
        <w:t xml:space="preserve">the hybrid protocol 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trial circuits and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12</m:t>
        </m:r>
      </m:oMath>
      <w:r>
        <w:t xml:space="preserve"> </w:t>
      </w:r>
      <w:r>
        <w:t xml:space="preserve">(needs a non-dense simulation); a deterministic, globally better floor-design search (the present one is a multistart local optimiser); second-order Trotter; a fault-tolerant resource model with early-abort statistics; and verified references and T-count constants.</w:t>
      </w:r>
    </w:p>
    <w:bookmarkEnd w:id="62"/>
    <w:bookmarkStart w:id="63" w:name="reproducibility"/>
    <w:p>
      <w:pPr>
        <w:pStyle w:val="Heading2"/>
      </w:pPr>
      <w:r>
        <w:t xml:space="preserve">8. Reproducibility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AARON/evaluation/experiments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exp1_primitives.py</w:t>
      </w:r>
      <w:r>
        <w:t xml:space="preserve"> </w:t>
      </w:r>
      <w:r>
        <w:t xml:space="preserve">building-block tests;</w:t>
      </w:r>
      <w:r>
        <w:t xml:space="preserve"> </w:t>
      </w:r>
      <w:r>
        <w:rPr>
          <w:rStyle w:val="VerbatimChar"/>
        </w:rPr>
        <w:t xml:space="preserve">exp2_end_to_end.py N J2 L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exp3_dmrg_inputs.py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exp3b_baseline.py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exp4_gap_and_symmetry.py</w:t>
      </w:r>
      <w:r>
        <w:t xml:space="preserve">;</w:t>
      </w:r>
      <w:r>
        <w:t xml:space="preserve"> </w:t>
      </w:r>
      <w:r>
        <w:rPr>
          <w:rStyle w:val="VerbatimChar"/>
        </w:rPr>
        <w:t xml:space="preserve">exp5_scaling.py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make_figures.py</w:t>
      </w:r>
      <w:r>
        <w:t xml:space="preserve">). Raw outputs:</w:t>
      </w:r>
      <w:r>
        <w:t xml:space="preserve"> </w:t>
      </w:r>
      <w:r>
        <w:rPr>
          <w:rStyle w:val="VerbatimChar"/>
        </w:rPr>
        <w:t xml:space="preserve">AARON/evaluation/results/*.json</w:t>
      </w:r>
      <w:r>
        <w:t xml:space="preserve">; logs:</w:t>
      </w:r>
      <w:r>
        <w:t xml:space="preserve"> </w:t>
      </w:r>
      <w:r>
        <w:rPr>
          <w:rStyle w:val="VerbatimChar"/>
        </w:rPr>
        <w:t xml:space="preserve">AARON/evaluation/logs</w:t>
      </w:r>
      <w:r>
        <w:t xml:space="preserve">. All experiments call</w:t>
      </w:r>
      <w:r>
        <w:t xml:space="preserve"> </w:t>
      </w:r>
      <w:r>
        <w:rPr>
          <w:rStyle w:val="VerbatimChar"/>
        </w:rPr>
        <w:t xml:space="preserve">AARON/j1j2_filter</w:t>
      </w:r>
      <w:r>
        <w:t xml:space="preserve"> </w:t>
      </w:r>
      <w:r>
        <w:t xml:space="preserve">unmodified. Environment: Python 3.12, numpy 2.x, scipy 1.18, qiskit 2.5.2, quimb 1.15,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; run with</w:t>
      </w:r>
      <w:r>
        <w:t xml:space="preserve"> </w:t>
      </w:r>
      <w:r>
        <w:rPr>
          <w:rStyle w:val="VerbatimChar"/>
        </w:rPr>
        <w:t xml:space="preserve">OMP_NUM_THREADS=1</w:t>
      </w:r>
      <w:r>
        <w:t xml:space="preserve"> </w:t>
      </w:r>
      <w:r>
        <w:t xml:space="preserve">(multi-threaded BLAS made the SLSQP filter design several times slower). Floor-design settings for the scaling study were reduced for speed (</w:t>
      </w:r>
      <w:r>
        <w:rPr>
          <w:rStyle w:val="VerbatimChar"/>
        </w:rPr>
        <w:t xml:space="preserve">FLOOR_EPS_FRACS=[0.2,0.1,0.05]</w:t>
      </w:r>
      <w:r>
        <w:t xml:space="preserve">,</w:t>
      </w:r>
      <w:r>
        <w:t xml:space="preserve"> </w:t>
      </w:r>
      <w:r>
        <w:rPr>
          <w:rStyle w:val="VerbatimChar"/>
        </w:rPr>
        <w:t xml:space="preserve">FLOOR_M=[4,6]</w:t>
      </w:r>
      <w:r>
        <w:t xml:space="preserve">); end-to-end runs used the defaults.</w:t>
      </w:r>
    </w:p>
    <w:p>
      <w:pPr>
        <w:pStyle w:val="BodyText"/>
      </w:pPr>
      <w:r>
        <w:rPr>
          <w:bCs/>
          <w:b/>
        </w:rPr>
        <w:t xml:space="preserve">Limitations of this evaluation.</w:t>
      </w:r>
      <w:r>
        <w:t xml:space="preserve"> </w:t>
      </w:r>
      <w:r>
        <w:t xml:space="preserve">Single trial-circuit compilation per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sSub>
              <m:e>
                <m:r>
                  <m:t>J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(the compiler is a local optimiser, so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not unique); the §5.2 end-to-end simulations cover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(plus the trivial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enters through the baseline (§5.8), looseness (§5.9) and hybrid-protocol (§5.10) experiments;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guaranteed design was not simulated (beyond the simulation cap); the scaling fits use four sizes; the crossover estimate is an extrapolation. References were written from memory and must be checked before submission.</w:t>
      </w:r>
    </w:p>
    <w:bookmarkEnd w:id="63"/>
    <w:bookmarkStart w:id="64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8"/>
        </w:numPr>
        <w:pStyle w:val="Compact"/>
      </w:pPr>
      <w:r>
        <w:t xml:space="preserve">I. Stetcu, A. Baroni, J. Carlson,</w:t>
      </w:r>
      <w:r>
        <w:t xml:space="preserve"> </w:t>
      </w:r>
      <w:r>
        <w:rPr>
          <w:iCs/>
          <w:i/>
        </w:rPr>
        <w:t xml:space="preserve">Projection algorithm for state preparation on quantum computers</w:t>
      </w:r>
      <w:r>
        <w:t xml:space="preserve">, Phys. Rev. C</w:t>
      </w:r>
      <w:r>
        <w:t xml:space="preserve"> </w:t>
      </w:r>
      <w:r>
        <w:rPr>
          <w:bCs/>
          <w:b/>
        </w:rPr>
        <w:t xml:space="preserve">105</w:t>
      </w:r>
      <w:r>
        <w:t xml:space="preserve">, 064308 (2022).</w:t>
      </w:r>
    </w:p>
    <w:p>
      <w:pPr>
        <w:numPr>
          <w:ilvl w:val="0"/>
          <w:numId w:val="1008"/>
        </w:numPr>
        <w:pStyle w:val="Compact"/>
      </w:pPr>
      <w:r>
        <w:t xml:space="preserve">K. Choi, D. Lee, J. Bonitati, Z. Qian, J. Watkins,</w:t>
      </w:r>
      <w:r>
        <w:t xml:space="preserve"> </w:t>
      </w:r>
      <w:r>
        <w:rPr>
          <w:iCs/>
          <w:i/>
        </w:rPr>
        <w:t xml:space="preserve">Rodeo algorithm for quantum computing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127</w:t>
      </w:r>
      <w:r>
        <w:t xml:space="preserve">, 040505 (2021).</w:t>
      </w:r>
    </w:p>
    <w:p>
      <w:pPr>
        <w:numPr>
          <w:ilvl w:val="0"/>
          <w:numId w:val="1008"/>
        </w:numPr>
        <w:pStyle w:val="Compact"/>
      </w:pPr>
      <w:r>
        <w:t xml:space="preserve">Z. Qian et al.,</w:t>
      </w:r>
      <w:r>
        <w:t xml:space="preserve"> </w:t>
      </w:r>
      <w:r>
        <w:rPr>
          <w:iCs/>
          <w:i/>
        </w:rPr>
        <w:t xml:space="preserve">Demonstration of the rodeo algorithm on a quantum computer</w:t>
      </w:r>
      <w:r>
        <w:t xml:space="preserve">, arXiv:2110.07747.</w:t>
      </w:r>
    </w:p>
    <w:p>
      <w:pPr>
        <w:numPr>
          <w:ilvl w:val="0"/>
          <w:numId w:val="1008"/>
        </w:numPr>
        <w:pStyle w:val="Compact"/>
      </w:pPr>
      <w:r>
        <w:t xml:space="preserve">A. M. Childs, Y. Su, M. C. Tran, N. Wiebe, S. Zhu,</w:t>
      </w:r>
      <w:r>
        <w:t xml:space="preserve"> </w:t>
      </w:r>
      <w:r>
        <w:rPr>
          <w:iCs/>
          <w:i/>
        </w:rPr>
        <w:t xml:space="preserve">Theory of Trotter error with commutator scaling</w:t>
      </w:r>
      <w:r>
        <w:t xml:space="preserve">, Phys. Rev. X</w:t>
      </w:r>
      <w:r>
        <w:t xml:space="preserve"> </w:t>
      </w:r>
      <w:r>
        <w:rPr>
          <w:bCs/>
          <w:b/>
        </w:rPr>
        <w:t xml:space="preserve">11</w:t>
      </w:r>
      <w:r>
        <w:t xml:space="preserve">, 011020 (2021).</w:t>
      </w:r>
    </w:p>
    <w:p>
      <w:pPr>
        <w:numPr>
          <w:ilvl w:val="0"/>
          <w:numId w:val="1008"/>
        </w:numPr>
        <w:pStyle w:val="Compact"/>
      </w:pPr>
      <w:r>
        <w:t xml:space="preserve">L. Lin, Y. Tong,</w:t>
      </w:r>
      <w:r>
        <w:t xml:space="preserve"> </w:t>
      </w:r>
      <w:r>
        <w:rPr>
          <w:iCs/>
          <w:i/>
        </w:rPr>
        <w:t xml:space="preserve">Near-optimal ground state preparation</w:t>
      </w:r>
      <w:r>
        <w:t xml:space="preserve">, Quantum</w:t>
      </w:r>
      <w:r>
        <w:t xml:space="preserve"> </w:t>
      </w:r>
      <w:r>
        <w:rPr>
          <w:bCs/>
          <w:b/>
        </w:rPr>
        <w:t xml:space="preserve">4</w:t>
      </w:r>
      <w:r>
        <w:t xml:space="preserve">, 372 (2020).</w:t>
      </w:r>
    </w:p>
    <w:p>
      <w:pPr>
        <w:numPr>
          <w:ilvl w:val="0"/>
          <w:numId w:val="1008"/>
        </w:numPr>
        <w:pStyle w:val="Compact"/>
      </w:pPr>
      <w:r>
        <w:t xml:space="preserve">Y. Dong, L. Lin, Y. Tong,</w:t>
      </w:r>
      <w:r>
        <w:t xml:space="preserve"> </w:t>
      </w:r>
      <w:r>
        <w:rPr>
          <w:iCs/>
          <w:i/>
        </w:rPr>
        <w:t xml:space="preserve">Ground-state preparation and energy estimation on early fault-tolerant quantum computers via quantum eigenvalue transformation of unitary matrices</w:t>
      </w:r>
      <w:r>
        <w:t xml:space="preserve">, PRX Quantum</w:t>
      </w:r>
      <w:r>
        <w:t xml:space="preserve"> </w:t>
      </w:r>
      <w:r>
        <w:rPr>
          <w:bCs/>
          <w:b/>
        </w:rPr>
        <w:t xml:space="preserve">3</w:t>
      </w:r>
      <w:r>
        <w:t xml:space="preserve">, 040305 (2022).</w:t>
      </w:r>
    </w:p>
    <w:p>
      <w:pPr>
        <w:numPr>
          <w:ilvl w:val="0"/>
          <w:numId w:val="1008"/>
        </w:numPr>
        <w:pStyle w:val="Compact"/>
      </w:pPr>
      <w:r>
        <w:t xml:space="preserve">C. Schön, E. Solano, F. Verstraete, J. I. Cirac, M. M. Wolf,</w:t>
      </w:r>
      <w:r>
        <w:t xml:space="preserve"> </w:t>
      </w:r>
      <w:r>
        <w:rPr>
          <w:iCs/>
          <w:i/>
        </w:rPr>
        <w:t xml:space="preserve">Sequential generation of entangled multiqubit states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95</w:t>
      </w:r>
      <w:r>
        <w:t xml:space="preserve">, 110503 (2005).</w:t>
      </w:r>
    </w:p>
    <w:p>
      <w:pPr>
        <w:numPr>
          <w:ilvl w:val="0"/>
          <w:numId w:val="1008"/>
        </w:numPr>
        <w:pStyle w:val="Compact"/>
      </w:pPr>
      <w:r>
        <w:t xml:space="preserve">C. K. Majumdar, D. K. Ghosh,</w:t>
      </w:r>
      <w:r>
        <w:t xml:space="preserve"> </w:t>
      </w:r>
      <w:r>
        <w:rPr>
          <w:iCs/>
          <w:i/>
        </w:rPr>
        <w:t xml:space="preserve">On next-nearest-neighbor interaction in linear chain</w:t>
      </w:r>
      <w:r>
        <w:t xml:space="preserve">, J. Math. Phys.</w:t>
      </w:r>
      <w:r>
        <w:t xml:space="preserve"> </w:t>
      </w:r>
      <w:r>
        <w:rPr>
          <w:bCs/>
          <w:b/>
        </w:rPr>
        <w:t xml:space="preserve">10</w:t>
      </w:r>
      <w:r>
        <w:t xml:space="preserve">, 1388 (1969).</w:t>
      </w:r>
    </w:p>
    <w:p>
      <w:pPr>
        <w:numPr>
          <w:ilvl w:val="0"/>
          <w:numId w:val="1008"/>
        </w:numPr>
        <w:pStyle w:val="Compact"/>
      </w:pPr>
      <w:r>
        <w:t xml:space="preserve">S. R. White,</w:t>
      </w:r>
      <w:r>
        <w:t xml:space="preserve"> </w:t>
      </w:r>
      <w:r>
        <w:rPr>
          <w:iCs/>
          <w:i/>
        </w:rPr>
        <w:t xml:space="preserve">Density matrix formulation for quantum renormalization groups</w:t>
      </w:r>
      <w:r>
        <w:t xml:space="preserve">, Phys. Rev. Lett.</w:t>
      </w:r>
      <w:r>
        <w:t xml:space="preserve"> </w:t>
      </w:r>
      <w:r>
        <w:rPr>
          <w:bCs/>
          <w:b/>
        </w:rPr>
        <w:t xml:space="preserve">69</w:t>
      </w:r>
      <w:r>
        <w:t xml:space="preserve">, 2863 (1992); U. Schollwöck, Ann. Phys.</w:t>
      </w:r>
      <w:r>
        <w:t xml:space="preserve"> </w:t>
      </w:r>
      <w:r>
        <w:rPr>
          <w:bCs/>
          <w:b/>
        </w:rPr>
        <w:t xml:space="preserve">326</w:t>
      </w:r>
      <w:r>
        <w:t xml:space="preserve">, 96 (2011).</w:t>
      </w:r>
    </w:p>
    <w:p>
      <w:pPr>
        <w:numPr>
          <w:ilvl w:val="0"/>
          <w:numId w:val="1008"/>
        </w:numPr>
        <w:pStyle w:val="Compact"/>
      </w:pPr>
      <w:r>
        <w:t xml:space="preserve">K. Okamoto, K. Nomura, Phys. Lett. A</w:t>
      </w:r>
      <w:r>
        <w:t xml:space="preserve"> </w:t>
      </w:r>
      <w:r>
        <w:rPr>
          <w:bCs/>
          <w:b/>
        </w:rPr>
        <w:t xml:space="preserve">169</w:t>
      </w:r>
      <w:r>
        <w:t xml:space="preserve">, 433 (1992).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Relationship Type="http://schemas.openxmlformats.org/officeDocument/2006/relationships/image" Id="rId53" Target="media/rId5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Certified Stetcu–Baroni Ground-State Filtering from DMRG Trial States: Rigorous Bounds, a Hybrid Empirical Protocol, and a Resource Comparison for the J1–J2 Chain</dc:title>
  <dc:creator>Draft prepared from the AARON/j1j2_filter code base (internal evaluation; authors to be added)</dc:creator>
  <cp:keywords/>
  <dcterms:created xsi:type="dcterms:W3CDTF">2026-10-06T15:38:23Z</dcterms:created>
  <dcterms:modified xsi:type="dcterms:W3CDTF">2026-10-06T15:38:23Z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October 2026</vt:lpwstr>
  </property>
</Properties>
</file>