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5943" w14:textId="77777777" w:rsidR="000D7A43" w:rsidRPr="002406EF" w:rsidRDefault="000D7A43" w:rsidP="000D7A43">
      <w:pPr>
        <w:pBdr>
          <w:bottom w:val="single" w:sz="12" w:space="1" w:color="auto"/>
        </w:pBdr>
        <w:spacing w:after="240"/>
        <w:jc w:val="center"/>
        <w:rPr>
          <w:rFonts w:ascii="Times New Roman" w:eastAsia="Times New Roman" w:hAnsi="Times New Roman" w:cs="Times New Roman"/>
          <w:b/>
          <w:sz w:val="32"/>
        </w:rPr>
      </w:pPr>
      <w:r w:rsidRPr="002406EF">
        <w:rPr>
          <w:rFonts w:ascii="Times New Roman" w:eastAsia="Times New Roman" w:hAnsi="Times New Roman" w:cs="Times New Roman"/>
          <w:b/>
          <w:sz w:val="32"/>
        </w:rPr>
        <w:t>AUTHORS RESPONSE TO REVIEWER COMMENTS</w:t>
      </w:r>
    </w:p>
    <w:p w14:paraId="48171E81" w14:textId="6D69F079" w:rsidR="000D7A43" w:rsidRDefault="000D7A43" w:rsidP="000D7A43">
      <w:pPr>
        <w:pBdr>
          <w:bottom w:val="single" w:sz="12" w:space="1" w:color="auto"/>
        </w:pBdr>
        <w:spacing w:after="0" w:line="276" w:lineRule="auto"/>
        <w:jc w:val="both"/>
        <w:rPr>
          <w:rFonts w:ascii="Times New Roman" w:eastAsia="Times New Roman" w:hAnsi="Times New Roman" w:cs="Times New Roman"/>
          <w:sz w:val="24"/>
        </w:rPr>
      </w:pPr>
      <w:r w:rsidRPr="002406EF">
        <w:rPr>
          <w:rFonts w:ascii="Times New Roman" w:eastAsia="Times New Roman" w:hAnsi="Times New Roman" w:cs="Times New Roman"/>
          <w:sz w:val="24"/>
        </w:rPr>
        <w:t xml:space="preserve">Comments from reviewers have been presented in </w:t>
      </w:r>
      <w:r w:rsidRPr="002406EF">
        <w:rPr>
          <w:rFonts w:ascii="Times New Roman" w:eastAsia="Times New Roman" w:hAnsi="Times New Roman" w:cs="Times New Roman"/>
          <w:b/>
          <w:sz w:val="24"/>
        </w:rPr>
        <w:t>bold</w:t>
      </w:r>
      <w:r w:rsidRPr="002406EF">
        <w:rPr>
          <w:rFonts w:ascii="Times New Roman" w:eastAsia="Times New Roman" w:hAnsi="Times New Roman" w:cs="Times New Roman"/>
          <w:sz w:val="24"/>
        </w:rPr>
        <w:t xml:space="preserve"> </w:t>
      </w:r>
      <w:r w:rsidRPr="002406EF">
        <w:rPr>
          <w:rFonts w:ascii="Times New Roman" w:eastAsia="Times New Roman" w:hAnsi="Times New Roman" w:cs="Times New Roman"/>
          <w:b/>
          <w:sz w:val="24"/>
        </w:rPr>
        <w:t>text</w:t>
      </w:r>
      <w:r w:rsidRPr="002406EF">
        <w:rPr>
          <w:rFonts w:ascii="Times New Roman" w:eastAsia="Times New Roman" w:hAnsi="Times New Roman" w:cs="Times New Roman"/>
          <w:sz w:val="24"/>
        </w:rPr>
        <w:t>; and comments from</w:t>
      </w:r>
      <w:r w:rsidR="006703CC" w:rsidRPr="002406EF">
        <w:rPr>
          <w:rFonts w:ascii="Times New Roman" w:eastAsia="Times New Roman" w:hAnsi="Times New Roman" w:cs="Times New Roman"/>
          <w:sz w:val="24"/>
        </w:rPr>
        <w:t xml:space="preserve"> </w:t>
      </w:r>
      <w:r w:rsidRPr="002406EF">
        <w:rPr>
          <w:rFonts w:ascii="Times New Roman" w:eastAsia="Times New Roman" w:hAnsi="Times New Roman" w:cs="Times New Roman"/>
          <w:sz w:val="24"/>
        </w:rPr>
        <w:t>reviewers #1</w:t>
      </w:r>
      <w:r w:rsidR="006703CC" w:rsidRPr="002406EF">
        <w:rPr>
          <w:rFonts w:ascii="Times New Roman" w:eastAsia="Times New Roman" w:hAnsi="Times New Roman" w:cs="Times New Roman"/>
          <w:sz w:val="24"/>
        </w:rPr>
        <w:t xml:space="preserve"> and</w:t>
      </w:r>
      <w:r w:rsidRPr="002406EF">
        <w:rPr>
          <w:rFonts w:ascii="Times New Roman" w:eastAsia="Times New Roman" w:hAnsi="Times New Roman" w:cs="Times New Roman"/>
          <w:sz w:val="24"/>
        </w:rPr>
        <w:t xml:space="preserve"> #2 have been listed as C1.X</w:t>
      </w:r>
      <w:r w:rsidR="006703CC" w:rsidRPr="002406EF">
        <w:rPr>
          <w:rFonts w:ascii="Times New Roman" w:eastAsia="Times New Roman" w:hAnsi="Times New Roman" w:cs="Times New Roman"/>
          <w:sz w:val="24"/>
        </w:rPr>
        <w:t xml:space="preserve"> and</w:t>
      </w:r>
      <w:r w:rsidRPr="002406EF">
        <w:rPr>
          <w:rFonts w:ascii="Times New Roman" w:eastAsia="Times New Roman" w:hAnsi="Times New Roman" w:cs="Times New Roman"/>
          <w:sz w:val="24"/>
        </w:rPr>
        <w:t xml:space="preserve"> C2.X, respectively, with ascending numbers used to label these comments. Responses to comments are in plain text and have been labelled using a similar format (e.g. R1.1 indicates the response to comment 1.1). Where revisions have been </w:t>
      </w:r>
      <w:proofErr w:type="gramStart"/>
      <w:r w:rsidRPr="002406EF">
        <w:rPr>
          <w:rFonts w:ascii="Times New Roman" w:eastAsia="Times New Roman" w:hAnsi="Times New Roman" w:cs="Times New Roman"/>
          <w:sz w:val="24"/>
        </w:rPr>
        <w:t>made</w:t>
      </w:r>
      <w:proofErr w:type="gramEnd"/>
      <w:r w:rsidRPr="002406EF">
        <w:rPr>
          <w:rFonts w:ascii="Times New Roman" w:eastAsia="Times New Roman" w:hAnsi="Times New Roman" w:cs="Times New Roman"/>
          <w:sz w:val="24"/>
        </w:rPr>
        <w:t xml:space="preserve"> they are referred to using line numbers</w:t>
      </w:r>
      <w:r w:rsidR="006806DF">
        <w:rPr>
          <w:rFonts w:ascii="Times New Roman" w:eastAsia="Times New Roman" w:hAnsi="Times New Roman" w:cs="Times New Roman"/>
          <w:sz w:val="24"/>
        </w:rPr>
        <w:t xml:space="preserve"> (i.e. the original line numbers that align with the text)</w:t>
      </w:r>
      <w:r w:rsidRPr="002406EF">
        <w:rPr>
          <w:rFonts w:ascii="Times New Roman" w:eastAsia="Times New Roman" w:hAnsi="Times New Roman" w:cs="Times New Roman"/>
          <w:sz w:val="24"/>
        </w:rPr>
        <w:t xml:space="preserve"> of the revised manuscript, and these changes have been highlighted in the revised manuscript using </w:t>
      </w:r>
      <w:r w:rsidRPr="002406EF">
        <w:rPr>
          <w:rFonts w:ascii="Times New Roman" w:eastAsia="Times New Roman" w:hAnsi="Times New Roman" w:cs="Times New Roman"/>
          <w:b/>
          <w:color w:val="FF0000"/>
          <w:sz w:val="24"/>
        </w:rPr>
        <w:t>bold red text</w:t>
      </w:r>
      <w:r w:rsidRPr="002406EF">
        <w:rPr>
          <w:rFonts w:ascii="Times New Roman" w:eastAsia="Times New Roman" w:hAnsi="Times New Roman" w:cs="Times New Roman"/>
          <w:sz w:val="24"/>
        </w:rPr>
        <w:t>.</w:t>
      </w:r>
    </w:p>
    <w:p w14:paraId="143B4CEB" w14:textId="420289B2" w:rsidR="00D920DD" w:rsidRDefault="00D920DD" w:rsidP="000D7A43">
      <w:pPr>
        <w:pBdr>
          <w:bottom w:val="single" w:sz="12" w:space="1" w:color="auto"/>
        </w:pBdr>
        <w:spacing w:after="0" w:line="276" w:lineRule="auto"/>
        <w:jc w:val="both"/>
        <w:rPr>
          <w:rFonts w:ascii="Times New Roman" w:eastAsia="Times New Roman" w:hAnsi="Times New Roman" w:cs="Times New Roman"/>
          <w:sz w:val="24"/>
        </w:rPr>
      </w:pPr>
    </w:p>
    <w:p w14:paraId="76693F96" w14:textId="54AEA3CB" w:rsidR="00D920DD" w:rsidRPr="00D920DD" w:rsidRDefault="00D920DD" w:rsidP="000D7A43">
      <w:pPr>
        <w:pBdr>
          <w:bottom w:val="single" w:sz="12" w:space="1" w:color="auto"/>
        </w:pBdr>
        <w:spacing w:after="0" w:line="276" w:lineRule="auto"/>
        <w:jc w:val="both"/>
        <w:rPr>
          <w:rFonts w:ascii="Times New Roman" w:eastAsia="Times New Roman" w:hAnsi="Times New Roman" w:cs="Times New Roman"/>
          <w:sz w:val="24"/>
          <w:u w:val="single"/>
        </w:rPr>
      </w:pPr>
      <w:r w:rsidRPr="00D920DD">
        <w:rPr>
          <w:rFonts w:ascii="Times New Roman" w:eastAsia="Times New Roman" w:hAnsi="Times New Roman" w:cs="Times New Roman"/>
          <w:sz w:val="24"/>
          <w:u w:val="single"/>
        </w:rPr>
        <w:t>Please note that all line references in the following responses are referring to the line numbers placed by us in the original document, and not those inserted by the manuscript submission system.</w:t>
      </w:r>
    </w:p>
    <w:p w14:paraId="39FA196C" w14:textId="77777777" w:rsidR="000D7A43" w:rsidRPr="002406EF" w:rsidRDefault="000D7A43" w:rsidP="000D7A43">
      <w:pPr>
        <w:pBdr>
          <w:bottom w:val="single" w:sz="12" w:space="1" w:color="auto"/>
        </w:pBdr>
        <w:spacing w:after="240" w:line="276" w:lineRule="auto"/>
        <w:jc w:val="both"/>
        <w:rPr>
          <w:rFonts w:ascii="Cambria" w:eastAsia="Times New Roman" w:hAnsi="Cambria"/>
        </w:rPr>
      </w:pPr>
    </w:p>
    <w:p w14:paraId="4AAE26EA" w14:textId="1C1E927F" w:rsidR="000D7A43" w:rsidRPr="002406EF" w:rsidRDefault="000D7A43" w:rsidP="000D7A43">
      <w:pPr>
        <w:pStyle w:val="NormalWeb"/>
        <w:spacing w:line="276" w:lineRule="auto"/>
        <w:jc w:val="both"/>
        <w:rPr>
          <w:b/>
          <w:color w:val="212121"/>
          <w:u w:val="single"/>
        </w:rPr>
      </w:pPr>
      <w:r w:rsidRPr="002406EF">
        <w:rPr>
          <w:b/>
          <w:color w:val="212121"/>
          <w:u w:val="single"/>
        </w:rPr>
        <w:t>Reviewer #1</w:t>
      </w:r>
      <w:r w:rsidR="00DD17E9" w:rsidRPr="002406EF">
        <w:rPr>
          <w:b/>
          <w:color w:val="212121"/>
          <w:u w:val="single"/>
        </w:rPr>
        <w:t xml:space="preserve"> (</w:t>
      </w:r>
      <w:r w:rsidR="00B6276F">
        <w:rPr>
          <w:b/>
          <w:color w:val="212121"/>
          <w:u w:val="single"/>
        </w:rPr>
        <w:t>Ray Stefani</w:t>
      </w:r>
      <w:r w:rsidR="00DD17E9" w:rsidRPr="002406EF">
        <w:rPr>
          <w:b/>
          <w:color w:val="212121"/>
          <w:u w:val="single"/>
        </w:rPr>
        <w:t>)</w:t>
      </w:r>
    </w:p>
    <w:p w14:paraId="1617C151" w14:textId="39D3B683" w:rsidR="000D7A43" w:rsidRPr="002406EF" w:rsidRDefault="000D7A43" w:rsidP="000D7A43">
      <w:pPr>
        <w:pStyle w:val="NormalWeb"/>
        <w:spacing w:line="276" w:lineRule="auto"/>
        <w:jc w:val="both"/>
        <w:rPr>
          <w:rFonts w:eastAsia="Times New Roman"/>
        </w:rPr>
      </w:pPr>
    </w:p>
    <w:p w14:paraId="285FFFE4" w14:textId="6FF511FA" w:rsidR="000D7A43" w:rsidRPr="002406EF" w:rsidRDefault="000D7A43" w:rsidP="000D7A43">
      <w:pPr>
        <w:pStyle w:val="NormalWeb"/>
        <w:spacing w:line="276" w:lineRule="auto"/>
        <w:ind w:left="720" w:hanging="720"/>
        <w:jc w:val="both"/>
        <w:rPr>
          <w:rFonts w:eastAsia="Times New Roman"/>
          <w:b/>
        </w:rPr>
      </w:pPr>
      <w:r w:rsidRPr="002406EF">
        <w:rPr>
          <w:rFonts w:eastAsia="Times New Roman"/>
          <w:b/>
          <w:u w:val="single"/>
        </w:rPr>
        <w:t>C1.1:</w:t>
      </w:r>
      <w:r w:rsidRPr="002406EF">
        <w:rPr>
          <w:rFonts w:eastAsia="Times New Roman"/>
          <w:b/>
        </w:rPr>
        <w:tab/>
      </w:r>
      <w:r w:rsidR="00B6276F" w:rsidRPr="00B6276F">
        <w:rPr>
          <w:rFonts w:eastAsia="Times New Roman"/>
          <w:b/>
        </w:rPr>
        <w:t>This paper provides a very thorough examination of strategies for low to high uses of the Super Shot during the last five minutes of each quarter when that two-goal shot becomes available. The simulations are well done. The paragraph on page 15, beginning with line 222, provides a very important summary for coaches and netball strategists, emphasizing the importance of team-specific strategies for using and defending the new two-goal Super Shot. Specific team-by-team simulations are well done. This paper is very important for Netball coaches to use to understand their options.</w:t>
      </w:r>
      <w:r w:rsidRPr="002406EF">
        <w:rPr>
          <w:rFonts w:eastAsia="Times New Roman"/>
          <w:b/>
        </w:rPr>
        <w:t xml:space="preserve"> </w:t>
      </w:r>
    </w:p>
    <w:p w14:paraId="05E8A1E7" w14:textId="77777777" w:rsidR="00235405" w:rsidRPr="002406EF" w:rsidRDefault="00235405" w:rsidP="000D7A43">
      <w:pPr>
        <w:pStyle w:val="NormalWeb"/>
        <w:spacing w:line="276" w:lineRule="auto"/>
        <w:ind w:left="720" w:hanging="720"/>
        <w:jc w:val="both"/>
        <w:rPr>
          <w:rFonts w:eastAsia="Times New Roman"/>
          <w:b/>
        </w:rPr>
      </w:pPr>
    </w:p>
    <w:p w14:paraId="52BC1810" w14:textId="5F81D1E4" w:rsidR="00504188" w:rsidRPr="00B6276F" w:rsidRDefault="00235405" w:rsidP="00B6276F">
      <w:pPr>
        <w:pStyle w:val="NormalWeb"/>
        <w:spacing w:line="276" w:lineRule="auto"/>
        <w:ind w:left="720" w:hanging="720"/>
        <w:jc w:val="both"/>
        <w:rPr>
          <w:rFonts w:eastAsia="Times New Roman"/>
        </w:rPr>
      </w:pPr>
      <w:r w:rsidRPr="002406EF">
        <w:rPr>
          <w:rFonts w:eastAsia="Times New Roman"/>
          <w:u w:val="single"/>
        </w:rPr>
        <w:t>R1.1:</w:t>
      </w:r>
      <w:r w:rsidR="00006CF0" w:rsidRPr="002406EF">
        <w:rPr>
          <w:rFonts w:eastAsia="Times New Roman"/>
        </w:rPr>
        <w:tab/>
      </w:r>
      <w:r w:rsidR="004E2E46" w:rsidRPr="002406EF">
        <w:rPr>
          <w:rFonts w:eastAsia="Times New Roman"/>
        </w:rPr>
        <w:t>Thank you</w:t>
      </w:r>
      <w:r w:rsidR="00B6276F">
        <w:rPr>
          <w:rFonts w:eastAsia="Times New Roman"/>
        </w:rPr>
        <w:t xml:space="preserve"> for the kind words made on our work</w:t>
      </w:r>
      <w:r w:rsidR="004E2E46" w:rsidRPr="002406EF">
        <w:rPr>
          <w:rFonts w:eastAsia="Times New Roman"/>
        </w:rPr>
        <w:t>. No amendments made based on this comment.</w:t>
      </w:r>
    </w:p>
    <w:p w14:paraId="02EFE060" w14:textId="77777777" w:rsidR="00FD20D1" w:rsidRPr="002406EF" w:rsidRDefault="00FD20D1" w:rsidP="00504188">
      <w:pPr>
        <w:pStyle w:val="NormalWeb"/>
        <w:spacing w:line="276" w:lineRule="auto"/>
        <w:ind w:left="720" w:hanging="720"/>
        <w:jc w:val="both"/>
        <w:rPr>
          <w:rFonts w:eastAsia="Times New Roman"/>
          <w:b/>
          <w:u w:val="single"/>
        </w:rPr>
      </w:pPr>
    </w:p>
    <w:p w14:paraId="3B6A8101" w14:textId="5A6B6D40" w:rsidR="00504188" w:rsidRPr="002406EF" w:rsidRDefault="00504188" w:rsidP="00504188">
      <w:pPr>
        <w:pStyle w:val="NormalWeb"/>
        <w:spacing w:line="276" w:lineRule="auto"/>
        <w:ind w:left="720" w:hanging="720"/>
        <w:jc w:val="both"/>
        <w:rPr>
          <w:rFonts w:eastAsia="Times New Roman"/>
          <w:b/>
        </w:rPr>
      </w:pPr>
      <w:r w:rsidRPr="002406EF">
        <w:rPr>
          <w:rFonts w:eastAsia="Times New Roman"/>
          <w:b/>
          <w:u w:val="single"/>
        </w:rPr>
        <w:t>C1.2:</w:t>
      </w:r>
      <w:r w:rsidRPr="002406EF">
        <w:rPr>
          <w:rFonts w:eastAsia="Times New Roman"/>
          <w:b/>
        </w:rPr>
        <w:tab/>
      </w:r>
      <w:r w:rsidR="00B6276F" w:rsidRPr="00B6276F">
        <w:rPr>
          <w:rFonts w:eastAsia="Times New Roman"/>
          <w:b/>
        </w:rPr>
        <w:t>The authors suggest a shorter title, “Shot selection strategies in Super Netball’s ‘Power 5’ period”. I think the shorter title better captures the paper’s contribution and draws the reader to discover the results.</w:t>
      </w:r>
      <w:r w:rsidR="00FD20D1" w:rsidRPr="002406EF">
        <w:rPr>
          <w:rFonts w:eastAsia="Times New Roman"/>
          <w:b/>
        </w:rPr>
        <w:t xml:space="preserve"> </w:t>
      </w:r>
      <w:r w:rsidRPr="002406EF">
        <w:rPr>
          <w:rFonts w:eastAsia="Times New Roman"/>
          <w:b/>
        </w:rPr>
        <w:t xml:space="preserve"> </w:t>
      </w:r>
    </w:p>
    <w:p w14:paraId="7FE3D70E" w14:textId="77777777" w:rsidR="00504188" w:rsidRPr="002406EF" w:rsidRDefault="00504188" w:rsidP="00504188">
      <w:pPr>
        <w:pStyle w:val="NormalWeb"/>
        <w:spacing w:line="276" w:lineRule="auto"/>
        <w:ind w:left="720" w:hanging="720"/>
        <w:jc w:val="both"/>
        <w:rPr>
          <w:rFonts w:eastAsia="Times New Roman"/>
          <w:b/>
        </w:rPr>
      </w:pPr>
    </w:p>
    <w:p w14:paraId="5C57C2D7" w14:textId="7F736ED2" w:rsidR="00212407" w:rsidRPr="0088249A" w:rsidRDefault="00504188" w:rsidP="00FD20D1">
      <w:pPr>
        <w:pStyle w:val="NormalWeb"/>
        <w:spacing w:line="276" w:lineRule="auto"/>
        <w:ind w:left="720" w:hanging="720"/>
        <w:jc w:val="both"/>
        <w:rPr>
          <w:rFonts w:eastAsia="Times New Roman"/>
        </w:rPr>
      </w:pPr>
      <w:r w:rsidRPr="002406EF">
        <w:rPr>
          <w:rFonts w:eastAsia="Times New Roman"/>
          <w:u w:val="single"/>
        </w:rPr>
        <w:t>R1.2:</w:t>
      </w:r>
      <w:r w:rsidRPr="002406EF">
        <w:rPr>
          <w:rFonts w:eastAsia="Times New Roman"/>
        </w:rPr>
        <w:tab/>
      </w:r>
      <w:r w:rsidR="0088249A">
        <w:rPr>
          <w:rFonts w:eastAsia="Times New Roman"/>
        </w:rPr>
        <w:t>We appreciate this suggestion and have encompassed the suggestion made here with some elements of the original title (</w:t>
      </w:r>
      <w:proofErr w:type="gramStart"/>
      <w:r w:rsidR="0088249A">
        <w:rPr>
          <w:rFonts w:eastAsia="Times New Roman"/>
        </w:rPr>
        <w:t>i.e.</w:t>
      </w:r>
      <w:proofErr w:type="gramEnd"/>
      <w:r w:rsidR="0088249A">
        <w:rPr>
          <w:rFonts w:eastAsia="Times New Roman"/>
        </w:rPr>
        <w:t xml:space="preserve"> </w:t>
      </w:r>
      <w:r w:rsidR="0088249A" w:rsidRPr="0088249A">
        <w:rPr>
          <w:rFonts w:eastAsia="Times New Roman"/>
          <w:i/>
          <w:iCs/>
        </w:rPr>
        <w:t>Examining scoring outcomes with variable shot selection strategies in Super Netball’s ‘Power 5’ period via numerical simulation</w:t>
      </w:r>
      <w:r w:rsidR="0088249A">
        <w:rPr>
          <w:rFonts w:eastAsia="Times New Roman"/>
        </w:rPr>
        <w:t xml:space="preserve">) to a revised title of – </w:t>
      </w:r>
      <w:r w:rsidR="0088249A" w:rsidRPr="0088249A">
        <w:rPr>
          <w:rFonts w:eastAsia="Times New Roman"/>
          <w:u w:val="single"/>
        </w:rPr>
        <w:t>“Simulating shot selection strategies and scoring outcomes in Super Netball’s ‘Power 5’ period”</w:t>
      </w:r>
      <w:r w:rsidR="0088249A">
        <w:rPr>
          <w:rFonts w:eastAsia="Times New Roman"/>
        </w:rPr>
        <w:t xml:space="preserve">. We felt the need to keep the terminology around </w:t>
      </w:r>
      <w:r w:rsidR="0088249A">
        <w:rPr>
          <w:rFonts w:eastAsia="Times New Roman"/>
          <w:i/>
          <w:iCs/>
        </w:rPr>
        <w:t xml:space="preserve">simulation </w:t>
      </w:r>
      <w:r w:rsidR="0088249A">
        <w:rPr>
          <w:rFonts w:eastAsia="Times New Roman"/>
        </w:rPr>
        <w:t xml:space="preserve">and </w:t>
      </w:r>
      <w:r w:rsidR="0088249A">
        <w:rPr>
          <w:rFonts w:eastAsia="Times New Roman"/>
          <w:i/>
          <w:iCs/>
        </w:rPr>
        <w:t xml:space="preserve">scoring outcomes </w:t>
      </w:r>
      <w:r w:rsidR="0088249A">
        <w:rPr>
          <w:rFonts w:eastAsia="Times New Roman"/>
        </w:rPr>
        <w:t>to encompass these key elements of the paper. The short title for the paper has remained the same.</w:t>
      </w:r>
    </w:p>
    <w:p w14:paraId="595A3138" w14:textId="77777777" w:rsidR="00FD20D1" w:rsidRPr="002406EF" w:rsidRDefault="00FD20D1" w:rsidP="00FD20D1">
      <w:pPr>
        <w:pStyle w:val="NormalWeb"/>
        <w:spacing w:line="276" w:lineRule="auto"/>
        <w:jc w:val="both"/>
        <w:rPr>
          <w:rFonts w:eastAsia="Times New Roman"/>
          <w:u w:val="single"/>
        </w:rPr>
      </w:pPr>
    </w:p>
    <w:p w14:paraId="335260B5" w14:textId="77777777" w:rsidR="001463AA" w:rsidRDefault="001463AA">
      <w:pPr>
        <w:rPr>
          <w:rFonts w:ascii="Times New Roman" w:eastAsia="Times New Roman" w:hAnsi="Times New Roman" w:cs="Times New Roman"/>
          <w:b/>
          <w:sz w:val="24"/>
          <w:szCs w:val="24"/>
          <w:u w:val="single"/>
          <w:lang w:eastAsia="en-AU"/>
        </w:rPr>
      </w:pPr>
      <w:r>
        <w:rPr>
          <w:rFonts w:eastAsia="Times New Roman"/>
          <w:b/>
          <w:u w:val="single"/>
        </w:rPr>
        <w:br w:type="page"/>
      </w:r>
    </w:p>
    <w:p w14:paraId="04520695" w14:textId="33CF5090" w:rsidR="00504188" w:rsidRPr="002406EF" w:rsidRDefault="00504188" w:rsidP="00504188">
      <w:pPr>
        <w:pStyle w:val="NormalWeb"/>
        <w:spacing w:line="276" w:lineRule="auto"/>
        <w:ind w:left="720" w:hanging="720"/>
        <w:jc w:val="both"/>
        <w:rPr>
          <w:rFonts w:eastAsia="Times New Roman"/>
          <w:b/>
        </w:rPr>
      </w:pPr>
      <w:r w:rsidRPr="002406EF">
        <w:rPr>
          <w:rFonts w:eastAsia="Times New Roman"/>
          <w:b/>
          <w:u w:val="single"/>
        </w:rPr>
        <w:lastRenderedPageBreak/>
        <w:t>C1.3:</w:t>
      </w:r>
      <w:r w:rsidRPr="002406EF">
        <w:rPr>
          <w:rFonts w:eastAsia="Times New Roman"/>
          <w:b/>
        </w:rPr>
        <w:tab/>
      </w:r>
      <w:r w:rsidR="00B6276F" w:rsidRPr="00B6276F">
        <w:rPr>
          <w:rFonts w:eastAsia="Times New Roman"/>
          <w:b/>
        </w:rPr>
        <w:t>The authors must change all the numbered references to numbered superscripts to follow IJSSC formatting. Also, the information following each figure number should not be italicized. The authors should carefully follow IJSSC formatting rules throughout.</w:t>
      </w:r>
    </w:p>
    <w:p w14:paraId="59D321F9" w14:textId="77777777" w:rsidR="00504188" w:rsidRPr="002406EF" w:rsidRDefault="00504188" w:rsidP="00504188">
      <w:pPr>
        <w:pStyle w:val="NormalWeb"/>
        <w:spacing w:line="276" w:lineRule="auto"/>
        <w:ind w:left="720" w:hanging="720"/>
        <w:jc w:val="both"/>
        <w:rPr>
          <w:rFonts w:eastAsia="Times New Roman"/>
          <w:b/>
        </w:rPr>
      </w:pPr>
    </w:p>
    <w:p w14:paraId="13CB2EDE" w14:textId="1230A873" w:rsidR="00504188" w:rsidRDefault="00504188" w:rsidP="00504188">
      <w:pPr>
        <w:pStyle w:val="NormalWeb"/>
        <w:spacing w:line="276" w:lineRule="auto"/>
        <w:ind w:left="720" w:hanging="720"/>
        <w:jc w:val="both"/>
        <w:rPr>
          <w:rFonts w:eastAsia="Times New Roman"/>
        </w:rPr>
      </w:pPr>
      <w:r w:rsidRPr="002406EF">
        <w:rPr>
          <w:rFonts w:eastAsia="Times New Roman"/>
          <w:u w:val="single"/>
        </w:rPr>
        <w:t>R1.3:</w:t>
      </w:r>
      <w:r w:rsidRPr="002406EF">
        <w:rPr>
          <w:rFonts w:eastAsia="Times New Roman"/>
        </w:rPr>
        <w:tab/>
      </w:r>
      <w:r w:rsidR="00AD0484">
        <w:rPr>
          <w:rFonts w:eastAsia="Times New Roman"/>
        </w:rPr>
        <w:t>Apologies for the inaccuracies in the referencing style. We aimed to follow the Vancouver guidelines linked in the journals author guidelines – however it appears we followed the HSS style for Vancouver in-text citations (i.e. numbers in square brackets), whereas IJSSC follows the STM style (i.e. superscripted numbers). This has been amended throughout the revised manuscript.</w:t>
      </w:r>
    </w:p>
    <w:p w14:paraId="6FBAFD2B" w14:textId="738F6011" w:rsidR="00DB7F8C" w:rsidRDefault="00DB7F8C" w:rsidP="00504188">
      <w:pPr>
        <w:pStyle w:val="NormalWeb"/>
        <w:spacing w:line="276" w:lineRule="auto"/>
        <w:ind w:left="720" w:hanging="720"/>
        <w:jc w:val="both"/>
        <w:rPr>
          <w:rFonts w:eastAsia="Times New Roman"/>
        </w:rPr>
      </w:pPr>
    </w:p>
    <w:p w14:paraId="5E655958" w14:textId="6197CAB2" w:rsidR="00DB7F8C" w:rsidRDefault="00DB7F8C" w:rsidP="00504188">
      <w:pPr>
        <w:pStyle w:val="NormalWeb"/>
        <w:spacing w:line="276" w:lineRule="auto"/>
        <w:ind w:left="720" w:hanging="720"/>
        <w:jc w:val="both"/>
        <w:rPr>
          <w:rFonts w:eastAsia="Times New Roman"/>
        </w:rPr>
      </w:pPr>
      <w:r>
        <w:rPr>
          <w:rFonts w:eastAsia="Times New Roman"/>
        </w:rPr>
        <w:tab/>
        <w:t>We have also altered table and figure captions to not be italicised throughout the revised manuscript.</w:t>
      </w:r>
    </w:p>
    <w:p w14:paraId="3148BCFB" w14:textId="4E86BA1B" w:rsidR="00B6276F" w:rsidRDefault="00B6276F" w:rsidP="00504188">
      <w:pPr>
        <w:pStyle w:val="NormalWeb"/>
        <w:spacing w:line="276" w:lineRule="auto"/>
        <w:ind w:left="720" w:hanging="720"/>
        <w:jc w:val="both"/>
        <w:rPr>
          <w:rFonts w:eastAsia="Times New Roman"/>
        </w:rPr>
      </w:pPr>
    </w:p>
    <w:p w14:paraId="6057FAB6" w14:textId="228C18FC" w:rsidR="00B6276F" w:rsidRPr="002406EF" w:rsidRDefault="00B6276F" w:rsidP="00B6276F">
      <w:pPr>
        <w:pStyle w:val="NormalWeb"/>
        <w:spacing w:line="276" w:lineRule="auto"/>
        <w:ind w:left="720" w:hanging="720"/>
        <w:jc w:val="both"/>
        <w:rPr>
          <w:rFonts w:eastAsia="Times New Roman"/>
          <w:b/>
        </w:rPr>
      </w:pPr>
      <w:r w:rsidRPr="002406EF">
        <w:rPr>
          <w:rFonts w:eastAsia="Times New Roman"/>
          <w:b/>
          <w:u w:val="single"/>
        </w:rPr>
        <w:t>C1.</w:t>
      </w:r>
      <w:r>
        <w:rPr>
          <w:rFonts w:eastAsia="Times New Roman"/>
          <w:b/>
          <w:u w:val="single"/>
        </w:rPr>
        <w:t>4</w:t>
      </w:r>
      <w:r w:rsidRPr="002406EF">
        <w:rPr>
          <w:rFonts w:eastAsia="Times New Roman"/>
          <w:b/>
          <w:u w:val="single"/>
        </w:rPr>
        <w:t>:</w:t>
      </w:r>
      <w:r w:rsidRPr="002406EF">
        <w:rPr>
          <w:rFonts w:eastAsia="Times New Roman"/>
          <w:b/>
        </w:rPr>
        <w:tab/>
      </w:r>
      <w:r w:rsidRPr="00B6276F">
        <w:rPr>
          <w:rFonts w:eastAsia="Times New Roman"/>
          <w:b/>
        </w:rPr>
        <w:t xml:space="preserve">In my work on the USA’s two-point basketball shot versus the three-point shot, I found that about ½ of the two-point shots are successful and about 1/3 of the three-point shots are successful, resulting in about one point per shot. According to the authors’ Table 1, the standard one-goal shot is successful 91% of the time while the Super Shot counting two goals is scored 52% of the time, each very close to one point/goal per shot also. The authors may find interest in a blog I published with our NY Times newspaper, which I uploaded. A second-order effect presented itself when the three-point shot began. For the first years of the new option, teams would the select the best option of two shots instead on just one.  The teams got off more shots than before with only one option, and scores rose, at about one point per shot, until the three-point shot reached 25% of the shots. As teams became more aggressive with three-point shots, moving from 25% to 33% of the shots, a team had to give up promising two-point shots, taking more time per shot, creating fewer shots per </w:t>
      </w:r>
      <w:proofErr w:type="gramStart"/>
      <w:r w:rsidRPr="00B6276F">
        <w:rPr>
          <w:rFonts w:eastAsia="Times New Roman"/>
          <w:b/>
        </w:rPr>
        <w:t>game</w:t>
      </w:r>
      <w:proofErr w:type="gramEnd"/>
      <w:r w:rsidRPr="00B6276F">
        <w:rPr>
          <w:rFonts w:eastAsia="Times New Roman"/>
          <w:b/>
        </w:rPr>
        <w:t xml:space="preserve"> and having lower scores per team, reaching the previous total, given about one point per shot. Of course, when both teams do the same, margins don’t change. As the authors mention, the choice is </w:t>
      </w:r>
      <w:proofErr w:type="gramStart"/>
      <w:r w:rsidRPr="00B6276F">
        <w:rPr>
          <w:rFonts w:eastAsia="Times New Roman"/>
          <w:b/>
        </w:rPr>
        <w:t>team-specific</w:t>
      </w:r>
      <w:proofErr w:type="gramEnd"/>
      <w:r w:rsidRPr="00B6276F">
        <w:rPr>
          <w:rFonts w:eastAsia="Times New Roman"/>
          <w:b/>
        </w:rPr>
        <w:t>. I wonder if second-order effects are present with the Super Shot.</w:t>
      </w:r>
    </w:p>
    <w:p w14:paraId="2A3A0AFC" w14:textId="77777777" w:rsidR="00B6276F" w:rsidRPr="002406EF" w:rsidRDefault="00B6276F" w:rsidP="00B6276F">
      <w:pPr>
        <w:pStyle w:val="NormalWeb"/>
        <w:spacing w:line="276" w:lineRule="auto"/>
        <w:ind w:left="720" w:hanging="720"/>
        <w:jc w:val="both"/>
        <w:rPr>
          <w:rFonts w:eastAsia="Times New Roman"/>
          <w:b/>
        </w:rPr>
      </w:pPr>
    </w:p>
    <w:p w14:paraId="0FC42A7C" w14:textId="17DCCB91" w:rsidR="00B6276F" w:rsidRDefault="00B6276F" w:rsidP="00B6276F">
      <w:pPr>
        <w:pStyle w:val="NormalWeb"/>
        <w:spacing w:line="276" w:lineRule="auto"/>
        <w:ind w:left="720" w:hanging="720"/>
        <w:jc w:val="both"/>
        <w:rPr>
          <w:rFonts w:eastAsia="Times New Roman"/>
        </w:rPr>
      </w:pPr>
      <w:r w:rsidRPr="002406EF">
        <w:rPr>
          <w:rFonts w:eastAsia="Times New Roman"/>
          <w:u w:val="single"/>
        </w:rPr>
        <w:t>R1.</w:t>
      </w:r>
      <w:r>
        <w:rPr>
          <w:rFonts w:eastAsia="Times New Roman"/>
          <w:u w:val="single"/>
        </w:rPr>
        <w:t>4</w:t>
      </w:r>
      <w:r w:rsidRPr="002406EF">
        <w:rPr>
          <w:rFonts w:eastAsia="Times New Roman"/>
          <w:u w:val="single"/>
        </w:rPr>
        <w:t>:</w:t>
      </w:r>
      <w:r w:rsidRPr="002406EF">
        <w:rPr>
          <w:rFonts w:eastAsia="Times New Roman"/>
        </w:rPr>
        <w:tab/>
      </w:r>
      <w:r w:rsidR="006E3A88">
        <w:rPr>
          <w:rFonts w:eastAsia="Times New Roman"/>
        </w:rPr>
        <w:t xml:space="preserve">Thank you for pointing out this work and the similar context with respect to basketball and the 3-point shot. We agree here and believe that there are likely some secondary effects of the Power 5 period that teams will experience (e.g. longer times taken to set-up Super Shots resulting in less shots being taken, more effort being placed on positioning for Super Shots that could result in higher turnovers etc.) – and that our simulation approach could not account for such secondary effects without a deeper understanding of what is occurring. We have therefore included a discussion around this concept as a limitation to the study and noted that </w:t>
      </w:r>
      <w:r w:rsidR="006E3A88" w:rsidRPr="00331224">
        <w:rPr>
          <w:rFonts w:eastAsia="Times New Roman"/>
        </w:rPr>
        <w:t xml:space="preserve">understanding the secondary effects on this rule change is an avenue for further research (see </w:t>
      </w:r>
      <w:r w:rsidR="00331224" w:rsidRPr="00331224">
        <w:rPr>
          <w:rFonts w:eastAsia="Times New Roman"/>
        </w:rPr>
        <w:t>line 263-271</w:t>
      </w:r>
      <w:r w:rsidR="006E3A88" w:rsidRPr="00331224">
        <w:rPr>
          <w:rFonts w:eastAsia="Times New Roman"/>
        </w:rPr>
        <w:t>) – something that our research group is aiming to look at in the near future.</w:t>
      </w:r>
    </w:p>
    <w:p w14:paraId="2D1E40BB" w14:textId="7CA604B8" w:rsidR="006E3A88" w:rsidRDefault="006E3A88" w:rsidP="00B6276F">
      <w:pPr>
        <w:pStyle w:val="NormalWeb"/>
        <w:spacing w:line="276" w:lineRule="auto"/>
        <w:ind w:left="720" w:hanging="720"/>
        <w:jc w:val="both"/>
        <w:rPr>
          <w:rFonts w:eastAsia="Times New Roman"/>
        </w:rPr>
      </w:pPr>
    </w:p>
    <w:p w14:paraId="08100F4B" w14:textId="7A6741B2" w:rsidR="006E3A88" w:rsidRPr="006E3A88" w:rsidRDefault="006E3A88" w:rsidP="00B6276F">
      <w:pPr>
        <w:pStyle w:val="NormalWeb"/>
        <w:spacing w:line="276" w:lineRule="auto"/>
        <w:ind w:left="720" w:hanging="720"/>
        <w:jc w:val="both"/>
        <w:rPr>
          <w:rFonts w:eastAsia="Times New Roman"/>
          <w:i/>
          <w:iCs/>
        </w:rPr>
      </w:pPr>
      <w:r>
        <w:rPr>
          <w:rFonts w:eastAsia="Times New Roman"/>
        </w:rPr>
        <w:tab/>
      </w:r>
      <w:r w:rsidRPr="006E3A88">
        <w:rPr>
          <w:rFonts w:eastAsia="Times New Roman"/>
          <w:i/>
          <w:iCs/>
        </w:rPr>
        <w:t xml:space="preserve">Fourth, our simulations did not consider any strategic changes (either by attacking or defensive teams) that would impact the ability to set-up shots in the inner versus outer circle in the Power 5 period. It is plausible that teams would adapt their defensive </w:t>
      </w:r>
      <w:r w:rsidRPr="006E3A88">
        <w:rPr>
          <w:rFonts w:eastAsia="Times New Roman"/>
          <w:i/>
          <w:iCs/>
        </w:rPr>
        <w:lastRenderedPageBreak/>
        <w:t>strategy to limit the higher value two-goal Super Shots during the Power 5 period, thus making it more difficult for shooting circle players to obtain good positions in the outer circle. This may have a secondary effect of teams requiring more time to set-up Super Shot opportunities, potentially reducing the total number of shots taken in the Power 5 period. Understanding potential secondary effects of the Power 5 period is an avenue for future work in the area.</w:t>
      </w:r>
    </w:p>
    <w:p w14:paraId="219E7E3E" w14:textId="6CA741CA" w:rsidR="00B6276F" w:rsidRDefault="00B6276F" w:rsidP="00504188">
      <w:pPr>
        <w:pStyle w:val="NormalWeb"/>
        <w:spacing w:line="276" w:lineRule="auto"/>
        <w:ind w:left="720" w:hanging="720"/>
        <w:jc w:val="both"/>
        <w:rPr>
          <w:rFonts w:eastAsia="Times New Roman"/>
        </w:rPr>
      </w:pPr>
    </w:p>
    <w:p w14:paraId="2C40AAA8" w14:textId="77B5D053" w:rsidR="00B6276F" w:rsidRPr="002406EF" w:rsidRDefault="00B6276F" w:rsidP="00B6276F">
      <w:pPr>
        <w:pStyle w:val="NormalWeb"/>
        <w:spacing w:line="276" w:lineRule="auto"/>
        <w:ind w:left="720" w:hanging="720"/>
        <w:jc w:val="both"/>
        <w:rPr>
          <w:rFonts w:eastAsia="Times New Roman"/>
          <w:b/>
        </w:rPr>
      </w:pPr>
      <w:r w:rsidRPr="002406EF">
        <w:rPr>
          <w:rFonts w:eastAsia="Times New Roman"/>
          <w:b/>
          <w:u w:val="single"/>
        </w:rPr>
        <w:t>C1.</w:t>
      </w:r>
      <w:r>
        <w:rPr>
          <w:rFonts w:eastAsia="Times New Roman"/>
          <w:b/>
          <w:u w:val="single"/>
        </w:rPr>
        <w:t>5</w:t>
      </w:r>
      <w:r w:rsidRPr="002406EF">
        <w:rPr>
          <w:rFonts w:eastAsia="Times New Roman"/>
          <w:b/>
          <w:u w:val="single"/>
        </w:rPr>
        <w:t>:</w:t>
      </w:r>
      <w:r w:rsidRPr="002406EF">
        <w:rPr>
          <w:rFonts w:eastAsia="Times New Roman"/>
          <w:b/>
        </w:rPr>
        <w:tab/>
      </w:r>
      <w:r w:rsidRPr="00B6276F">
        <w:rPr>
          <w:rFonts w:eastAsia="Times New Roman"/>
          <w:b/>
        </w:rPr>
        <w:t>In the copy I was sent, after the references, additional but not numbered copies of Figures 1 and 2 are included. Following those are 11 pages of supplemental material. I do not think that supplemental material belongs in IJSSC. However, the authors could add a small number of tables to summarize important data from those extra eight figures, if needed.</w:t>
      </w:r>
    </w:p>
    <w:p w14:paraId="47DFB71D" w14:textId="77777777" w:rsidR="00B6276F" w:rsidRPr="002406EF" w:rsidRDefault="00B6276F" w:rsidP="00B6276F">
      <w:pPr>
        <w:pStyle w:val="NormalWeb"/>
        <w:spacing w:line="276" w:lineRule="auto"/>
        <w:ind w:left="720" w:hanging="720"/>
        <w:jc w:val="both"/>
        <w:rPr>
          <w:rFonts w:eastAsia="Times New Roman"/>
          <w:b/>
        </w:rPr>
      </w:pPr>
    </w:p>
    <w:p w14:paraId="6C80A355" w14:textId="4FEFE00A" w:rsidR="00B6276F" w:rsidRDefault="00B6276F" w:rsidP="00B6276F">
      <w:pPr>
        <w:pStyle w:val="NormalWeb"/>
        <w:spacing w:line="276" w:lineRule="auto"/>
        <w:ind w:left="720" w:hanging="720"/>
        <w:jc w:val="both"/>
        <w:rPr>
          <w:rFonts w:eastAsia="Times New Roman"/>
        </w:rPr>
      </w:pPr>
      <w:r w:rsidRPr="002406EF">
        <w:rPr>
          <w:rFonts w:eastAsia="Times New Roman"/>
          <w:u w:val="single"/>
        </w:rPr>
        <w:t>R1.</w:t>
      </w:r>
      <w:r>
        <w:rPr>
          <w:rFonts w:eastAsia="Times New Roman"/>
          <w:u w:val="single"/>
        </w:rPr>
        <w:t>5</w:t>
      </w:r>
      <w:r w:rsidRPr="002406EF">
        <w:rPr>
          <w:rFonts w:eastAsia="Times New Roman"/>
          <w:u w:val="single"/>
        </w:rPr>
        <w:t>:</w:t>
      </w:r>
      <w:r w:rsidRPr="002406EF">
        <w:rPr>
          <w:rFonts w:eastAsia="Times New Roman"/>
        </w:rPr>
        <w:tab/>
      </w:r>
      <w:r w:rsidR="00DB7F8C">
        <w:rPr>
          <w:rFonts w:eastAsia="Times New Roman"/>
        </w:rPr>
        <w:t>We believe that the additional copies of the main figures at the end of the manuscript are automatically generated and added by the manuscript submission system. We chose to also include the main figures within the manuscript to hopefully ease the burden on reviewers in viewing the figures (</w:t>
      </w:r>
      <w:proofErr w:type="gramStart"/>
      <w:r w:rsidR="00DB7F8C">
        <w:rPr>
          <w:rFonts w:eastAsia="Times New Roman"/>
        </w:rPr>
        <w:t>i.e.</w:t>
      </w:r>
      <w:proofErr w:type="gramEnd"/>
      <w:r w:rsidR="00DB7F8C">
        <w:rPr>
          <w:rFonts w:eastAsia="Times New Roman"/>
        </w:rPr>
        <w:t xml:space="preserve"> not being interrupted by the need to scroll to the end of the manuscript to view the figures).</w:t>
      </w:r>
    </w:p>
    <w:p w14:paraId="4072B0A1" w14:textId="0AEEF7E5" w:rsidR="00DB7F8C" w:rsidRDefault="00DB7F8C" w:rsidP="00B6276F">
      <w:pPr>
        <w:pStyle w:val="NormalWeb"/>
        <w:spacing w:line="276" w:lineRule="auto"/>
        <w:ind w:left="720" w:hanging="720"/>
        <w:jc w:val="both"/>
        <w:rPr>
          <w:rFonts w:eastAsia="Times New Roman"/>
        </w:rPr>
      </w:pPr>
    </w:p>
    <w:p w14:paraId="0CA8B2C8" w14:textId="2E0C310B" w:rsidR="00DB7F8C" w:rsidRDefault="00DB7F8C" w:rsidP="00DB7F8C">
      <w:pPr>
        <w:pStyle w:val="NormalWeb"/>
        <w:spacing w:line="276" w:lineRule="auto"/>
        <w:ind w:left="720"/>
        <w:jc w:val="both"/>
        <w:rPr>
          <w:rFonts w:eastAsia="Times New Roman"/>
        </w:rPr>
      </w:pPr>
      <w:r>
        <w:rPr>
          <w:rFonts w:eastAsia="Times New Roman"/>
        </w:rPr>
        <w:t xml:space="preserve">According to IJSSC guidelines (section 4.3 at </w:t>
      </w:r>
      <w:hyperlink r:id="rId6" w:history="1">
        <w:r w:rsidRPr="00822913">
          <w:rPr>
            <w:rStyle w:val="Hyperlink"/>
            <w:rFonts w:eastAsia="Times New Roman"/>
          </w:rPr>
          <w:t>https://journals.sagepub.com/author-instructions/SPO</w:t>
        </w:r>
      </w:hyperlink>
      <w:r>
        <w:rPr>
          <w:rFonts w:eastAsia="Times New Roman"/>
        </w:rPr>
        <w:t>), supplemental material can be hosted alongside articles. We have therefore decided to keep these supplemental figures as we believe the detail captured in these would outweigh any sort of summary that we could develop in a table format.</w:t>
      </w:r>
    </w:p>
    <w:p w14:paraId="6793CD87" w14:textId="2309B0F4" w:rsidR="00B6276F" w:rsidRDefault="00B6276F" w:rsidP="00504188">
      <w:pPr>
        <w:pStyle w:val="NormalWeb"/>
        <w:spacing w:line="276" w:lineRule="auto"/>
        <w:ind w:left="720" w:hanging="720"/>
        <w:jc w:val="both"/>
        <w:rPr>
          <w:rFonts w:eastAsia="Times New Roman"/>
        </w:rPr>
      </w:pPr>
    </w:p>
    <w:p w14:paraId="47913DF0" w14:textId="62707E4D" w:rsidR="00B6276F" w:rsidRPr="002406EF" w:rsidRDefault="00B6276F" w:rsidP="00B6276F">
      <w:pPr>
        <w:pStyle w:val="NormalWeb"/>
        <w:spacing w:line="276" w:lineRule="auto"/>
        <w:ind w:left="720" w:hanging="720"/>
        <w:jc w:val="both"/>
        <w:rPr>
          <w:rFonts w:eastAsia="Times New Roman"/>
          <w:b/>
        </w:rPr>
      </w:pPr>
      <w:r w:rsidRPr="002406EF">
        <w:rPr>
          <w:rFonts w:eastAsia="Times New Roman"/>
          <w:b/>
          <w:u w:val="single"/>
        </w:rPr>
        <w:t>C1.</w:t>
      </w:r>
      <w:r>
        <w:rPr>
          <w:rFonts w:eastAsia="Times New Roman"/>
          <w:b/>
          <w:u w:val="single"/>
        </w:rPr>
        <w:t>6</w:t>
      </w:r>
      <w:r w:rsidRPr="002406EF">
        <w:rPr>
          <w:rFonts w:eastAsia="Times New Roman"/>
          <w:b/>
          <w:u w:val="single"/>
        </w:rPr>
        <w:t>:</w:t>
      </w:r>
      <w:r w:rsidRPr="002406EF">
        <w:rPr>
          <w:rFonts w:eastAsia="Times New Roman"/>
          <w:b/>
        </w:rPr>
        <w:tab/>
      </w:r>
      <w:r w:rsidRPr="00B6276F">
        <w:rPr>
          <w:rFonts w:eastAsia="Times New Roman"/>
          <w:b/>
        </w:rPr>
        <w:t>The numerical margins in Figure 2 are very hard to read. Some margins could be placed in a table.</w:t>
      </w:r>
    </w:p>
    <w:p w14:paraId="2A02014C" w14:textId="77777777" w:rsidR="00B6276F" w:rsidRPr="002406EF" w:rsidRDefault="00B6276F" w:rsidP="00B6276F">
      <w:pPr>
        <w:pStyle w:val="NormalWeb"/>
        <w:spacing w:line="276" w:lineRule="auto"/>
        <w:ind w:left="720" w:hanging="720"/>
        <w:jc w:val="both"/>
        <w:rPr>
          <w:rFonts w:eastAsia="Times New Roman"/>
          <w:b/>
        </w:rPr>
      </w:pPr>
    </w:p>
    <w:p w14:paraId="24B97C40" w14:textId="33433EED" w:rsidR="00EF74D2" w:rsidRDefault="00B6276F" w:rsidP="00B6276F">
      <w:pPr>
        <w:pStyle w:val="NormalWeb"/>
        <w:spacing w:line="276" w:lineRule="auto"/>
        <w:ind w:left="720" w:hanging="720"/>
        <w:jc w:val="both"/>
        <w:rPr>
          <w:rFonts w:eastAsia="Times New Roman"/>
        </w:rPr>
      </w:pPr>
      <w:r w:rsidRPr="002406EF">
        <w:rPr>
          <w:rFonts w:eastAsia="Times New Roman"/>
          <w:u w:val="single"/>
        </w:rPr>
        <w:t>R1.</w:t>
      </w:r>
      <w:r>
        <w:rPr>
          <w:rFonts w:eastAsia="Times New Roman"/>
          <w:u w:val="single"/>
        </w:rPr>
        <w:t>6</w:t>
      </w:r>
      <w:r w:rsidRPr="002406EF">
        <w:rPr>
          <w:rFonts w:eastAsia="Times New Roman"/>
          <w:u w:val="single"/>
        </w:rPr>
        <w:t>:</w:t>
      </w:r>
      <w:r w:rsidRPr="002406EF">
        <w:rPr>
          <w:rFonts w:eastAsia="Times New Roman"/>
        </w:rPr>
        <w:tab/>
      </w:r>
      <w:r w:rsidR="00EF74D2">
        <w:rPr>
          <w:rFonts w:eastAsia="Times New Roman"/>
        </w:rPr>
        <w:t>The large number of simulation categories (</w:t>
      </w:r>
      <w:proofErr w:type="gramStart"/>
      <w:r w:rsidR="00EF74D2">
        <w:rPr>
          <w:rFonts w:eastAsia="Times New Roman"/>
        </w:rPr>
        <w:t>i.e.</w:t>
      </w:r>
      <w:proofErr w:type="gramEnd"/>
      <w:r w:rsidR="00EF74D2">
        <w:rPr>
          <w:rFonts w:eastAsia="Times New Roman"/>
        </w:rPr>
        <w:t xml:space="preserve"> zero, low, moderate, high, all-out) combined with the large combination of teams made these data difficult to display in a table – whereby any tabular layout becomes over-bearing to manage and read. </w:t>
      </w:r>
    </w:p>
    <w:p w14:paraId="35D1CE49" w14:textId="4CE3853C" w:rsidR="00EF74D2" w:rsidRDefault="00EF74D2" w:rsidP="00B6276F">
      <w:pPr>
        <w:pStyle w:val="NormalWeb"/>
        <w:spacing w:line="276" w:lineRule="auto"/>
        <w:ind w:left="720" w:hanging="720"/>
        <w:jc w:val="both"/>
        <w:rPr>
          <w:rFonts w:eastAsia="Times New Roman"/>
        </w:rPr>
      </w:pPr>
    </w:p>
    <w:p w14:paraId="4F7B29E9" w14:textId="617E55A9" w:rsidR="00EF74D2" w:rsidRDefault="00EF74D2" w:rsidP="00B6276F">
      <w:pPr>
        <w:pStyle w:val="NormalWeb"/>
        <w:spacing w:line="276" w:lineRule="auto"/>
        <w:ind w:left="720" w:hanging="720"/>
        <w:jc w:val="both"/>
        <w:rPr>
          <w:rFonts w:eastAsia="Times New Roman"/>
        </w:rPr>
      </w:pPr>
      <w:r>
        <w:rPr>
          <w:rFonts w:eastAsia="Times New Roman"/>
        </w:rPr>
        <w:tab/>
        <w:t xml:space="preserve">To hopefully improve part </w:t>
      </w:r>
      <w:r w:rsidRPr="00D920DD">
        <w:rPr>
          <w:rFonts w:eastAsia="Times New Roman"/>
        </w:rPr>
        <w:t xml:space="preserve">of the legibility of Figure 2 we have increased the size of the axes and subplot labels in the figure (see </w:t>
      </w:r>
      <w:r w:rsidR="00D920DD" w:rsidRPr="00D920DD">
        <w:rPr>
          <w:rFonts w:eastAsia="Times New Roman"/>
        </w:rPr>
        <w:t>Figure 2 at line 144</w:t>
      </w:r>
      <w:r w:rsidRPr="00D920DD">
        <w:rPr>
          <w:rFonts w:eastAsia="Times New Roman"/>
        </w:rPr>
        <w:t>). Given</w:t>
      </w:r>
      <w:r>
        <w:rPr>
          <w:rFonts w:eastAsia="Times New Roman"/>
        </w:rPr>
        <w:t xml:space="preserve"> the scale of this figure, we understand that it may be difficult to grasp individual margins for teams and/or simulation conditions. However, the overall goal of this figure was </w:t>
      </w:r>
      <w:r w:rsidR="00D920DD">
        <w:rPr>
          <w:rFonts w:eastAsia="Times New Roman"/>
        </w:rPr>
        <w:t xml:space="preserve">to demonstrate that the margins and distributions remained close to and centred around </w:t>
      </w:r>
      <w:r w:rsidR="00D920DD" w:rsidRPr="00D920DD">
        <w:rPr>
          <w:rFonts w:eastAsia="Times New Roman"/>
        </w:rPr>
        <w:t>zero (</w:t>
      </w:r>
      <w:proofErr w:type="gramStart"/>
      <w:r w:rsidR="00D920DD" w:rsidRPr="00D920DD">
        <w:rPr>
          <w:rFonts w:eastAsia="Times New Roman"/>
        </w:rPr>
        <w:t>i.e.</w:t>
      </w:r>
      <w:proofErr w:type="gramEnd"/>
      <w:r w:rsidR="00D920DD" w:rsidRPr="00D920DD">
        <w:rPr>
          <w:rFonts w:eastAsia="Times New Roman"/>
        </w:rPr>
        <w:t xml:space="preserve"> see line 140-142), and feel</w:t>
      </w:r>
      <w:r w:rsidR="00D920DD">
        <w:rPr>
          <w:rFonts w:eastAsia="Times New Roman"/>
        </w:rPr>
        <w:t xml:space="preserve"> that its current format is best to achieve this.</w:t>
      </w:r>
    </w:p>
    <w:p w14:paraId="45D6413B" w14:textId="3DE026C4" w:rsidR="00B6276F" w:rsidRDefault="00B6276F" w:rsidP="00504188">
      <w:pPr>
        <w:pStyle w:val="NormalWeb"/>
        <w:spacing w:line="276" w:lineRule="auto"/>
        <w:ind w:left="720" w:hanging="720"/>
        <w:jc w:val="both"/>
        <w:rPr>
          <w:rFonts w:eastAsia="Times New Roman"/>
        </w:rPr>
      </w:pPr>
    </w:p>
    <w:p w14:paraId="20BCD577" w14:textId="77777777" w:rsidR="001463AA" w:rsidRDefault="001463AA">
      <w:pPr>
        <w:rPr>
          <w:rFonts w:ascii="Times New Roman" w:eastAsia="Times New Roman" w:hAnsi="Times New Roman" w:cs="Times New Roman"/>
          <w:b/>
          <w:sz w:val="24"/>
          <w:szCs w:val="24"/>
          <w:u w:val="single"/>
          <w:lang w:eastAsia="en-AU"/>
        </w:rPr>
      </w:pPr>
      <w:r>
        <w:rPr>
          <w:rFonts w:eastAsia="Times New Roman"/>
          <w:b/>
          <w:u w:val="single"/>
        </w:rPr>
        <w:br w:type="page"/>
      </w:r>
    </w:p>
    <w:p w14:paraId="26DBDA35" w14:textId="7A54C2A9" w:rsidR="00B6276F" w:rsidRPr="002406EF" w:rsidRDefault="00B6276F" w:rsidP="00B6276F">
      <w:pPr>
        <w:pStyle w:val="NormalWeb"/>
        <w:spacing w:line="276" w:lineRule="auto"/>
        <w:ind w:left="720" w:hanging="720"/>
        <w:jc w:val="both"/>
        <w:rPr>
          <w:rFonts w:eastAsia="Times New Roman"/>
          <w:b/>
        </w:rPr>
      </w:pPr>
      <w:r w:rsidRPr="002406EF">
        <w:rPr>
          <w:rFonts w:eastAsia="Times New Roman"/>
          <w:b/>
          <w:u w:val="single"/>
        </w:rPr>
        <w:lastRenderedPageBreak/>
        <w:t>C1.</w:t>
      </w:r>
      <w:r>
        <w:rPr>
          <w:rFonts w:eastAsia="Times New Roman"/>
          <w:b/>
          <w:u w:val="single"/>
        </w:rPr>
        <w:t>7</w:t>
      </w:r>
      <w:r w:rsidRPr="002406EF">
        <w:rPr>
          <w:rFonts w:eastAsia="Times New Roman"/>
          <w:b/>
          <w:u w:val="single"/>
        </w:rPr>
        <w:t>:</w:t>
      </w:r>
      <w:r w:rsidRPr="002406EF">
        <w:rPr>
          <w:rFonts w:eastAsia="Times New Roman"/>
          <w:b/>
        </w:rPr>
        <w:tab/>
      </w:r>
      <w:r w:rsidRPr="00B6276F">
        <w:rPr>
          <w:rFonts w:eastAsia="Times New Roman"/>
          <w:b/>
        </w:rPr>
        <w:t>Page 3, lines 3 and 4 would better emphasize the new shot as “opportunity for teams to gain two goals per shot versus one goal per shot during the final five minutes of each quarter, referred to as the Power 5 period”.</w:t>
      </w:r>
    </w:p>
    <w:p w14:paraId="5B4EEB69" w14:textId="77777777" w:rsidR="00B6276F" w:rsidRPr="002406EF" w:rsidRDefault="00B6276F" w:rsidP="00B6276F">
      <w:pPr>
        <w:pStyle w:val="NormalWeb"/>
        <w:spacing w:line="276" w:lineRule="auto"/>
        <w:ind w:left="720" w:hanging="720"/>
        <w:jc w:val="both"/>
        <w:rPr>
          <w:rFonts w:eastAsia="Times New Roman"/>
          <w:b/>
        </w:rPr>
      </w:pPr>
    </w:p>
    <w:p w14:paraId="7DA9F1E8" w14:textId="063DC22A" w:rsidR="00B6276F" w:rsidRDefault="00B6276F" w:rsidP="00B6276F">
      <w:pPr>
        <w:pStyle w:val="NormalWeb"/>
        <w:spacing w:line="276" w:lineRule="auto"/>
        <w:ind w:left="720" w:hanging="720"/>
        <w:jc w:val="both"/>
        <w:rPr>
          <w:rFonts w:eastAsia="Times New Roman"/>
        </w:rPr>
      </w:pPr>
      <w:r w:rsidRPr="002406EF">
        <w:rPr>
          <w:rFonts w:eastAsia="Times New Roman"/>
          <w:u w:val="single"/>
        </w:rPr>
        <w:t>R1.</w:t>
      </w:r>
      <w:r>
        <w:rPr>
          <w:rFonts w:eastAsia="Times New Roman"/>
          <w:u w:val="single"/>
        </w:rPr>
        <w:t>7</w:t>
      </w:r>
      <w:r w:rsidRPr="002406EF">
        <w:rPr>
          <w:rFonts w:eastAsia="Times New Roman"/>
          <w:u w:val="single"/>
        </w:rPr>
        <w:t>:</w:t>
      </w:r>
      <w:r w:rsidRPr="002406EF">
        <w:rPr>
          <w:rFonts w:eastAsia="Times New Roman"/>
        </w:rPr>
        <w:tab/>
      </w:r>
      <w:r w:rsidR="0000130C">
        <w:rPr>
          <w:rFonts w:eastAsia="Times New Roman"/>
        </w:rPr>
        <w:t>We have amended this sentence in the revised man</w:t>
      </w:r>
      <w:r w:rsidR="00331224">
        <w:rPr>
          <w:rFonts w:eastAsia="Times New Roman"/>
        </w:rPr>
        <w:t>u</w:t>
      </w:r>
      <w:r w:rsidR="0000130C">
        <w:rPr>
          <w:rFonts w:eastAsia="Times New Roman"/>
        </w:rPr>
        <w:t xml:space="preserve">script to encompass this suggestion </w:t>
      </w:r>
      <w:r w:rsidR="0000130C" w:rsidRPr="00D920DD">
        <w:rPr>
          <w:rFonts w:eastAsia="Times New Roman"/>
        </w:rPr>
        <w:t xml:space="preserve">(see </w:t>
      </w:r>
      <w:r w:rsidR="00D920DD" w:rsidRPr="00D920DD">
        <w:rPr>
          <w:rFonts w:eastAsia="Times New Roman"/>
        </w:rPr>
        <w:t>line 2-3</w:t>
      </w:r>
      <w:r w:rsidR="0000130C" w:rsidRPr="00D920DD">
        <w:rPr>
          <w:rFonts w:eastAsia="Times New Roman"/>
        </w:rPr>
        <w:t>):</w:t>
      </w:r>
    </w:p>
    <w:p w14:paraId="00D39606" w14:textId="502F260A" w:rsidR="0000130C" w:rsidRDefault="0000130C" w:rsidP="00B6276F">
      <w:pPr>
        <w:pStyle w:val="NormalWeb"/>
        <w:spacing w:line="276" w:lineRule="auto"/>
        <w:ind w:left="720" w:hanging="720"/>
        <w:jc w:val="both"/>
        <w:rPr>
          <w:rFonts w:eastAsia="Times New Roman"/>
        </w:rPr>
      </w:pPr>
    </w:p>
    <w:p w14:paraId="3BD340E0" w14:textId="78F8FB46" w:rsidR="0000130C" w:rsidRPr="0000130C" w:rsidRDefault="0000130C" w:rsidP="00B6276F">
      <w:pPr>
        <w:pStyle w:val="NormalWeb"/>
        <w:spacing w:line="276" w:lineRule="auto"/>
        <w:ind w:left="720" w:hanging="720"/>
        <w:jc w:val="both"/>
        <w:rPr>
          <w:rFonts w:eastAsia="Times New Roman"/>
          <w:i/>
          <w:iCs/>
        </w:rPr>
      </w:pPr>
      <w:r>
        <w:rPr>
          <w:rFonts w:eastAsia="Times New Roman"/>
        </w:rPr>
        <w:tab/>
      </w:r>
      <w:r w:rsidRPr="0000130C">
        <w:rPr>
          <w:rFonts w:eastAsia="Times New Roman"/>
          <w:i/>
          <w:iCs/>
        </w:rPr>
        <w:t>In 2020, Australia’s elite-level netball league introduced the ‘Super Shot’ — an opportunity for teams to gain two versus one goal per shot during the final five minutes of each quarter (</w:t>
      </w:r>
      <w:proofErr w:type="gramStart"/>
      <w:r w:rsidRPr="0000130C">
        <w:rPr>
          <w:rFonts w:eastAsia="Times New Roman"/>
          <w:i/>
          <w:iCs/>
        </w:rPr>
        <w:t>i.e.</w:t>
      </w:r>
      <w:proofErr w:type="gramEnd"/>
      <w:r w:rsidRPr="0000130C">
        <w:rPr>
          <w:rFonts w:eastAsia="Times New Roman"/>
          <w:i/>
          <w:iCs/>
        </w:rPr>
        <w:t xml:space="preserve"> Power 5 period).</w:t>
      </w:r>
    </w:p>
    <w:p w14:paraId="5B3BF967" w14:textId="6B7440F9" w:rsidR="00B6276F" w:rsidRDefault="00B6276F" w:rsidP="00504188">
      <w:pPr>
        <w:pStyle w:val="NormalWeb"/>
        <w:spacing w:line="276" w:lineRule="auto"/>
        <w:ind w:left="720" w:hanging="720"/>
        <w:jc w:val="both"/>
        <w:rPr>
          <w:rFonts w:eastAsia="Times New Roman"/>
        </w:rPr>
      </w:pPr>
    </w:p>
    <w:p w14:paraId="63E50B62" w14:textId="48F9DC18" w:rsidR="00B6276F" w:rsidRPr="002406EF" w:rsidRDefault="00B6276F" w:rsidP="00B6276F">
      <w:pPr>
        <w:pStyle w:val="NormalWeb"/>
        <w:spacing w:line="276" w:lineRule="auto"/>
        <w:ind w:left="720" w:hanging="720"/>
        <w:jc w:val="both"/>
        <w:rPr>
          <w:rFonts w:eastAsia="Times New Roman"/>
          <w:b/>
        </w:rPr>
      </w:pPr>
      <w:r w:rsidRPr="002406EF">
        <w:rPr>
          <w:rFonts w:eastAsia="Times New Roman"/>
          <w:b/>
          <w:u w:val="single"/>
        </w:rPr>
        <w:t>C1.</w:t>
      </w:r>
      <w:r>
        <w:rPr>
          <w:rFonts w:eastAsia="Times New Roman"/>
          <w:b/>
          <w:u w:val="single"/>
        </w:rPr>
        <w:t>8</w:t>
      </w:r>
      <w:r w:rsidRPr="002406EF">
        <w:rPr>
          <w:rFonts w:eastAsia="Times New Roman"/>
          <w:b/>
          <w:u w:val="single"/>
        </w:rPr>
        <w:t>:</w:t>
      </w:r>
      <w:r w:rsidRPr="002406EF">
        <w:rPr>
          <w:rFonts w:eastAsia="Times New Roman"/>
          <w:b/>
        </w:rPr>
        <w:tab/>
      </w:r>
      <w:r w:rsidRPr="00B6276F">
        <w:rPr>
          <w:rFonts w:eastAsia="Times New Roman"/>
          <w:b/>
        </w:rPr>
        <w:t xml:space="preserve">Page 4, lines 24 etc. should read </w:t>
      </w:r>
      <w:proofErr w:type="gramStart"/>
      <w:r w:rsidRPr="00B6276F">
        <w:rPr>
          <w:rFonts w:eastAsia="Times New Roman"/>
          <w:b/>
        </w:rPr>
        <w:t>“ ‘</w:t>
      </w:r>
      <w:proofErr w:type="gramEnd"/>
      <w:r w:rsidRPr="00B6276F">
        <w:rPr>
          <w:rFonts w:eastAsia="Times New Roman"/>
          <w:b/>
        </w:rPr>
        <w:t>the ‘Super Shot’3. This was ‘in play’ during the Power 5 period (the last five minutes of each quarter), providing an opportunity to gain two goals from the outer (i.e., 3.0m – 4.9m) circle instead of only one goal as before from the inner (i.e., 0m-3.0m) circle”.</w:t>
      </w:r>
    </w:p>
    <w:p w14:paraId="64F2A13D" w14:textId="77777777" w:rsidR="00B6276F" w:rsidRPr="002406EF" w:rsidRDefault="00B6276F" w:rsidP="00B6276F">
      <w:pPr>
        <w:pStyle w:val="NormalWeb"/>
        <w:spacing w:line="276" w:lineRule="auto"/>
        <w:ind w:left="720" w:hanging="720"/>
        <w:jc w:val="both"/>
        <w:rPr>
          <w:rFonts w:eastAsia="Times New Roman"/>
          <w:b/>
        </w:rPr>
      </w:pPr>
    </w:p>
    <w:p w14:paraId="4B209DEA" w14:textId="6B9338D3" w:rsidR="00B6276F" w:rsidRDefault="00B6276F" w:rsidP="00B6276F">
      <w:pPr>
        <w:pStyle w:val="NormalWeb"/>
        <w:spacing w:line="276" w:lineRule="auto"/>
        <w:ind w:left="720" w:hanging="720"/>
        <w:jc w:val="both"/>
        <w:rPr>
          <w:rFonts w:eastAsia="Times New Roman"/>
        </w:rPr>
      </w:pPr>
      <w:r w:rsidRPr="002406EF">
        <w:rPr>
          <w:rFonts w:eastAsia="Times New Roman"/>
          <w:u w:val="single"/>
        </w:rPr>
        <w:t>R1.</w:t>
      </w:r>
      <w:r>
        <w:rPr>
          <w:rFonts w:eastAsia="Times New Roman"/>
          <w:u w:val="single"/>
        </w:rPr>
        <w:t>8</w:t>
      </w:r>
      <w:r w:rsidRPr="002406EF">
        <w:rPr>
          <w:rFonts w:eastAsia="Times New Roman"/>
          <w:u w:val="single"/>
        </w:rPr>
        <w:t>:</w:t>
      </w:r>
      <w:r w:rsidRPr="002406EF">
        <w:rPr>
          <w:rFonts w:eastAsia="Times New Roman"/>
        </w:rPr>
        <w:tab/>
      </w:r>
      <w:r w:rsidR="0000130C" w:rsidRPr="00D920DD">
        <w:rPr>
          <w:rFonts w:eastAsia="Times New Roman"/>
        </w:rPr>
        <w:t xml:space="preserve">We have amended this sentence in the revised manuscript as suggested (see </w:t>
      </w:r>
      <w:r w:rsidR="00D920DD" w:rsidRPr="00D920DD">
        <w:rPr>
          <w:rFonts w:eastAsia="Times New Roman"/>
        </w:rPr>
        <w:t>line 25-27</w:t>
      </w:r>
      <w:r w:rsidR="0000130C" w:rsidRPr="00D920DD">
        <w:rPr>
          <w:rFonts w:eastAsia="Times New Roman"/>
        </w:rPr>
        <w:t>):</w:t>
      </w:r>
    </w:p>
    <w:p w14:paraId="2E4099B1" w14:textId="7F54F79C" w:rsidR="0000130C" w:rsidRDefault="0000130C" w:rsidP="00B6276F">
      <w:pPr>
        <w:pStyle w:val="NormalWeb"/>
        <w:spacing w:line="276" w:lineRule="auto"/>
        <w:ind w:left="720" w:hanging="720"/>
        <w:jc w:val="both"/>
        <w:rPr>
          <w:rFonts w:eastAsia="Times New Roman"/>
        </w:rPr>
      </w:pPr>
    </w:p>
    <w:p w14:paraId="79AC137B" w14:textId="6D876EF3" w:rsidR="0000130C" w:rsidRPr="0000130C" w:rsidRDefault="0000130C" w:rsidP="00B6276F">
      <w:pPr>
        <w:pStyle w:val="NormalWeb"/>
        <w:spacing w:line="276" w:lineRule="auto"/>
        <w:ind w:left="720" w:hanging="720"/>
        <w:jc w:val="both"/>
        <w:rPr>
          <w:rFonts w:eastAsia="Times New Roman"/>
          <w:i/>
          <w:iCs/>
        </w:rPr>
      </w:pPr>
      <w:r>
        <w:rPr>
          <w:rFonts w:eastAsia="Times New Roman"/>
        </w:rPr>
        <w:tab/>
      </w:r>
      <w:r w:rsidRPr="0000130C">
        <w:rPr>
          <w:rFonts w:eastAsia="Times New Roman"/>
          <w:i/>
          <w:iCs/>
        </w:rPr>
        <w:t>This was ‘in-play’ during the Power 5 period (the last five minutes of each quarter), providing an opportunity for teams to gain two goals from the ‘outer’ (</w:t>
      </w:r>
      <w:proofErr w:type="gramStart"/>
      <w:r w:rsidRPr="0000130C">
        <w:rPr>
          <w:rFonts w:eastAsia="Times New Roman"/>
          <w:i/>
          <w:iCs/>
        </w:rPr>
        <w:t>i.e.</w:t>
      </w:r>
      <w:proofErr w:type="gramEnd"/>
      <w:r w:rsidRPr="0000130C">
        <w:rPr>
          <w:rFonts w:eastAsia="Times New Roman"/>
          <w:i/>
          <w:iCs/>
        </w:rPr>
        <w:t xml:space="preserve"> 3.0m-4.9m) circle instead of only one goal as before from the inner (i.e. 0m-3.0m) circle.</w:t>
      </w:r>
    </w:p>
    <w:p w14:paraId="21D71785" w14:textId="53AE0A47" w:rsidR="00B6276F" w:rsidRDefault="00B6276F" w:rsidP="00B6276F">
      <w:pPr>
        <w:pStyle w:val="NormalWeb"/>
        <w:spacing w:line="276" w:lineRule="auto"/>
        <w:ind w:left="720" w:hanging="720"/>
        <w:jc w:val="both"/>
        <w:rPr>
          <w:rFonts w:eastAsia="Times New Roman"/>
        </w:rPr>
      </w:pPr>
    </w:p>
    <w:p w14:paraId="19095B95" w14:textId="6064F730" w:rsidR="00B6276F" w:rsidRPr="002406EF" w:rsidRDefault="00B6276F" w:rsidP="00B6276F">
      <w:pPr>
        <w:pStyle w:val="NormalWeb"/>
        <w:spacing w:line="276" w:lineRule="auto"/>
        <w:ind w:left="720" w:hanging="720"/>
        <w:jc w:val="both"/>
        <w:rPr>
          <w:rFonts w:eastAsia="Times New Roman"/>
          <w:b/>
        </w:rPr>
      </w:pPr>
      <w:r w:rsidRPr="002406EF">
        <w:rPr>
          <w:rFonts w:eastAsia="Times New Roman"/>
          <w:b/>
          <w:u w:val="single"/>
        </w:rPr>
        <w:t>C1.</w:t>
      </w:r>
      <w:r>
        <w:rPr>
          <w:rFonts w:eastAsia="Times New Roman"/>
          <w:b/>
          <w:u w:val="single"/>
        </w:rPr>
        <w:t>9</w:t>
      </w:r>
      <w:r w:rsidRPr="002406EF">
        <w:rPr>
          <w:rFonts w:eastAsia="Times New Roman"/>
          <w:b/>
          <w:u w:val="single"/>
        </w:rPr>
        <w:t>:</w:t>
      </w:r>
      <w:r w:rsidRPr="002406EF">
        <w:rPr>
          <w:rFonts w:eastAsia="Times New Roman"/>
          <w:b/>
        </w:rPr>
        <w:tab/>
      </w:r>
      <w:r w:rsidRPr="00B6276F">
        <w:rPr>
          <w:rFonts w:eastAsia="Times New Roman"/>
          <w:b/>
        </w:rPr>
        <w:t>Some pages have single, upper right, page numbers which disagree with the format Page x of y.  Remove superfluous page numbers.</w:t>
      </w:r>
    </w:p>
    <w:p w14:paraId="170B2811" w14:textId="77777777" w:rsidR="00B6276F" w:rsidRPr="002406EF" w:rsidRDefault="00B6276F" w:rsidP="00B6276F">
      <w:pPr>
        <w:pStyle w:val="NormalWeb"/>
        <w:spacing w:line="276" w:lineRule="auto"/>
        <w:ind w:left="720" w:hanging="720"/>
        <w:jc w:val="both"/>
        <w:rPr>
          <w:rFonts w:eastAsia="Times New Roman"/>
          <w:b/>
        </w:rPr>
      </w:pPr>
    </w:p>
    <w:p w14:paraId="65ED83C5" w14:textId="03EE4D9E" w:rsidR="00B6276F" w:rsidRPr="002406EF" w:rsidRDefault="00B6276F" w:rsidP="00F66CBC">
      <w:pPr>
        <w:pStyle w:val="NormalWeb"/>
        <w:spacing w:line="276" w:lineRule="auto"/>
        <w:ind w:left="720" w:hanging="720"/>
        <w:jc w:val="both"/>
        <w:rPr>
          <w:rFonts w:eastAsia="Times New Roman"/>
        </w:rPr>
      </w:pPr>
      <w:r w:rsidRPr="002406EF">
        <w:rPr>
          <w:rFonts w:eastAsia="Times New Roman"/>
          <w:u w:val="single"/>
        </w:rPr>
        <w:t>R1.</w:t>
      </w:r>
      <w:r>
        <w:rPr>
          <w:rFonts w:eastAsia="Times New Roman"/>
          <w:u w:val="single"/>
        </w:rPr>
        <w:t>9</w:t>
      </w:r>
      <w:r w:rsidRPr="002406EF">
        <w:rPr>
          <w:rFonts w:eastAsia="Times New Roman"/>
          <w:u w:val="single"/>
        </w:rPr>
        <w:t>:</w:t>
      </w:r>
      <w:r w:rsidRPr="002406EF">
        <w:rPr>
          <w:rFonts w:eastAsia="Times New Roman"/>
        </w:rPr>
        <w:tab/>
      </w:r>
      <w:r w:rsidR="006806DF">
        <w:rPr>
          <w:rFonts w:eastAsia="Times New Roman"/>
        </w:rPr>
        <w:t>We believe the additional page (</w:t>
      </w:r>
      <w:proofErr w:type="gramStart"/>
      <w:r w:rsidR="006806DF">
        <w:rPr>
          <w:rFonts w:eastAsia="Times New Roman"/>
        </w:rPr>
        <w:t>i.e.</w:t>
      </w:r>
      <w:proofErr w:type="gramEnd"/>
      <w:r w:rsidR="006806DF">
        <w:rPr>
          <w:rFonts w:eastAsia="Times New Roman"/>
        </w:rPr>
        <w:t xml:space="preserve"> those listed as </w:t>
      </w:r>
      <w:r w:rsidR="006806DF" w:rsidRPr="006806DF">
        <w:rPr>
          <w:rFonts w:eastAsia="Times New Roman"/>
          <w:i/>
          <w:iCs/>
        </w:rPr>
        <w:t>page X of Y</w:t>
      </w:r>
      <w:r w:rsidR="006806DF">
        <w:rPr>
          <w:rFonts w:eastAsia="Times New Roman"/>
        </w:rPr>
        <w:t xml:space="preserve">) and line numbers are those automatically added by the manuscript submission system. Much like our thought process with including the figures in-text, we included our original line and page numbers to hopefully make the review process simpler – particularly given that the line numbers added by the submission system do not necessarily line up with the text. </w:t>
      </w:r>
      <w:r w:rsidR="00F66CBC">
        <w:rPr>
          <w:rFonts w:eastAsia="Times New Roman"/>
        </w:rPr>
        <w:t xml:space="preserve">We have removed the superfluous page numbers from our document, but have </w:t>
      </w:r>
      <w:r w:rsidR="006806DF">
        <w:rPr>
          <w:rFonts w:eastAsia="Times New Roman"/>
        </w:rPr>
        <w:t xml:space="preserve">felt the need to keep </w:t>
      </w:r>
      <w:r w:rsidR="00F66CBC">
        <w:rPr>
          <w:rFonts w:eastAsia="Times New Roman"/>
        </w:rPr>
        <w:t xml:space="preserve">our line numbers present. The reason for this is that </w:t>
      </w:r>
      <w:r w:rsidR="006806DF">
        <w:rPr>
          <w:rFonts w:eastAsia="Times New Roman"/>
        </w:rPr>
        <w:t>throughout this response document we refer to our line numbers</w:t>
      </w:r>
      <w:r w:rsidR="00F66CBC">
        <w:rPr>
          <w:rFonts w:eastAsia="Times New Roman"/>
        </w:rPr>
        <w:t xml:space="preserve"> in directing reviewers to our changes – and we cannot identify the lines generated by the manuscript submission system until the manuscript is submitted.</w:t>
      </w:r>
    </w:p>
    <w:p w14:paraId="0DDB7CFE" w14:textId="6A4E4F6A" w:rsidR="00504188" w:rsidRPr="002406EF" w:rsidRDefault="00504188" w:rsidP="00B60D06">
      <w:pPr>
        <w:pStyle w:val="NormalWeb"/>
        <w:spacing w:line="276" w:lineRule="auto"/>
        <w:jc w:val="both"/>
        <w:rPr>
          <w:rFonts w:eastAsia="Times New Roman"/>
          <w:u w:val="single"/>
        </w:rPr>
      </w:pPr>
    </w:p>
    <w:p w14:paraId="4BFA817B" w14:textId="77777777" w:rsidR="006703CC" w:rsidRPr="002406EF" w:rsidRDefault="006703CC">
      <w:pPr>
        <w:rPr>
          <w:rFonts w:ascii="Times New Roman" w:eastAsia="Times New Roman" w:hAnsi="Times New Roman" w:cs="Times New Roman"/>
          <w:b/>
          <w:sz w:val="24"/>
          <w:szCs w:val="24"/>
          <w:u w:val="single"/>
          <w:lang w:eastAsia="en-AU"/>
        </w:rPr>
      </w:pPr>
      <w:r w:rsidRPr="002406EF">
        <w:rPr>
          <w:rFonts w:eastAsia="Times New Roman"/>
          <w:b/>
          <w:u w:val="single"/>
        </w:rPr>
        <w:br w:type="page"/>
      </w:r>
    </w:p>
    <w:p w14:paraId="7DB396AA" w14:textId="16C74944" w:rsidR="000D7A43" w:rsidRPr="002406EF" w:rsidRDefault="000D7A43" w:rsidP="000D7A43">
      <w:pPr>
        <w:pStyle w:val="NormalWeb"/>
        <w:spacing w:line="276" w:lineRule="auto"/>
        <w:jc w:val="both"/>
        <w:rPr>
          <w:rFonts w:eastAsia="Times New Roman"/>
          <w:b/>
          <w:u w:val="single"/>
        </w:rPr>
      </w:pPr>
      <w:r w:rsidRPr="002406EF">
        <w:rPr>
          <w:rFonts w:eastAsia="Times New Roman"/>
          <w:b/>
          <w:u w:val="single"/>
        </w:rPr>
        <w:lastRenderedPageBreak/>
        <w:t>Reviewer #2</w:t>
      </w:r>
      <w:r w:rsidR="00B6276F">
        <w:rPr>
          <w:rFonts w:eastAsia="Times New Roman"/>
          <w:b/>
          <w:u w:val="single"/>
        </w:rPr>
        <w:t xml:space="preserve"> (Hayden Croft)</w:t>
      </w:r>
    </w:p>
    <w:p w14:paraId="6583D57A" w14:textId="77777777" w:rsidR="00E140B6" w:rsidRPr="002406EF" w:rsidRDefault="00E140B6" w:rsidP="00E140B6">
      <w:pPr>
        <w:pStyle w:val="NormalWeb"/>
        <w:spacing w:line="276" w:lineRule="auto"/>
        <w:jc w:val="both"/>
        <w:rPr>
          <w:rFonts w:eastAsia="Times New Roman"/>
        </w:rPr>
      </w:pPr>
    </w:p>
    <w:p w14:paraId="0DA18BB4" w14:textId="61A1DB47" w:rsidR="00E140B6" w:rsidRPr="002406EF" w:rsidRDefault="00E140B6" w:rsidP="00B6276F">
      <w:pPr>
        <w:pStyle w:val="NormalWeb"/>
        <w:spacing w:line="276" w:lineRule="auto"/>
        <w:ind w:left="720" w:hanging="720"/>
        <w:jc w:val="both"/>
        <w:rPr>
          <w:rFonts w:eastAsia="Times New Roman"/>
          <w:b/>
        </w:rPr>
      </w:pPr>
      <w:r w:rsidRPr="002406EF">
        <w:rPr>
          <w:rFonts w:eastAsia="Times New Roman"/>
          <w:b/>
          <w:u w:val="single"/>
        </w:rPr>
        <w:t>C</w:t>
      </w:r>
      <w:r w:rsidR="00D6475A" w:rsidRPr="002406EF">
        <w:rPr>
          <w:rFonts w:eastAsia="Times New Roman"/>
          <w:b/>
          <w:u w:val="single"/>
        </w:rPr>
        <w:t>2</w:t>
      </w:r>
      <w:r w:rsidRPr="002406EF">
        <w:rPr>
          <w:rFonts w:eastAsia="Times New Roman"/>
          <w:b/>
          <w:u w:val="single"/>
        </w:rPr>
        <w:t>.1:</w:t>
      </w:r>
      <w:r w:rsidRPr="002406EF">
        <w:rPr>
          <w:rFonts w:eastAsia="Times New Roman"/>
          <w:b/>
        </w:rPr>
        <w:tab/>
      </w:r>
      <w:r w:rsidR="00B6276F" w:rsidRPr="00B6276F">
        <w:rPr>
          <w:rFonts w:eastAsia="Times New Roman"/>
          <w:b/>
        </w:rPr>
        <w:t>Line 10: Reword this sentence: “their scoring, but at a cost of more volatile and potentially low</w:t>
      </w:r>
      <w:r w:rsidR="00B6276F">
        <w:rPr>
          <w:rFonts w:eastAsia="Times New Roman"/>
          <w:b/>
        </w:rPr>
        <w:t xml:space="preserve"> </w:t>
      </w:r>
      <w:r w:rsidR="00B6276F" w:rsidRPr="00B6276F">
        <w:rPr>
          <w:rFonts w:eastAsia="Times New Roman"/>
          <w:b/>
        </w:rPr>
        <w:t>scoring.” Doesn’t quite make sense to me.</w:t>
      </w:r>
    </w:p>
    <w:p w14:paraId="09793ED4" w14:textId="77777777" w:rsidR="00E140B6" w:rsidRPr="002406EF" w:rsidRDefault="00E140B6" w:rsidP="00E140B6">
      <w:pPr>
        <w:pStyle w:val="NormalWeb"/>
        <w:spacing w:line="276" w:lineRule="auto"/>
        <w:ind w:left="720" w:hanging="720"/>
        <w:jc w:val="both"/>
        <w:rPr>
          <w:rFonts w:eastAsia="Times New Roman"/>
          <w:b/>
        </w:rPr>
      </w:pPr>
    </w:p>
    <w:p w14:paraId="0B6BF49B" w14:textId="408D7826" w:rsidR="00E140B6" w:rsidRDefault="00E140B6" w:rsidP="00E140B6">
      <w:pPr>
        <w:pStyle w:val="NormalWeb"/>
        <w:spacing w:line="276" w:lineRule="auto"/>
        <w:ind w:left="720" w:hanging="720"/>
        <w:jc w:val="both"/>
        <w:rPr>
          <w:rFonts w:eastAsia="Times New Roman"/>
        </w:rPr>
      </w:pPr>
      <w:r w:rsidRPr="002406EF">
        <w:rPr>
          <w:rFonts w:eastAsia="Times New Roman"/>
          <w:u w:val="single"/>
        </w:rPr>
        <w:t>R</w:t>
      </w:r>
      <w:r w:rsidR="00D6475A" w:rsidRPr="002406EF">
        <w:rPr>
          <w:rFonts w:eastAsia="Times New Roman"/>
          <w:u w:val="single"/>
        </w:rPr>
        <w:t>2</w:t>
      </w:r>
      <w:r w:rsidRPr="002406EF">
        <w:rPr>
          <w:rFonts w:eastAsia="Times New Roman"/>
          <w:u w:val="single"/>
        </w:rPr>
        <w:t>.1:</w:t>
      </w:r>
      <w:r w:rsidRPr="002406EF">
        <w:rPr>
          <w:rFonts w:eastAsia="Times New Roman"/>
        </w:rPr>
        <w:tab/>
      </w:r>
      <w:r w:rsidR="0088249A" w:rsidRPr="00D920DD">
        <w:rPr>
          <w:rFonts w:eastAsia="Times New Roman"/>
        </w:rPr>
        <w:t xml:space="preserve">We have attempted to improve the clarity of this sentence in the abstract (see </w:t>
      </w:r>
      <w:r w:rsidR="00D920DD" w:rsidRPr="00D920DD">
        <w:rPr>
          <w:rFonts w:eastAsia="Times New Roman"/>
        </w:rPr>
        <w:t>line 8-11</w:t>
      </w:r>
      <w:r w:rsidR="0088249A" w:rsidRPr="00D920DD">
        <w:rPr>
          <w:rFonts w:eastAsia="Times New Roman"/>
        </w:rPr>
        <w:t>):</w:t>
      </w:r>
    </w:p>
    <w:p w14:paraId="5500E310" w14:textId="1E13CDBB" w:rsidR="0088249A" w:rsidRDefault="0088249A" w:rsidP="00E140B6">
      <w:pPr>
        <w:pStyle w:val="NormalWeb"/>
        <w:spacing w:line="276" w:lineRule="auto"/>
        <w:ind w:left="720" w:hanging="720"/>
        <w:jc w:val="both"/>
        <w:rPr>
          <w:rFonts w:eastAsia="Times New Roman"/>
        </w:rPr>
      </w:pPr>
    </w:p>
    <w:p w14:paraId="78C84E81" w14:textId="37256ECD" w:rsidR="0088249A" w:rsidRPr="0088249A" w:rsidRDefault="0088249A" w:rsidP="0088249A">
      <w:pPr>
        <w:pStyle w:val="NormalWeb"/>
        <w:spacing w:line="276" w:lineRule="auto"/>
        <w:ind w:left="720"/>
        <w:jc w:val="both"/>
        <w:rPr>
          <w:rFonts w:eastAsia="Times New Roman"/>
          <w:i/>
          <w:iCs/>
        </w:rPr>
      </w:pPr>
      <w:r w:rsidRPr="0088249A">
        <w:rPr>
          <w:rFonts w:eastAsia="Times New Roman"/>
          <w:i/>
          <w:iCs/>
        </w:rPr>
        <w:t xml:space="preserve">A greater tendency for attempting Super Shots was a </w:t>
      </w:r>
      <w:proofErr w:type="spellStart"/>
      <w:r w:rsidRPr="0088249A">
        <w:rPr>
          <w:rFonts w:eastAsia="Times New Roman"/>
          <w:i/>
          <w:iCs/>
        </w:rPr>
        <w:t>high-</w:t>
      </w:r>
      <w:proofErr w:type="gramStart"/>
      <w:r w:rsidRPr="0088249A">
        <w:rPr>
          <w:rFonts w:eastAsia="Times New Roman"/>
          <w:i/>
          <w:iCs/>
        </w:rPr>
        <w:t>risk:high</w:t>
      </w:r>
      <w:proofErr w:type="gramEnd"/>
      <w:r w:rsidRPr="0088249A">
        <w:rPr>
          <w:rFonts w:eastAsia="Times New Roman"/>
          <w:i/>
          <w:iCs/>
        </w:rPr>
        <w:t>-reward</w:t>
      </w:r>
      <w:proofErr w:type="spellEnd"/>
      <w:r w:rsidRPr="0088249A">
        <w:rPr>
          <w:rFonts w:eastAsia="Times New Roman"/>
          <w:i/>
          <w:iCs/>
        </w:rPr>
        <w:t xml:space="preserve"> strategy, where this strategy could result in both high and low scoring outcomes (i.e. increased scoring volatility).</w:t>
      </w:r>
    </w:p>
    <w:p w14:paraId="649C494B" w14:textId="77777777" w:rsidR="00E140B6" w:rsidRPr="002406EF" w:rsidRDefault="00E140B6" w:rsidP="00B6276F">
      <w:pPr>
        <w:pStyle w:val="NormalWeb"/>
        <w:spacing w:line="276" w:lineRule="auto"/>
        <w:jc w:val="both"/>
        <w:rPr>
          <w:rFonts w:eastAsia="Times New Roman"/>
          <w:b/>
          <w:u w:val="single"/>
        </w:rPr>
      </w:pPr>
    </w:p>
    <w:p w14:paraId="5AB4B8DC" w14:textId="67DAFD23" w:rsidR="00E140B6" w:rsidRPr="002406EF" w:rsidRDefault="00E140B6" w:rsidP="00B6276F">
      <w:pPr>
        <w:pStyle w:val="NormalWeb"/>
        <w:spacing w:line="276" w:lineRule="auto"/>
        <w:ind w:left="720" w:hanging="720"/>
        <w:jc w:val="both"/>
        <w:rPr>
          <w:rFonts w:eastAsia="Times New Roman"/>
          <w:b/>
        </w:rPr>
      </w:pPr>
      <w:r w:rsidRPr="002406EF">
        <w:rPr>
          <w:rFonts w:eastAsia="Times New Roman"/>
          <w:b/>
          <w:u w:val="single"/>
        </w:rPr>
        <w:t>C</w:t>
      </w:r>
      <w:r w:rsidR="00D6475A" w:rsidRPr="002406EF">
        <w:rPr>
          <w:rFonts w:eastAsia="Times New Roman"/>
          <w:b/>
          <w:u w:val="single"/>
        </w:rPr>
        <w:t>2</w:t>
      </w:r>
      <w:r w:rsidRPr="002406EF">
        <w:rPr>
          <w:rFonts w:eastAsia="Times New Roman"/>
          <w:b/>
          <w:u w:val="single"/>
        </w:rPr>
        <w:t>.2:</w:t>
      </w:r>
      <w:r w:rsidRPr="002406EF">
        <w:rPr>
          <w:rFonts w:eastAsia="Times New Roman"/>
          <w:b/>
        </w:rPr>
        <w:tab/>
      </w:r>
      <w:r w:rsidR="00B6276F" w:rsidRPr="00B6276F">
        <w:rPr>
          <w:rFonts w:eastAsia="Times New Roman"/>
          <w:b/>
        </w:rPr>
        <w:t>Query: Should 3rd person past tense be used throughout this article? Or is it acceptable to use “We”</w:t>
      </w:r>
      <w:r w:rsidR="00B6276F">
        <w:rPr>
          <w:rFonts w:eastAsia="Times New Roman"/>
          <w:b/>
        </w:rPr>
        <w:t xml:space="preserve"> </w:t>
      </w:r>
      <w:r w:rsidR="00B6276F" w:rsidRPr="00B6276F">
        <w:rPr>
          <w:rFonts w:eastAsia="Times New Roman"/>
          <w:b/>
        </w:rPr>
        <w:t>throughout?</w:t>
      </w:r>
      <w:r w:rsidR="00D6475A" w:rsidRPr="002406EF">
        <w:rPr>
          <w:rFonts w:eastAsia="Times New Roman"/>
          <w:b/>
        </w:rPr>
        <w:t xml:space="preserve"> </w:t>
      </w:r>
      <w:r w:rsidRPr="002406EF">
        <w:rPr>
          <w:rFonts w:eastAsia="Times New Roman"/>
          <w:b/>
        </w:rPr>
        <w:t xml:space="preserve">  </w:t>
      </w:r>
    </w:p>
    <w:p w14:paraId="6224AF01" w14:textId="77777777" w:rsidR="00E140B6" w:rsidRPr="002406EF" w:rsidRDefault="00E140B6" w:rsidP="00E140B6">
      <w:pPr>
        <w:pStyle w:val="NormalWeb"/>
        <w:spacing w:line="276" w:lineRule="auto"/>
        <w:ind w:left="720" w:hanging="720"/>
        <w:jc w:val="both"/>
        <w:rPr>
          <w:rFonts w:eastAsia="Times New Roman"/>
          <w:b/>
        </w:rPr>
      </w:pPr>
    </w:p>
    <w:p w14:paraId="345AA676" w14:textId="3A1284EA" w:rsidR="00E140B6" w:rsidRPr="002406EF" w:rsidRDefault="00E140B6" w:rsidP="00E140B6">
      <w:pPr>
        <w:pStyle w:val="NormalWeb"/>
        <w:spacing w:line="276" w:lineRule="auto"/>
        <w:ind w:left="720" w:hanging="720"/>
        <w:jc w:val="both"/>
        <w:rPr>
          <w:rFonts w:eastAsia="Times New Roman"/>
        </w:rPr>
      </w:pPr>
      <w:r w:rsidRPr="002406EF">
        <w:rPr>
          <w:rFonts w:eastAsia="Times New Roman"/>
          <w:u w:val="single"/>
        </w:rPr>
        <w:t>R</w:t>
      </w:r>
      <w:r w:rsidR="00D6475A" w:rsidRPr="002406EF">
        <w:rPr>
          <w:rFonts w:eastAsia="Times New Roman"/>
          <w:u w:val="single"/>
        </w:rPr>
        <w:t>2</w:t>
      </w:r>
      <w:r w:rsidRPr="002406EF">
        <w:rPr>
          <w:rFonts w:eastAsia="Times New Roman"/>
          <w:u w:val="single"/>
        </w:rPr>
        <w:t>.2:</w:t>
      </w:r>
      <w:r w:rsidRPr="002406EF">
        <w:rPr>
          <w:rFonts w:eastAsia="Times New Roman"/>
        </w:rPr>
        <w:tab/>
      </w:r>
      <w:r w:rsidR="00BD7FE6">
        <w:rPr>
          <w:rFonts w:eastAsia="Times New Roman"/>
        </w:rPr>
        <w:t xml:space="preserve">Our preference is to use active language throughout the paper as we believe this is easier to </w:t>
      </w:r>
      <w:r w:rsidR="007D24DC">
        <w:rPr>
          <w:rFonts w:eastAsia="Times New Roman"/>
        </w:rPr>
        <w:t>follow for readers. We have not made any changes in this context with the revised manuscript – but are open to guidance from the journal editors should changes be required.</w:t>
      </w:r>
    </w:p>
    <w:p w14:paraId="326B3FBA" w14:textId="77777777" w:rsidR="00E140B6" w:rsidRPr="002406EF" w:rsidRDefault="00E140B6" w:rsidP="00E140B6">
      <w:pPr>
        <w:pStyle w:val="NormalWeb"/>
        <w:spacing w:line="276" w:lineRule="auto"/>
        <w:jc w:val="both"/>
        <w:rPr>
          <w:rFonts w:eastAsia="Times New Roman"/>
          <w:u w:val="single"/>
        </w:rPr>
      </w:pPr>
    </w:p>
    <w:p w14:paraId="57789DFB" w14:textId="28D24CFC" w:rsidR="00E140B6" w:rsidRPr="002406EF" w:rsidRDefault="00E140B6" w:rsidP="00B6276F">
      <w:pPr>
        <w:pStyle w:val="NormalWeb"/>
        <w:spacing w:line="276" w:lineRule="auto"/>
        <w:ind w:left="720" w:hanging="720"/>
        <w:jc w:val="both"/>
        <w:rPr>
          <w:rFonts w:eastAsia="Times New Roman"/>
          <w:b/>
        </w:rPr>
      </w:pPr>
      <w:r w:rsidRPr="002406EF">
        <w:rPr>
          <w:rFonts w:eastAsia="Times New Roman"/>
          <w:b/>
          <w:u w:val="single"/>
        </w:rPr>
        <w:t>C</w:t>
      </w:r>
      <w:r w:rsidR="00D6475A" w:rsidRPr="002406EF">
        <w:rPr>
          <w:rFonts w:eastAsia="Times New Roman"/>
          <w:b/>
          <w:u w:val="single"/>
        </w:rPr>
        <w:t>2</w:t>
      </w:r>
      <w:r w:rsidRPr="002406EF">
        <w:rPr>
          <w:rFonts w:eastAsia="Times New Roman"/>
          <w:b/>
          <w:u w:val="single"/>
        </w:rPr>
        <w:t>.3:</w:t>
      </w:r>
      <w:r w:rsidRPr="002406EF">
        <w:rPr>
          <w:rFonts w:eastAsia="Times New Roman"/>
          <w:b/>
        </w:rPr>
        <w:tab/>
      </w:r>
      <w:bookmarkStart w:id="0" w:name="_Hlk124770704"/>
      <w:r w:rsidR="00B6276F" w:rsidRPr="00B6276F">
        <w:rPr>
          <w:rFonts w:eastAsia="Times New Roman"/>
          <w:b/>
        </w:rPr>
        <w:t>Methods: There is not equipment section or reference to software used outside of the</w:t>
      </w:r>
      <w:r w:rsidR="00B6276F">
        <w:rPr>
          <w:rFonts w:eastAsia="Times New Roman"/>
          <w:b/>
        </w:rPr>
        <w:t xml:space="preserve"> </w:t>
      </w:r>
      <w:r w:rsidR="00B6276F" w:rsidRPr="00B6276F">
        <w:rPr>
          <w:rFonts w:eastAsia="Times New Roman"/>
          <w:b/>
        </w:rPr>
        <w:t>{</w:t>
      </w:r>
      <w:proofErr w:type="spellStart"/>
      <w:r w:rsidR="00B6276F" w:rsidRPr="00B6276F">
        <w:rPr>
          <w:rFonts w:eastAsia="Times New Roman"/>
          <w:b/>
        </w:rPr>
        <w:t>SuperNetballR</w:t>
      </w:r>
      <w:proofErr w:type="spellEnd"/>
      <w:r w:rsidR="00B6276F" w:rsidRPr="00B6276F">
        <w:rPr>
          <w:rFonts w:eastAsia="Times New Roman"/>
          <w:b/>
        </w:rPr>
        <w:t>} package. What is this run with and how are the simulations run. As this is a Sport</w:t>
      </w:r>
      <w:r w:rsidR="00B6276F">
        <w:rPr>
          <w:rFonts w:eastAsia="Times New Roman"/>
          <w:b/>
        </w:rPr>
        <w:t xml:space="preserve"> </w:t>
      </w:r>
      <w:r w:rsidR="00B6276F" w:rsidRPr="00B6276F">
        <w:rPr>
          <w:rFonts w:eastAsia="Times New Roman"/>
          <w:b/>
        </w:rPr>
        <w:t>Science and Coaching journal better descriptions are needed.</w:t>
      </w:r>
      <w:bookmarkEnd w:id="0"/>
    </w:p>
    <w:p w14:paraId="4951971A" w14:textId="77777777" w:rsidR="00E140B6" w:rsidRPr="002406EF" w:rsidRDefault="00E140B6" w:rsidP="00E140B6">
      <w:pPr>
        <w:pStyle w:val="NormalWeb"/>
        <w:spacing w:line="276" w:lineRule="auto"/>
        <w:ind w:left="720" w:hanging="720"/>
        <w:jc w:val="both"/>
        <w:rPr>
          <w:rFonts w:eastAsia="Times New Roman"/>
          <w:b/>
        </w:rPr>
      </w:pPr>
    </w:p>
    <w:p w14:paraId="613D8C87" w14:textId="03A5030B" w:rsidR="00E731B6" w:rsidRDefault="00E140B6" w:rsidP="007D24DC">
      <w:pPr>
        <w:pStyle w:val="NormalWeb"/>
        <w:spacing w:line="276" w:lineRule="auto"/>
        <w:ind w:left="720" w:hanging="720"/>
        <w:jc w:val="both"/>
        <w:rPr>
          <w:rFonts w:eastAsia="Times New Roman"/>
        </w:rPr>
      </w:pPr>
      <w:r w:rsidRPr="002406EF">
        <w:rPr>
          <w:rFonts w:eastAsia="Times New Roman"/>
          <w:u w:val="single"/>
        </w:rPr>
        <w:t>R</w:t>
      </w:r>
      <w:r w:rsidR="00D6475A" w:rsidRPr="002406EF">
        <w:rPr>
          <w:rFonts w:eastAsia="Times New Roman"/>
          <w:u w:val="single"/>
        </w:rPr>
        <w:t>2</w:t>
      </w:r>
      <w:r w:rsidRPr="002406EF">
        <w:rPr>
          <w:rFonts w:eastAsia="Times New Roman"/>
          <w:u w:val="single"/>
        </w:rPr>
        <w:t>.3:</w:t>
      </w:r>
      <w:r w:rsidRPr="002406EF">
        <w:rPr>
          <w:rFonts w:eastAsia="Times New Roman"/>
        </w:rPr>
        <w:tab/>
      </w:r>
      <w:r w:rsidR="007D24DC">
        <w:rPr>
          <w:rFonts w:eastAsia="Times New Roman"/>
        </w:rPr>
        <w:t xml:space="preserve">All analyses and simulations were conducted using custom Python scripts. We have </w:t>
      </w:r>
      <w:r w:rsidR="007D24DC" w:rsidRPr="00D920DD">
        <w:rPr>
          <w:rFonts w:eastAsia="Times New Roman"/>
        </w:rPr>
        <w:t xml:space="preserve">included a sentence at the beginning of the Data Analysis section (see </w:t>
      </w:r>
      <w:r w:rsidR="00D920DD" w:rsidRPr="00D920DD">
        <w:rPr>
          <w:rFonts w:eastAsia="Times New Roman"/>
        </w:rPr>
        <w:t>line 62</w:t>
      </w:r>
      <w:r w:rsidR="007D24DC" w:rsidRPr="00D920DD">
        <w:rPr>
          <w:rFonts w:eastAsia="Times New Roman"/>
        </w:rPr>
        <w:t>) flagging</w:t>
      </w:r>
      <w:r w:rsidR="007D24DC">
        <w:rPr>
          <w:rFonts w:eastAsia="Times New Roman"/>
        </w:rPr>
        <w:t xml:space="preserve"> this. A number of Python packages were used throughout these scripts. Our feeling is that listing </w:t>
      </w:r>
      <w:proofErr w:type="gramStart"/>
      <w:r w:rsidR="007D24DC">
        <w:rPr>
          <w:rFonts w:eastAsia="Times New Roman"/>
        </w:rPr>
        <w:t>all of</w:t>
      </w:r>
      <w:proofErr w:type="gramEnd"/>
      <w:r w:rsidR="007D24DC">
        <w:rPr>
          <w:rFonts w:eastAsia="Times New Roman"/>
        </w:rPr>
        <w:t xml:space="preserve"> the included packages is unnecessary – but are open to any further comments on inclusions to assist with an understanding of the analytical process. </w:t>
      </w:r>
    </w:p>
    <w:p w14:paraId="5CB7F14A" w14:textId="77777777" w:rsidR="00B6276F" w:rsidRPr="002406EF" w:rsidRDefault="00B6276F" w:rsidP="00B6276F">
      <w:pPr>
        <w:pStyle w:val="NormalWeb"/>
        <w:spacing w:line="276" w:lineRule="auto"/>
        <w:ind w:left="720" w:hanging="720"/>
        <w:jc w:val="both"/>
        <w:rPr>
          <w:rFonts w:eastAsia="Times New Roman"/>
          <w:b/>
          <w:bCs/>
        </w:rPr>
      </w:pPr>
    </w:p>
    <w:p w14:paraId="35999DFA" w14:textId="0019C0A3" w:rsidR="00F9689F" w:rsidRPr="00B6276F" w:rsidRDefault="00B6276F" w:rsidP="00B6276F">
      <w:pPr>
        <w:pStyle w:val="NormalWeb"/>
        <w:spacing w:line="276" w:lineRule="auto"/>
        <w:ind w:left="720" w:hanging="720"/>
        <w:jc w:val="both"/>
        <w:rPr>
          <w:rFonts w:eastAsia="Times New Roman"/>
          <w:b/>
          <w:bCs/>
        </w:rPr>
      </w:pPr>
      <w:r>
        <w:rPr>
          <w:rFonts w:eastAsia="Times New Roman"/>
          <w:b/>
          <w:bCs/>
          <w:u w:val="single"/>
        </w:rPr>
        <w:t>C</w:t>
      </w:r>
      <w:r w:rsidR="008D2670" w:rsidRPr="002406EF">
        <w:rPr>
          <w:rFonts w:eastAsia="Times New Roman"/>
          <w:b/>
          <w:bCs/>
          <w:u w:val="single"/>
        </w:rPr>
        <w:t>2.4:</w:t>
      </w:r>
      <w:r w:rsidR="008D2670" w:rsidRPr="002406EF">
        <w:rPr>
          <w:rFonts w:eastAsia="Times New Roman"/>
          <w:b/>
          <w:bCs/>
        </w:rPr>
        <w:tab/>
      </w:r>
      <w:r w:rsidRPr="00B6276F">
        <w:rPr>
          <w:rFonts w:eastAsia="Times New Roman"/>
          <w:b/>
          <w:bCs/>
        </w:rPr>
        <w:t xml:space="preserve">Line 142-7: This title is too </w:t>
      </w:r>
      <w:proofErr w:type="gramStart"/>
      <w:r w:rsidRPr="00B6276F">
        <w:rPr>
          <w:rFonts w:eastAsia="Times New Roman"/>
          <w:b/>
          <w:bCs/>
        </w:rPr>
        <w:t>long,</w:t>
      </w:r>
      <w:proofErr w:type="gramEnd"/>
      <w:r w:rsidRPr="00B6276F">
        <w:rPr>
          <w:rFonts w:eastAsia="Times New Roman"/>
          <w:b/>
          <w:bCs/>
        </w:rPr>
        <w:t xml:space="preserve"> it should only be a sentence and the rest of the title should</w:t>
      </w:r>
      <w:r>
        <w:rPr>
          <w:rFonts w:eastAsia="Times New Roman"/>
          <w:b/>
          <w:bCs/>
        </w:rPr>
        <w:t xml:space="preserve"> </w:t>
      </w:r>
      <w:r w:rsidRPr="00B6276F">
        <w:rPr>
          <w:rFonts w:eastAsia="Times New Roman"/>
          <w:b/>
          <w:bCs/>
        </w:rPr>
        <w:t>go into the body of text.</w:t>
      </w:r>
    </w:p>
    <w:p w14:paraId="614E3DB6" w14:textId="77777777" w:rsidR="00F9689F" w:rsidRPr="002406EF" w:rsidRDefault="00F9689F" w:rsidP="00F9689F">
      <w:pPr>
        <w:pStyle w:val="NormalWeb"/>
        <w:spacing w:line="276" w:lineRule="auto"/>
        <w:ind w:left="720" w:hanging="720"/>
        <w:jc w:val="both"/>
        <w:rPr>
          <w:rFonts w:eastAsia="Times New Roman"/>
          <w:b/>
        </w:rPr>
      </w:pPr>
    </w:p>
    <w:p w14:paraId="4B37A368" w14:textId="22D8CE84" w:rsidR="00E071C0" w:rsidRPr="002406EF" w:rsidRDefault="00F9689F" w:rsidP="00F9689F">
      <w:pPr>
        <w:pStyle w:val="NormalWeb"/>
        <w:spacing w:line="276" w:lineRule="auto"/>
        <w:ind w:left="720" w:hanging="720"/>
        <w:jc w:val="both"/>
        <w:rPr>
          <w:rFonts w:eastAsia="Times New Roman"/>
        </w:rPr>
      </w:pPr>
      <w:r w:rsidRPr="002406EF">
        <w:rPr>
          <w:rFonts w:eastAsia="Times New Roman"/>
          <w:u w:val="single"/>
        </w:rPr>
        <w:t>R2.4:</w:t>
      </w:r>
      <w:r w:rsidRPr="002406EF">
        <w:rPr>
          <w:rFonts w:eastAsia="Times New Roman"/>
        </w:rPr>
        <w:tab/>
      </w:r>
      <w:r w:rsidR="007D24DC">
        <w:rPr>
          <w:rFonts w:eastAsia="Times New Roman"/>
        </w:rPr>
        <w:t xml:space="preserve">We have removed the final sentence of the caption for Figure 2 and placed in the main body of the text in the revised </w:t>
      </w:r>
      <w:r w:rsidR="007D24DC" w:rsidRPr="00D920DD">
        <w:rPr>
          <w:rFonts w:eastAsia="Times New Roman"/>
        </w:rPr>
        <w:t>manuscript</w:t>
      </w:r>
      <w:r w:rsidR="00953EB5" w:rsidRPr="00D920DD">
        <w:rPr>
          <w:rFonts w:eastAsia="Times New Roman"/>
        </w:rPr>
        <w:t xml:space="preserve"> (see </w:t>
      </w:r>
      <w:r w:rsidR="00D920DD" w:rsidRPr="00D920DD">
        <w:rPr>
          <w:rFonts w:eastAsia="Times New Roman"/>
        </w:rPr>
        <w:t>line 145-149</w:t>
      </w:r>
      <w:r w:rsidR="00953EB5" w:rsidRPr="00D920DD">
        <w:rPr>
          <w:rFonts w:eastAsia="Times New Roman"/>
        </w:rPr>
        <w:t>).</w:t>
      </w:r>
      <w:r w:rsidR="00953EB5">
        <w:rPr>
          <w:rFonts w:eastAsia="Times New Roman"/>
        </w:rPr>
        <w:t xml:space="preserve"> We made the decision, however, to keep the descriptive detail of what the various points, lines and shaded regions represent in the figure captions. It is our perspective that, while long, this added information will assist readers in understanding the complexities of these detailed figures.</w:t>
      </w:r>
    </w:p>
    <w:p w14:paraId="1B9C9566" w14:textId="77777777" w:rsidR="00B6276F" w:rsidRDefault="00B6276F" w:rsidP="008D2670">
      <w:pPr>
        <w:pStyle w:val="NormalWeb"/>
        <w:spacing w:line="276" w:lineRule="auto"/>
        <w:ind w:left="720" w:hanging="720"/>
        <w:jc w:val="both"/>
        <w:rPr>
          <w:rFonts w:eastAsia="Times New Roman"/>
          <w:b/>
          <w:bCs/>
          <w:u w:val="single"/>
        </w:rPr>
      </w:pPr>
    </w:p>
    <w:p w14:paraId="7A6D7F14" w14:textId="4EC3B5D9" w:rsidR="008D2670" w:rsidRPr="002406EF" w:rsidRDefault="00B6276F" w:rsidP="00B6276F">
      <w:pPr>
        <w:pStyle w:val="NormalWeb"/>
        <w:spacing w:line="276" w:lineRule="auto"/>
        <w:ind w:left="720" w:hanging="720"/>
        <w:jc w:val="both"/>
        <w:rPr>
          <w:rFonts w:eastAsia="Times New Roman"/>
          <w:b/>
          <w:bCs/>
        </w:rPr>
      </w:pPr>
      <w:bookmarkStart w:id="1" w:name="_Hlk124770747"/>
      <w:r>
        <w:rPr>
          <w:rFonts w:eastAsia="Times New Roman"/>
          <w:b/>
          <w:bCs/>
          <w:u w:val="single"/>
        </w:rPr>
        <w:t>C</w:t>
      </w:r>
      <w:r w:rsidR="00F9689F" w:rsidRPr="002406EF">
        <w:rPr>
          <w:rFonts w:eastAsia="Times New Roman"/>
          <w:b/>
          <w:bCs/>
          <w:u w:val="single"/>
        </w:rPr>
        <w:t>2.5:</w:t>
      </w:r>
      <w:r w:rsidR="00F9689F" w:rsidRPr="002406EF">
        <w:rPr>
          <w:rFonts w:eastAsia="Times New Roman"/>
          <w:b/>
          <w:bCs/>
        </w:rPr>
        <w:tab/>
      </w:r>
      <w:r w:rsidRPr="00B6276F">
        <w:rPr>
          <w:rFonts w:eastAsia="Times New Roman"/>
          <w:b/>
          <w:bCs/>
        </w:rPr>
        <w:t>Line 174 and throughout: “adopting a higher tendency” reword to something like…. Attempting</w:t>
      </w:r>
      <w:r>
        <w:rPr>
          <w:rFonts w:eastAsia="Times New Roman"/>
          <w:b/>
          <w:bCs/>
        </w:rPr>
        <w:t xml:space="preserve"> </w:t>
      </w:r>
      <w:r w:rsidRPr="00B6276F">
        <w:rPr>
          <w:rFonts w:eastAsia="Times New Roman"/>
          <w:b/>
          <w:bCs/>
        </w:rPr>
        <w:t>more shots from….</w:t>
      </w:r>
    </w:p>
    <w:bookmarkEnd w:id="1"/>
    <w:p w14:paraId="61CA31F9" w14:textId="24EC06A9" w:rsidR="0022659D" w:rsidRPr="002406EF" w:rsidRDefault="0022659D" w:rsidP="008D2670">
      <w:pPr>
        <w:pStyle w:val="NormalWeb"/>
        <w:spacing w:line="276" w:lineRule="auto"/>
        <w:ind w:left="720" w:hanging="720"/>
        <w:jc w:val="both"/>
        <w:rPr>
          <w:rFonts w:eastAsia="Times New Roman"/>
        </w:rPr>
      </w:pPr>
    </w:p>
    <w:p w14:paraId="7C6C6BC2" w14:textId="7E6ED316" w:rsidR="007A448A" w:rsidRDefault="0022659D" w:rsidP="00B6276F">
      <w:pPr>
        <w:pStyle w:val="NormalWeb"/>
        <w:spacing w:line="276" w:lineRule="auto"/>
        <w:ind w:left="720" w:hanging="720"/>
        <w:jc w:val="both"/>
        <w:rPr>
          <w:rFonts w:eastAsia="Times New Roman"/>
        </w:rPr>
      </w:pPr>
      <w:r w:rsidRPr="002406EF">
        <w:rPr>
          <w:rFonts w:eastAsia="Times New Roman"/>
          <w:u w:val="single"/>
        </w:rPr>
        <w:t>R2.5:</w:t>
      </w:r>
      <w:r w:rsidRPr="002406EF">
        <w:rPr>
          <w:rFonts w:eastAsia="Times New Roman"/>
        </w:rPr>
        <w:tab/>
      </w:r>
      <w:r w:rsidR="00953EB5">
        <w:rPr>
          <w:rFonts w:eastAsia="Times New Roman"/>
        </w:rPr>
        <w:t xml:space="preserve">We have purposefully been careful with the wording around </w:t>
      </w:r>
      <w:r w:rsidR="00953EB5" w:rsidRPr="00953EB5">
        <w:rPr>
          <w:rFonts w:eastAsia="Times New Roman"/>
          <w:i/>
          <w:iCs/>
        </w:rPr>
        <w:t>attempting more shots</w:t>
      </w:r>
      <w:r w:rsidR="00953EB5">
        <w:rPr>
          <w:rFonts w:eastAsia="Times New Roman"/>
        </w:rPr>
        <w:t xml:space="preserve"> when discussing the </w:t>
      </w:r>
      <w:r w:rsidR="009F7A3A">
        <w:rPr>
          <w:rFonts w:eastAsia="Times New Roman"/>
        </w:rPr>
        <w:t>simulated</w:t>
      </w:r>
      <w:r w:rsidR="00953EB5">
        <w:rPr>
          <w:rFonts w:eastAsia="Times New Roman"/>
        </w:rPr>
        <w:t xml:space="preserve"> Super Shot strategies as this was not exactly what the </w:t>
      </w:r>
      <w:r w:rsidR="00953EB5" w:rsidRPr="00331224">
        <w:rPr>
          <w:rFonts w:eastAsia="Times New Roman"/>
        </w:rPr>
        <w:lastRenderedPageBreak/>
        <w:t xml:space="preserve">simulations were programmed to do. As noted in the Data Analysis section (see </w:t>
      </w:r>
      <w:r w:rsidR="00331224" w:rsidRPr="00331224">
        <w:rPr>
          <w:rFonts w:eastAsia="Times New Roman"/>
        </w:rPr>
        <w:t>line 78-87 specifically</w:t>
      </w:r>
      <w:r w:rsidR="00953EB5" w:rsidRPr="00331224">
        <w:rPr>
          <w:rFonts w:eastAsia="Times New Roman"/>
        </w:rPr>
        <w:t>), the decision on whether a Super Shot was/was not attempted was</w:t>
      </w:r>
      <w:r w:rsidR="00953EB5">
        <w:rPr>
          <w:rFonts w:eastAsia="Times New Roman"/>
        </w:rPr>
        <w:t xml:space="preserve"> driven by random number generation – where the chances of a Super Shot being attempted was greater in the higher tendency simulations. In theory (and likely in most cases), we would expect to see a greater number of simulated Super Shots with the </w:t>
      </w:r>
      <w:r w:rsidR="00953EB5" w:rsidRPr="00331224">
        <w:rPr>
          <w:rFonts w:eastAsia="Times New Roman"/>
        </w:rPr>
        <w:t>higher tendencies – but this was not a guarantee (</w:t>
      </w:r>
      <w:proofErr w:type="gramStart"/>
      <w:r w:rsidR="00953EB5" w:rsidRPr="00331224">
        <w:rPr>
          <w:rFonts w:eastAsia="Times New Roman"/>
        </w:rPr>
        <w:t>i.e.</w:t>
      </w:r>
      <w:proofErr w:type="gramEnd"/>
      <w:r w:rsidR="00953EB5" w:rsidRPr="00331224">
        <w:rPr>
          <w:rFonts w:eastAsia="Times New Roman"/>
        </w:rPr>
        <w:t xml:space="preserve"> by random chance there may be simulations where more Super Shots were taken with a lower tendency). Nonetheless, we have included the suggested terminology in this comment alongside our original description to provide this likely practical perspective of what is happening with higher tendencies (see </w:t>
      </w:r>
      <w:r w:rsidR="00331224" w:rsidRPr="00331224">
        <w:rPr>
          <w:rFonts w:eastAsia="Times New Roman"/>
        </w:rPr>
        <w:t>line 162-163</w:t>
      </w:r>
      <w:r w:rsidR="00953EB5" w:rsidRPr="00331224">
        <w:rPr>
          <w:rFonts w:eastAsia="Times New Roman"/>
        </w:rPr>
        <w:t xml:space="preserve"> and </w:t>
      </w:r>
      <w:r w:rsidR="00331224" w:rsidRPr="00331224">
        <w:rPr>
          <w:rFonts w:eastAsia="Times New Roman"/>
        </w:rPr>
        <w:t>177-178</w:t>
      </w:r>
      <w:r w:rsidR="00953EB5" w:rsidRPr="00331224">
        <w:rPr>
          <w:rFonts w:eastAsia="Times New Roman"/>
        </w:rPr>
        <w:t>):</w:t>
      </w:r>
    </w:p>
    <w:p w14:paraId="390604CF" w14:textId="36F35A0B" w:rsidR="00953EB5" w:rsidRDefault="00953EB5" w:rsidP="00B6276F">
      <w:pPr>
        <w:pStyle w:val="NormalWeb"/>
        <w:spacing w:line="276" w:lineRule="auto"/>
        <w:ind w:left="720" w:hanging="720"/>
        <w:jc w:val="both"/>
        <w:rPr>
          <w:rFonts w:eastAsia="Times New Roman"/>
        </w:rPr>
      </w:pPr>
    </w:p>
    <w:p w14:paraId="30D23C40" w14:textId="715D54EE" w:rsidR="00953EB5" w:rsidRDefault="00953EB5" w:rsidP="00B6276F">
      <w:pPr>
        <w:pStyle w:val="NormalWeb"/>
        <w:spacing w:line="276" w:lineRule="auto"/>
        <w:ind w:left="720" w:hanging="720"/>
        <w:jc w:val="both"/>
        <w:rPr>
          <w:rFonts w:eastAsia="Times New Roman"/>
          <w:i/>
          <w:iCs/>
        </w:rPr>
      </w:pPr>
      <w:r>
        <w:rPr>
          <w:rFonts w:eastAsia="Times New Roman"/>
        </w:rPr>
        <w:tab/>
      </w:r>
      <w:r w:rsidRPr="00953EB5">
        <w:rPr>
          <w:rFonts w:eastAsia="Times New Roman"/>
          <w:i/>
          <w:iCs/>
        </w:rPr>
        <w:t>We found that teams can increase their average scoring within Power 5 periods by adopting a higher tendency for taking Super Shots (and typically attempting a greater number of Super Shots) relative to taking none at all.</w:t>
      </w:r>
    </w:p>
    <w:p w14:paraId="249015F0" w14:textId="46A66C2F" w:rsidR="00953EB5" w:rsidRDefault="00953EB5" w:rsidP="00B6276F">
      <w:pPr>
        <w:pStyle w:val="NormalWeb"/>
        <w:spacing w:line="276" w:lineRule="auto"/>
        <w:ind w:left="720" w:hanging="720"/>
        <w:jc w:val="both"/>
        <w:rPr>
          <w:rFonts w:eastAsia="Times New Roman"/>
          <w:i/>
          <w:iCs/>
        </w:rPr>
      </w:pPr>
    </w:p>
    <w:p w14:paraId="7991124D" w14:textId="1E415967" w:rsidR="00953EB5" w:rsidRPr="00953EB5" w:rsidRDefault="00953EB5" w:rsidP="00B6276F">
      <w:pPr>
        <w:pStyle w:val="NormalWeb"/>
        <w:spacing w:line="276" w:lineRule="auto"/>
        <w:ind w:left="720" w:hanging="720"/>
        <w:jc w:val="both"/>
        <w:rPr>
          <w:rFonts w:eastAsia="Times New Roman"/>
          <w:i/>
          <w:iCs/>
        </w:rPr>
      </w:pPr>
      <w:r>
        <w:rPr>
          <w:rFonts w:eastAsia="Times New Roman"/>
          <w:i/>
          <w:iCs/>
        </w:rPr>
        <w:tab/>
      </w:r>
      <w:r w:rsidRPr="00953EB5">
        <w:rPr>
          <w:rFonts w:eastAsia="Times New Roman"/>
          <w:i/>
          <w:iCs/>
        </w:rPr>
        <w:t xml:space="preserve">Our findings suggest that adopting a higher tendency (and typically attempting a greater number of Super Shots) to take Super Shots can elevate a </w:t>
      </w:r>
      <w:proofErr w:type="spellStart"/>
      <w:r w:rsidRPr="00953EB5">
        <w:rPr>
          <w:rFonts w:eastAsia="Times New Roman"/>
          <w:i/>
          <w:iCs/>
        </w:rPr>
        <w:t>teams</w:t>
      </w:r>
      <w:proofErr w:type="spellEnd"/>
      <w:r w:rsidRPr="00953EB5">
        <w:rPr>
          <w:rFonts w:eastAsia="Times New Roman"/>
          <w:i/>
          <w:iCs/>
        </w:rPr>
        <w:t xml:space="preserve"> average scoring in the Power 5 period.</w:t>
      </w:r>
    </w:p>
    <w:p w14:paraId="139B73DB" w14:textId="4DB865CF" w:rsidR="00B6276F" w:rsidRDefault="00B6276F" w:rsidP="00B6276F">
      <w:pPr>
        <w:pStyle w:val="NormalWeb"/>
        <w:spacing w:line="276" w:lineRule="auto"/>
        <w:ind w:left="720" w:hanging="720"/>
        <w:jc w:val="both"/>
        <w:rPr>
          <w:rFonts w:eastAsia="Times New Roman"/>
        </w:rPr>
      </w:pPr>
    </w:p>
    <w:p w14:paraId="5C248587" w14:textId="23378453" w:rsidR="00B6276F" w:rsidRPr="00D436BB" w:rsidRDefault="00B6276F" w:rsidP="00D436BB">
      <w:pPr>
        <w:pStyle w:val="NormalWeb"/>
        <w:spacing w:line="276" w:lineRule="auto"/>
        <w:ind w:left="720" w:hanging="720"/>
        <w:jc w:val="both"/>
        <w:rPr>
          <w:rFonts w:eastAsia="Times New Roman"/>
          <w:b/>
          <w:bCs/>
        </w:rPr>
      </w:pPr>
      <w:bookmarkStart w:id="2" w:name="_Hlk124770756"/>
      <w:r>
        <w:rPr>
          <w:rFonts w:eastAsia="Times New Roman"/>
          <w:b/>
          <w:bCs/>
          <w:u w:val="single"/>
        </w:rPr>
        <w:t>C</w:t>
      </w:r>
      <w:r w:rsidRPr="002406EF">
        <w:rPr>
          <w:rFonts w:eastAsia="Times New Roman"/>
          <w:b/>
          <w:bCs/>
          <w:u w:val="single"/>
        </w:rPr>
        <w:t>2.</w:t>
      </w:r>
      <w:r>
        <w:rPr>
          <w:rFonts w:eastAsia="Times New Roman"/>
          <w:b/>
          <w:bCs/>
          <w:u w:val="single"/>
        </w:rPr>
        <w:t>6</w:t>
      </w:r>
      <w:r w:rsidRPr="002406EF">
        <w:rPr>
          <w:rFonts w:eastAsia="Times New Roman"/>
          <w:b/>
          <w:bCs/>
          <w:u w:val="single"/>
        </w:rPr>
        <w:t>:</w:t>
      </w:r>
      <w:r w:rsidRPr="002406EF">
        <w:rPr>
          <w:rFonts w:eastAsia="Times New Roman"/>
          <w:b/>
          <w:bCs/>
        </w:rPr>
        <w:tab/>
      </w:r>
      <w:r w:rsidRPr="00B6276F">
        <w:rPr>
          <w:rFonts w:eastAsia="Times New Roman"/>
          <w:b/>
          <w:bCs/>
        </w:rPr>
        <w:t>Discussion section: This needs some evaluation of your results against the literature to give context</w:t>
      </w:r>
      <w:r>
        <w:rPr>
          <w:rFonts w:eastAsia="Times New Roman"/>
          <w:b/>
          <w:bCs/>
        </w:rPr>
        <w:t xml:space="preserve"> </w:t>
      </w:r>
      <w:r w:rsidRPr="00B6276F">
        <w:rPr>
          <w:rFonts w:eastAsia="Times New Roman"/>
          <w:b/>
          <w:bCs/>
        </w:rPr>
        <w:t>to the results. It reads like a deeper reporting of the results at times with no comparison to the</w:t>
      </w:r>
      <w:r>
        <w:rPr>
          <w:rFonts w:eastAsia="Times New Roman"/>
          <w:b/>
          <w:bCs/>
        </w:rPr>
        <w:t xml:space="preserve"> </w:t>
      </w:r>
      <w:r w:rsidRPr="00B6276F">
        <w:rPr>
          <w:rFonts w:eastAsia="Times New Roman"/>
          <w:b/>
          <w:bCs/>
        </w:rPr>
        <w:t>wider body of literature.</w:t>
      </w:r>
      <w:bookmarkEnd w:id="2"/>
    </w:p>
    <w:p w14:paraId="36269A74" w14:textId="2A869983" w:rsidR="00B6276F" w:rsidRDefault="00B6276F" w:rsidP="00B6276F">
      <w:pPr>
        <w:pStyle w:val="NormalWeb"/>
        <w:spacing w:line="276" w:lineRule="auto"/>
        <w:ind w:left="720" w:hanging="720"/>
        <w:jc w:val="both"/>
        <w:rPr>
          <w:rFonts w:eastAsia="Times New Roman"/>
        </w:rPr>
      </w:pPr>
    </w:p>
    <w:p w14:paraId="317041E7" w14:textId="04EBF5A1" w:rsidR="00B6276F" w:rsidRPr="002406EF" w:rsidRDefault="00B6276F" w:rsidP="00B6276F">
      <w:pPr>
        <w:pStyle w:val="NormalWeb"/>
        <w:spacing w:line="276" w:lineRule="auto"/>
        <w:ind w:left="720" w:hanging="720"/>
        <w:jc w:val="both"/>
        <w:rPr>
          <w:rFonts w:eastAsia="Times New Roman"/>
          <w:b/>
          <w:bCs/>
        </w:rPr>
      </w:pPr>
      <w:bookmarkStart w:id="3" w:name="_Hlk124770769"/>
      <w:r>
        <w:rPr>
          <w:rFonts w:eastAsia="Times New Roman"/>
          <w:b/>
          <w:bCs/>
          <w:u w:val="single"/>
        </w:rPr>
        <w:t>C</w:t>
      </w:r>
      <w:r w:rsidRPr="002406EF">
        <w:rPr>
          <w:rFonts w:eastAsia="Times New Roman"/>
          <w:b/>
          <w:bCs/>
          <w:u w:val="single"/>
        </w:rPr>
        <w:t>2.</w:t>
      </w:r>
      <w:r>
        <w:rPr>
          <w:rFonts w:eastAsia="Times New Roman"/>
          <w:b/>
          <w:bCs/>
          <w:u w:val="single"/>
        </w:rPr>
        <w:t>7</w:t>
      </w:r>
      <w:r w:rsidRPr="002406EF">
        <w:rPr>
          <w:rFonts w:eastAsia="Times New Roman"/>
          <w:b/>
          <w:bCs/>
          <w:u w:val="single"/>
        </w:rPr>
        <w:t>:</w:t>
      </w:r>
      <w:r w:rsidRPr="002406EF">
        <w:rPr>
          <w:rFonts w:eastAsia="Times New Roman"/>
          <w:b/>
          <w:bCs/>
        </w:rPr>
        <w:tab/>
      </w:r>
      <w:r w:rsidRPr="00B6276F">
        <w:rPr>
          <w:rFonts w:eastAsia="Times New Roman"/>
          <w:b/>
          <w:bCs/>
        </w:rPr>
        <w:t>References: The literature incorporated into this paper is very limited and doesn’t provide enough of</w:t>
      </w:r>
      <w:r>
        <w:rPr>
          <w:rFonts w:eastAsia="Times New Roman"/>
          <w:b/>
          <w:bCs/>
        </w:rPr>
        <w:t xml:space="preserve"> </w:t>
      </w:r>
      <w:r w:rsidRPr="00B6276F">
        <w:rPr>
          <w:rFonts w:eastAsia="Times New Roman"/>
          <w:b/>
          <w:bCs/>
        </w:rPr>
        <w:t>a rational nor a theoretical background for the work and discussion. This needs to be</w:t>
      </w:r>
      <w:r>
        <w:rPr>
          <w:rFonts w:eastAsia="Times New Roman"/>
          <w:b/>
          <w:bCs/>
        </w:rPr>
        <w:t xml:space="preserve"> </w:t>
      </w:r>
      <w:r w:rsidRPr="00B6276F">
        <w:rPr>
          <w:rFonts w:eastAsia="Times New Roman"/>
          <w:b/>
          <w:bCs/>
        </w:rPr>
        <w:t>addressed.</w:t>
      </w:r>
    </w:p>
    <w:bookmarkEnd w:id="3"/>
    <w:p w14:paraId="3A9D02DA" w14:textId="77777777" w:rsidR="00B6276F" w:rsidRPr="002406EF" w:rsidRDefault="00B6276F" w:rsidP="00B6276F">
      <w:pPr>
        <w:pStyle w:val="NormalWeb"/>
        <w:spacing w:line="276" w:lineRule="auto"/>
        <w:ind w:left="720" w:hanging="720"/>
        <w:jc w:val="both"/>
        <w:rPr>
          <w:rFonts w:eastAsia="Times New Roman"/>
        </w:rPr>
      </w:pPr>
    </w:p>
    <w:p w14:paraId="676A281C" w14:textId="28F255D4" w:rsidR="00D436BB" w:rsidRDefault="00635BC5" w:rsidP="00D436BB">
      <w:pPr>
        <w:pStyle w:val="NormalWeb"/>
        <w:spacing w:line="276" w:lineRule="auto"/>
        <w:ind w:left="720" w:hanging="720"/>
        <w:jc w:val="both"/>
        <w:rPr>
          <w:rFonts w:eastAsia="Times New Roman"/>
        </w:rPr>
      </w:pPr>
      <w:r w:rsidRPr="002406EF">
        <w:rPr>
          <w:rFonts w:eastAsia="Times New Roman"/>
          <w:u w:val="single"/>
        </w:rPr>
        <w:t>R2.</w:t>
      </w:r>
      <w:r>
        <w:rPr>
          <w:rFonts w:eastAsia="Times New Roman"/>
          <w:u w:val="single"/>
        </w:rPr>
        <w:t>6</w:t>
      </w:r>
      <w:r>
        <w:rPr>
          <w:rFonts w:eastAsia="Times New Roman"/>
          <w:u w:val="single"/>
        </w:rPr>
        <w:t>/7</w:t>
      </w:r>
      <w:r w:rsidRPr="002406EF">
        <w:rPr>
          <w:rFonts w:eastAsia="Times New Roman"/>
          <w:u w:val="single"/>
        </w:rPr>
        <w:t>:</w:t>
      </w:r>
      <w:r w:rsidRPr="002406EF">
        <w:rPr>
          <w:rFonts w:eastAsia="Times New Roman"/>
        </w:rPr>
        <w:tab/>
      </w:r>
      <w:r w:rsidRPr="00635BC5">
        <w:rPr>
          <w:rFonts w:eastAsia="Times New Roman"/>
        </w:rPr>
        <w:t xml:space="preserve"> Given</w:t>
      </w:r>
      <w:r w:rsidR="00B6276F" w:rsidRPr="00635BC5">
        <w:rPr>
          <w:rFonts w:eastAsia="Times New Roman"/>
        </w:rPr>
        <w:t xml:space="preserve"> </w:t>
      </w:r>
      <w:r>
        <w:rPr>
          <w:rFonts w:eastAsia="Times New Roman"/>
        </w:rPr>
        <w:t xml:space="preserve">the focus on existing literature in both C2.6 and C2.7, we have provided the response to these together. We agree that references to existing literature within this paper are scarce – however, when developing this paper our aim was to have an </w:t>
      </w:r>
      <w:r>
        <w:rPr>
          <w:rFonts w:eastAsia="Times New Roman"/>
          <w:u w:val="single"/>
        </w:rPr>
        <w:t>applied netball</w:t>
      </w:r>
      <w:r>
        <w:rPr>
          <w:rFonts w:eastAsia="Times New Roman"/>
        </w:rPr>
        <w:t xml:space="preserve"> focus. The rational for the work was driven by this applied (rather than theoretical) context, whereby we aimed to identify potentially relevant shooting strategies that could be adopted within teams match tactics. Our hope is that this </w:t>
      </w:r>
      <w:r w:rsidRPr="00D920DD">
        <w:rPr>
          <w:rFonts w:eastAsia="Times New Roman"/>
        </w:rPr>
        <w:t xml:space="preserve">rationale is communicated in the second paragraph of the introduction (see </w:t>
      </w:r>
      <w:r w:rsidR="00D920DD" w:rsidRPr="00D920DD">
        <w:rPr>
          <w:rFonts w:eastAsia="Times New Roman"/>
        </w:rPr>
        <w:t>line 29-45</w:t>
      </w:r>
      <w:r w:rsidRPr="00D920DD">
        <w:rPr>
          <w:rFonts w:eastAsia="Times New Roman"/>
        </w:rPr>
        <w:t>).</w:t>
      </w:r>
      <w:r>
        <w:rPr>
          <w:rFonts w:eastAsia="Times New Roman"/>
        </w:rPr>
        <w:t xml:space="preserve"> We also found making comparisons to existing literature difficult while trying to maintain an applied netball focus – whereby there is minimal to no published literature (to our knowledge) examining scoring strategies and/or tactics in elite-level netball. There is potential for comparisons to the adoption and use of the three-point shot in basketball (</w:t>
      </w:r>
      <w:proofErr w:type="gramStart"/>
      <w:r>
        <w:rPr>
          <w:rFonts w:eastAsia="Times New Roman"/>
        </w:rPr>
        <w:t>e.g.</w:t>
      </w:r>
      <w:proofErr w:type="gramEnd"/>
      <w:r>
        <w:rPr>
          <w:rFonts w:eastAsia="Times New Roman"/>
        </w:rPr>
        <w:t xml:space="preserve"> see comment 1.4 from reviewer #1) – however </w:t>
      </w:r>
      <w:r w:rsidR="00D436BB">
        <w:rPr>
          <w:rFonts w:eastAsia="Times New Roman"/>
        </w:rPr>
        <w:t>did not feel that this comparison would assist in answering the applied aims of this particular study (i.e. identify potential shooting strategies in the netball-specific context).</w:t>
      </w:r>
    </w:p>
    <w:p w14:paraId="67AD8649" w14:textId="77777777" w:rsidR="00D436BB" w:rsidRDefault="00D436BB" w:rsidP="00D436BB">
      <w:pPr>
        <w:pStyle w:val="NormalWeb"/>
        <w:spacing w:line="276" w:lineRule="auto"/>
        <w:ind w:left="720" w:hanging="720"/>
        <w:jc w:val="both"/>
        <w:rPr>
          <w:rFonts w:eastAsia="Times New Roman"/>
        </w:rPr>
      </w:pPr>
    </w:p>
    <w:p w14:paraId="08BC0DF6" w14:textId="0E1A54E5" w:rsidR="00B6276F" w:rsidRPr="007A448A" w:rsidRDefault="00D436BB" w:rsidP="00D436BB">
      <w:pPr>
        <w:pStyle w:val="NormalWeb"/>
        <w:spacing w:line="276" w:lineRule="auto"/>
        <w:ind w:left="720"/>
        <w:jc w:val="both"/>
        <w:rPr>
          <w:rFonts w:eastAsia="Times New Roman"/>
        </w:rPr>
      </w:pPr>
      <w:r>
        <w:rPr>
          <w:rFonts w:eastAsia="Times New Roman"/>
        </w:rPr>
        <w:t xml:space="preserve">Our response here is aiming to provide some context as to why minimal references to existing literature is included in this paper. As noted in some earlier comments, we are open to further discussion around this point (with both editors and reviewers) should </w:t>
      </w:r>
      <w:r>
        <w:rPr>
          <w:rFonts w:eastAsia="Times New Roman"/>
        </w:rPr>
        <w:lastRenderedPageBreak/>
        <w:t xml:space="preserve">additional theoretical grounding or comparison to existing literature be deemed a necessary addition to the manuscript. </w:t>
      </w:r>
    </w:p>
    <w:sectPr w:rsidR="00B6276F" w:rsidRPr="007A448A" w:rsidSect="00EA3864">
      <w:pgSz w:w="11906" w:h="16838"/>
      <w:pgMar w:top="992" w:right="1440" w:bottom="992"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13D"/>
    <w:multiLevelType w:val="hybridMultilevel"/>
    <w:tmpl w:val="64848A20"/>
    <w:lvl w:ilvl="0" w:tplc="55C60F76">
      <w:start w:val="1"/>
      <w:numFmt w:val="lowerLetter"/>
      <w:lvlText w:val="%1."/>
      <w:lvlJc w:val="left"/>
      <w:pPr>
        <w:ind w:left="1080" w:hanging="360"/>
      </w:pPr>
      <w:rPr>
        <w:rFonts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BD6994"/>
    <w:multiLevelType w:val="hybridMultilevel"/>
    <w:tmpl w:val="BDC481F0"/>
    <w:lvl w:ilvl="0" w:tplc="5A7219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7C4CA6"/>
    <w:multiLevelType w:val="hybridMultilevel"/>
    <w:tmpl w:val="A1ACBDCA"/>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A436AC3"/>
    <w:multiLevelType w:val="hybridMultilevel"/>
    <w:tmpl w:val="21B473F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E26CED"/>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8C7220"/>
    <w:multiLevelType w:val="hybridMultilevel"/>
    <w:tmpl w:val="505EBCE4"/>
    <w:lvl w:ilvl="0" w:tplc="25F0C7A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AF96C63"/>
    <w:multiLevelType w:val="hybridMultilevel"/>
    <w:tmpl w:val="A3A220C8"/>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D630767"/>
    <w:multiLevelType w:val="hybridMultilevel"/>
    <w:tmpl w:val="C68438F4"/>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E2A6E51"/>
    <w:multiLevelType w:val="hybridMultilevel"/>
    <w:tmpl w:val="2F346C80"/>
    <w:lvl w:ilvl="0" w:tplc="F4D06C4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F040F5F"/>
    <w:multiLevelType w:val="hybridMultilevel"/>
    <w:tmpl w:val="CE74DBE6"/>
    <w:lvl w:ilvl="0" w:tplc="854648F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4A2070B"/>
    <w:multiLevelType w:val="hybridMultilevel"/>
    <w:tmpl w:val="492A64C8"/>
    <w:lvl w:ilvl="0" w:tplc="0AF8397A">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88B288F"/>
    <w:multiLevelType w:val="hybridMultilevel"/>
    <w:tmpl w:val="0C92B572"/>
    <w:lvl w:ilvl="0" w:tplc="D8409B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8F62D0D"/>
    <w:multiLevelType w:val="hybridMultilevel"/>
    <w:tmpl w:val="B97C7F24"/>
    <w:lvl w:ilvl="0" w:tplc="068ED652">
      <w:start w:val="1"/>
      <w:numFmt w:val="lowerLetter"/>
      <w:lvlText w:val="%1."/>
      <w:lvlJc w:val="left"/>
      <w:pPr>
        <w:ind w:left="720" w:hanging="360"/>
      </w:pPr>
      <w:rPr>
        <w:rFonts w:hint="default"/>
        <w:b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B453BF"/>
    <w:multiLevelType w:val="hybridMultilevel"/>
    <w:tmpl w:val="B3A68852"/>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3866763"/>
    <w:multiLevelType w:val="hybridMultilevel"/>
    <w:tmpl w:val="3586C71A"/>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6534358"/>
    <w:multiLevelType w:val="hybridMultilevel"/>
    <w:tmpl w:val="BDC481F0"/>
    <w:lvl w:ilvl="0" w:tplc="5A7219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4C2C53"/>
    <w:multiLevelType w:val="hybridMultilevel"/>
    <w:tmpl w:val="CB9A5F5A"/>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9B30EEB"/>
    <w:multiLevelType w:val="hybridMultilevel"/>
    <w:tmpl w:val="CE74DBE6"/>
    <w:lvl w:ilvl="0" w:tplc="854648F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039595E"/>
    <w:multiLevelType w:val="hybridMultilevel"/>
    <w:tmpl w:val="1D1ABF84"/>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3650992"/>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63C7A82"/>
    <w:multiLevelType w:val="hybridMultilevel"/>
    <w:tmpl w:val="343095E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A425DCF"/>
    <w:multiLevelType w:val="hybridMultilevel"/>
    <w:tmpl w:val="D3226682"/>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671D1A88"/>
    <w:multiLevelType w:val="hybridMultilevel"/>
    <w:tmpl w:val="91EEF1A8"/>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83619E7"/>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7904BC"/>
    <w:multiLevelType w:val="hybridMultilevel"/>
    <w:tmpl w:val="0186C64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1F7669F"/>
    <w:multiLevelType w:val="hybridMultilevel"/>
    <w:tmpl w:val="FACAC838"/>
    <w:lvl w:ilvl="0" w:tplc="C43E04FE">
      <w:start w:val="5"/>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44D0BA7"/>
    <w:multiLevelType w:val="hybridMultilevel"/>
    <w:tmpl w:val="0B368DC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6322737"/>
    <w:multiLevelType w:val="hybridMultilevel"/>
    <w:tmpl w:val="0F5CBA5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7CE7BF7"/>
    <w:multiLevelType w:val="hybridMultilevel"/>
    <w:tmpl w:val="18EEBA9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311255250">
    <w:abstractNumId w:val="25"/>
  </w:num>
  <w:num w:numId="2" w16cid:durableId="1199052297">
    <w:abstractNumId w:val="3"/>
  </w:num>
  <w:num w:numId="3" w16cid:durableId="768165538">
    <w:abstractNumId w:val="14"/>
  </w:num>
  <w:num w:numId="4" w16cid:durableId="1184250945">
    <w:abstractNumId w:val="23"/>
  </w:num>
  <w:num w:numId="5" w16cid:durableId="452217618">
    <w:abstractNumId w:val="1"/>
  </w:num>
  <w:num w:numId="6" w16cid:durableId="2125925225">
    <w:abstractNumId w:val="15"/>
  </w:num>
  <w:num w:numId="7" w16cid:durableId="296451419">
    <w:abstractNumId w:val="8"/>
  </w:num>
  <w:num w:numId="8" w16cid:durableId="884099696">
    <w:abstractNumId w:val="26"/>
  </w:num>
  <w:num w:numId="9" w16cid:durableId="580482076">
    <w:abstractNumId w:val="12"/>
  </w:num>
  <w:num w:numId="10" w16cid:durableId="1439792746">
    <w:abstractNumId w:val="4"/>
  </w:num>
  <w:num w:numId="11" w16cid:durableId="819350639">
    <w:abstractNumId w:val="19"/>
  </w:num>
  <w:num w:numId="12" w16cid:durableId="1710838463">
    <w:abstractNumId w:val="0"/>
  </w:num>
  <w:num w:numId="13" w16cid:durableId="763457929">
    <w:abstractNumId w:val="11"/>
  </w:num>
  <w:num w:numId="14" w16cid:durableId="1797409945">
    <w:abstractNumId w:val="27"/>
  </w:num>
  <w:num w:numId="15" w16cid:durableId="1204055530">
    <w:abstractNumId w:val="17"/>
  </w:num>
  <w:num w:numId="16" w16cid:durableId="1566453890">
    <w:abstractNumId w:val="9"/>
  </w:num>
  <w:num w:numId="17" w16cid:durableId="392313477">
    <w:abstractNumId w:val="5"/>
  </w:num>
  <w:num w:numId="18" w16cid:durableId="2090275345">
    <w:abstractNumId w:val="10"/>
  </w:num>
  <w:num w:numId="19" w16cid:durableId="920867837">
    <w:abstractNumId w:val="2"/>
  </w:num>
  <w:num w:numId="20" w16cid:durableId="2078360778">
    <w:abstractNumId w:val="7"/>
  </w:num>
  <w:num w:numId="21" w16cid:durableId="806554633">
    <w:abstractNumId w:val="22"/>
  </w:num>
  <w:num w:numId="22" w16cid:durableId="71512123">
    <w:abstractNumId w:val="13"/>
  </w:num>
  <w:num w:numId="23" w16cid:durableId="1827739883">
    <w:abstractNumId w:val="28"/>
  </w:num>
  <w:num w:numId="24" w16cid:durableId="73940759">
    <w:abstractNumId w:val="21"/>
  </w:num>
  <w:num w:numId="25" w16cid:durableId="2036150853">
    <w:abstractNumId w:val="20"/>
  </w:num>
  <w:num w:numId="26" w16cid:durableId="341470326">
    <w:abstractNumId w:val="24"/>
  </w:num>
  <w:num w:numId="27" w16cid:durableId="1415321602">
    <w:abstractNumId w:val="16"/>
  </w:num>
  <w:num w:numId="28" w16cid:durableId="1647395213">
    <w:abstractNumId w:val="6"/>
  </w:num>
  <w:num w:numId="29" w16cid:durableId="3116375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C4"/>
    <w:rsid w:val="0000130C"/>
    <w:rsid w:val="000038AA"/>
    <w:rsid w:val="000050C6"/>
    <w:rsid w:val="00006B2E"/>
    <w:rsid w:val="00006CF0"/>
    <w:rsid w:val="00014F59"/>
    <w:rsid w:val="0004392F"/>
    <w:rsid w:val="00045985"/>
    <w:rsid w:val="00046B7F"/>
    <w:rsid w:val="00053B4E"/>
    <w:rsid w:val="00064973"/>
    <w:rsid w:val="000704C1"/>
    <w:rsid w:val="00072354"/>
    <w:rsid w:val="00082249"/>
    <w:rsid w:val="000856D0"/>
    <w:rsid w:val="0009346B"/>
    <w:rsid w:val="000A6D35"/>
    <w:rsid w:val="000B04DB"/>
    <w:rsid w:val="000B6606"/>
    <w:rsid w:val="000C2B52"/>
    <w:rsid w:val="000D3D8D"/>
    <w:rsid w:val="000D7A43"/>
    <w:rsid w:val="000F2B3C"/>
    <w:rsid w:val="00106FD2"/>
    <w:rsid w:val="00111E05"/>
    <w:rsid w:val="001234FA"/>
    <w:rsid w:val="00127261"/>
    <w:rsid w:val="0013267D"/>
    <w:rsid w:val="00144E23"/>
    <w:rsid w:val="001463AA"/>
    <w:rsid w:val="00166CA5"/>
    <w:rsid w:val="001752A5"/>
    <w:rsid w:val="001908E2"/>
    <w:rsid w:val="0019621F"/>
    <w:rsid w:val="001A5A8F"/>
    <w:rsid w:val="001A6738"/>
    <w:rsid w:val="001A6F9E"/>
    <w:rsid w:val="001B56FF"/>
    <w:rsid w:val="001C416F"/>
    <w:rsid w:val="001C554C"/>
    <w:rsid w:val="001C6810"/>
    <w:rsid w:val="001E21B3"/>
    <w:rsid w:val="001E27D9"/>
    <w:rsid w:val="001E5F63"/>
    <w:rsid w:val="001E63BA"/>
    <w:rsid w:val="001E7EF8"/>
    <w:rsid w:val="001F35C0"/>
    <w:rsid w:val="001F4A39"/>
    <w:rsid w:val="00212407"/>
    <w:rsid w:val="002163F7"/>
    <w:rsid w:val="00220F7E"/>
    <w:rsid w:val="00223827"/>
    <w:rsid w:val="0022659D"/>
    <w:rsid w:val="0023432C"/>
    <w:rsid w:val="00235405"/>
    <w:rsid w:val="00236C68"/>
    <w:rsid w:val="002406EF"/>
    <w:rsid w:val="002510F4"/>
    <w:rsid w:val="00254EB1"/>
    <w:rsid w:val="00271C3D"/>
    <w:rsid w:val="00285397"/>
    <w:rsid w:val="002862D4"/>
    <w:rsid w:val="002A2D33"/>
    <w:rsid w:val="002B30CA"/>
    <w:rsid w:val="002B7246"/>
    <w:rsid w:val="002C035B"/>
    <w:rsid w:val="002C0845"/>
    <w:rsid w:val="002C0EAA"/>
    <w:rsid w:val="002C3203"/>
    <w:rsid w:val="002C4057"/>
    <w:rsid w:val="002C437E"/>
    <w:rsid w:val="002C53D3"/>
    <w:rsid w:val="002C5595"/>
    <w:rsid w:val="002C7D11"/>
    <w:rsid w:val="002D1663"/>
    <w:rsid w:val="002E54B3"/>
    <w:rsid w:val="002F0962"/>
    <w:rsid w:val="002F1F9E"/>
    <w:rsid w:val="002F29C9"/>
    <w:rsid w:val="002F2C25"/>
    <w:rsid w:val="002F4886"/>
    <w:rsid w:val="003070FD"/>
    <w:rsid w:val="003128C6"/>
    <w:rsid w:val="003170A6"/>
    <w:rsid w:val="00317B92"/>
    <w:rsid w:val="00331224"/>
    <w:rsid w:val="00335AC4"/>
    <w:rsid w:val="003360D9"/>
    <w:rsid w:val="003365F7"/>
    <w:rsid w:val="003402FF"/>
    <w:rsid w:val="0034762F"/>
    <w:rsid w:val="00356EF5"/>
    <w:rsid w:val="003615F2"/>
    <w:rsid w:val="0036733A"/>
    <w:rsid w:val="003724EB"/>
    <w:rsid w:val="00375757"/>
    <w:rsid w:val="003829A5"/>
    <w:rsid w:val="003860A2"/>
    <w:rsid w:val="00394A9E"/>
    <w:rsid w:val="0039630A"/>
    <w:rsid w:val="003B3624"/>
    <w:rsid w:val="003B6E89"/>
    <w:rsid w:val="003C213D"/>
    <w:rsid w:val="003C2692"/>
    <w:rsid w:val="003D430B"/>
    <w:rsid w:val="003D779A"/>
    <w:rsid w:val="003D7E4B"/>
    <w:rsid w:val="003E042E"/>
    <w:rsid w:val="003E5962"/>
    <w:rsid w:val="003F72B6"/>
    <w:rsid w:val="00442131"/>
    <w:rsid w:val="004605A1"/>
    <w:rsid w:val="00462165"/>
    <w:rsid w:val="00465D52"/>
    <w:rsid w:val="00470760"/>
    <w:rsid w:val="00471E87"/>
    <w:rsid w:val="00473DDE"/>
    <w:rsid w:val="00477FBE"/>
    <w:rsid w:val="00482E91"/>
    <w:rsid w:val="004832A7"/>
    <w:rsid w:val="00483EDB"/>
    <w:rsid w:val="00485362"/>
    <w:rsid w:val="00486FA5"/>
    <w:rsid w:val="00487873"/>
    <w:rsid w:val="0049287C"/>
    <w:rsid w:val="00492B43"/>
    <w:rsid w:val="004A12F9"/>
    <w:rsid w:val="004A15A8"/>
    <w:rsid w:val="004C45CA"/>
    <w:rsid w:val="004E2B37"/>
    <w:rsid w:val="004E2E46"/>
    <w:rsid w:val="004E557D"/>
    <w:rsid w:val="004F0915"/>
    <w:rsid w:val="004F5417"/>
    <w:rsid w:val="004F620F"/>
    <w:rsid w:val="004F7C4E"/>
    <w:rsid w:val="0050293D"/>
    <w:rsid w:val="00504188"/>
    <w:rsid w:val="00507733"/>
    <w:rsid w:val="00514E3C"/>
    <w:rsid w:val="0051584B"/>
    <w:rsid w:val="00517AD6"/>
    <w:rsid w:val="00522F73"/>
    <w:rsid w:val="00524820"/>
    <w:rsid w:val="0052484D"/>
    <w:rsid w:val="00525BBE"/>
    <w:rsid w:val="00526FAF"/>
    <w:rsid w:val="005324BF"/>
    <w:rsid w:val="00533CA6"/>
    <w:rsid w:val="0055171D"/>
    <w:rsid w:val="00552A12"/>
    <w:rsid w:val="00590DD1"/>
    <w:rsid w:val="00597C1E"/>
    <w:rsid w:val="005A24AF"/>
    <w:rsid w:val="005A67CB"/>
    <w:rsid w:val="005B081D"/>
    <w:rsid w:val="005B11AA"/>
    <w:rsid w:val="005C2A5C"/>
    <w:rsid w:val="005D2F72"/>
    <w:rsid w:val="005E3D22"/>
    <w:rsid w:val="005E4CEA"/>
    <w:rsid w:val="005F0DDF"/>
    <w:rsid w:val="005F5FA3"/>
    <w:rsid w:val="00600063"/>
    <w:rsid w:val="0062117E"/>
    <w:rsid w:val="006241A3"/>
    <w:rsid w:val="00624AE1"/>
    <w:rsid w:val="00635BC5"/>
    <w:rsid w:val="006416BE"/>
    <w:rsid w:val="00652026"/>
    <w:rsid w:val="006530CD"/>
    <w:rsid w:val="0066295E"/>
    <w:rsid w:val="006658AC"/>
    <w:rsid w:val="00666478"/>
    <w:rsid w:val="00667D24"/>
    <w:rsid w:val="006703CC"/>
    <w:rsid w:val="00671D2A"/>
    <w:rsid w:val="006733EC"/>
    <w:rsid w:val="00680687"/>
    <w:rsid w:val="006806DF"/>
    <w:rsid w:val="00681BBE"/>
    <w:rsid w:val="0069306A"/>
    <w:rsid w:val="0069391A"/>
    <w:rsid w:val="0069456D"/>
    <w:rsid w:val="00697154"/>
    <w:rsid w:val="006B050F"/>
    <w:rsid w:val="006B4AB2"/>
    <w:rsid w:val="006B624D"/>
    <w:rsid w:val="006C2550"/>
    <w:rsid w:val="006C4035"/>
    <w:rsid w:val="006C67FB"/>
    <w:rsid w:val="006D6D58"/>
    <w:rsid w:val="006E3A88"/>
    <w:rsid w:val="006E5555"/>
    <w:rsid w:val="006E6070"/>
    <w:rsid w:val="006F2EE9"/>
    <w:rsid w:val="006F30B4"/>
    <w:rsid w:val="00706DE8"/>
    <w:rsid w:val="007074E3"/>
    <w:rsid w:val="007207A9"/>
    <w:rsid w:val="007243E8"/>
    <w:rsid w:val="007304F2"/>
    <w:rsid w:val="0073178D"/>
    <w:rsid w:val="00731824"/>
    <w:rsid w:val="0073434A"/>
    <w:rsid w:val="0073567E"/>
    <w:rsid w:val="00737FE4"/>
    <w:rsid w:val="0074456B"/>
    <w:rsid w:val="00757252"/>
    <w:rsid w:val="0076530E"/>
    <w:rsid w:val="0076575D"/>
    <w:rsid w:val="007806E7"/>
    <w:rsid w:val="00783CBC"/>
    <w:rsid w:val="00794BAF"/>
    <w:rsid w:val="007A14A2"/>
    <w:rsid w:val="007A25BB"/>
    <w:rsid w:val="007A3F42"/>
    <w:rsid w:val="007A448A"/>
    <w:rsid w:val="007A52BD"/>
    <w:rsid w:val="007A5BE0"/>
    <w:rsid w:val="007B19C2"/>
    <w:rsid w:val="007C0620"/>
    <w:rsid w:val="007C51C2"/>
    <w:rsid w:val="007D24DC"/>
    <w:rsid w:val="007D4F77"/>
    <w:rsid w:val="007E4A0E"/>
    <w:rsid w:val="007E681B"/>
    <w:rsid w:val="007F526D"/>
    <w:rsid w:val="007F7DA6"/>
    <w:rsid w:val="00800321"/>
    <w:rsid w:val="00800BB4"/>
    <w:rsid w:val="00801C8C"/>
    <w:rsid w:val="00814010"/>
    <w:rsid w:val="00820B39"/>
    <w:rsid w:val="00822F2D"/>
    <w:rsid w:val="00826392"/>
    <w:rsid w:val="00826459"/>
    <w:rsid w:val="00827986"/>
    <w:rsid w:val="008400D6"/>
    <w:rsid w:val="00846044"/>
    <w:rsid w:val="00855691"/>
    <w:rsid w:val="008651CC"/>
    <w:rsid w:val="0087628E"/>
    <w:rsid w:val="00881181"/>
    <w:rsid w:val="0088249A"/>
    <w:rsid w:val="00887060"/>
    <w:rsid w:val="008914CF"/>
    <w:rsid w:val="008936AC"/>
    <w:rsid w:val="008A3A9A"/>
    <w:rsid w:val="008A6B5B"/>
    <w:rsid w:val="008B2085"/>
    <w:rsid w:val="008C5803"/>
    <w:rsid w:val="008D2670"/>
    <w:rsid w:val="008D3894"/>
    <w:rsid w:val="008F23C4"/>
    <w:rsid w:val="008F2D6E"/>
    <w:rsid w:val="008F3399"/>
    <w:rsid w:val="008F791E"/>
    <w:rsid w:val="0090426E"/>
    <w:rsid w:val="00905C2E"/>
    <w:rsid w:val="00921424"/>
    <w:rsid w:val="00923BAE"/>
    <w:rsid w:val="009240DF"/>
    <w:rsid w:val="0093340A"/>
    <w:rsid w:val="00933F18"/>
    <w:rsid w:val="009444C3"/>
    <w:rsid w:val="00953EB5"/>
    <w:rsid w:val="00956234"/>
    <w:rsid w:val="0095665B"/>
    <w:rsid w:val="00977BA0"/>
    <w:rsid w:val="009864D3"/>
    <w:rsid w:val="00986A0F"/>
    <w:rsid w:val="009A0FF2"/>
    <w:rsid w:val="009A3F56"/>
    <w:rsid w:val="009B1567"/>
    <w:rsid w:val="009B3ACD"/>
    <w:rsid w:val="009B3F5B"/>
    <w:rsid w:val="009B4176"/>
    <w:rsid w:val="009B6EBD"/>
    <w:rsid w:val="009C6F18"/>
    <w:rsid w:val="009D0F99"/>
    <w:rsid w:val="009D311D"/>
    <w:rsid w:val="009D4892"/>
    <w:rsid w:val="009D70C7"/>
    <w:rsid w:val="009D7619"/>
    <w:rsid w:val="009E3BE4"/>
    <w:rsid w:val="009E5404"/>
    <w:rsid w:val="009F005D"/>
    <w:rsid w:val="009F12BE"/>
    <w:rsid w:val="009F2575"/>
    <w:rsid w:val="009F467F"/>
    <w:rsid w:val="009F7A3A"/>
    <w:rsid w:val="00A054E7"/>
    <w:rsid w:val="00A07289"/>
    <w:rsid w:val="00A233C5"/>
    <w:rsid w:val="00A328B9"/>
    <w:rsid w:val="00A47FC4"/>
    <w:rsid w:val="00A5165A"/>
    <w:rsid w:val="00A52FA9"/>
    <w:rsid w:val="00A63B9B"/>
    <w:rsid w:val="00A76D95"/>
    <w:rsid w:val="00A8165A"/>
    <w:rsid w:val="00A84A0F"/>
    <w:rsid w:val="00A90021"/>
    <w:rsid w:val="00A935B3"/>
    <w:rsid w:val="00AA6C57"/>
    <w:rsid w:val="00AC05B5"/>
    <w:rsid w:val="00AD0484"/>
    <w:rsid w:val="00AD0872"/>
    <w:rsid w:val="00AD2069"/>
    <w:rsid w:val="00AE0A0E"/>
    <w:rsid w:val="00AF05B6"/>
    <w:rsid w:val="00AF21E6"/>
    <w:rsid w:val="00AF4D05"/>
    <w:rsid w:val="00B132CD"/>
    <w:rsid w:val="00B13FAC"/>
    <w:rsid w:val="00B14A5E"/>
    <w:rsid w:val="00B21092"/>
    <w:rsid w:val="00B21315"/>
    <w:rsid w:val="00B22E5D"/>
    <w:rsid w:val="00B23F58"/>
    <w:rsid w:val="00B2428B"/>
    <w:rsid w:val="00B34F4A"/>
    <w:rsid w:val="00B378B0"/>
    <w:rsid w:val="00B4183B"/>
    <w:rsid w:val="00B4591D"/>
    <w:rsid w:val="00B46E8A"/>
    <w:rsid w:val="00B474E6"/>
    <w:rsid w:val="00B5083A"/>
    <w:rsid w:val="00B51641"/>
    <w:rsid w:val="00B60D06"/>
    <w:rsid w:val="00B6276F"/>
    <w:rsid w:val="00B6489A"/>
    <w:rsid w:val="00B76961"/>
    <w:rsid w:val="00B81E38"/>
    <w:rsid w:val="00B83945"/>
    <w:rsid w:val="00B90D47"/>
    <w:rsid w:val="00BA71AA"/>
    <w:rsid w:val="00BB1350"/>
    <w:rsid w:val="00BB35D4"/>
    <w:rsid w:val="00BB5E5A"/>
    <w:rsid w:val="00BB6877"/>
    <w:rsid w:val="00BB76F8"/>
    <w:rsid w:val="00BB7D90"/>
    <w:rsid w:val="00BC2AFF"/>
    <w:rsid w:val="00BC3BA3"/>
    <w:rsid w:val="00BC56BA"/>
    <w:rsid w:val="00BD03FA"/>
    <w:rsid w:val="00BD2786"/>
    <w:rsid w:val="00BD4CC8"/>
    <w:rsid w:val="00BD663C"/>
    <w:rsid w:val="00BD7FE6"/>
    <w:rsid w:val="00BE2325"/>
    <w:rsid w:val="00BE3EE4"/>
    <w:rsid w:val="00BE4F53"/>
    <w:rsid w:val="00BF04EA"/>
    <w:rsid w:val="00BF5D32"/>
    <w:rsid w:val="00C02D4A"/>
    <w:rsid w:val="00C10061"/>
    <w:rsid w:val="00C14DE2"/>
    <w:rsid w:val="00C2469A"/>
    <w:rsid w:val="00C35171"/>
    <w:rsid w:val="00C372E6"/>
    <w:rsid w:val="00C3771E"/>
    <w:rsid w:val="00C40EC4"/>
    <w:rsid w:val="00C4318B"/>
    <w:rsid w:val="00C4355B"/>
    <w:rsid w:val="00C45E28"/>
    <w:rsid w:val="00C5247C"/>
    <w:rsid w:val="00C54DF3"/>
    <w:rsid w:val="00C55D38"/>
    <w:rsid w:val="00C628CF"/>
    <w:rsid w:val="00C64BFD"/>
    <w:rsid w:val="00C656E7"/>
    <w:rsid w:val="00C721C4"/>
    <w:rsid w:val="00C80EC4"/>
    <w:rsid w:val="00C9120E"/>
    <w:rsid w:val="00C91285"/>
    <w:rsid w:val="00CA068B"/>
    <w:rsid w:val="00CA23FA"/>
    <w:rsid w:val="00CA4002"/>
    <w:rsid w:val="00CA639C"/>
    <w:rsid w:val="00CB2781"/>
    <w:rsid w:val="00CB677C"/>
    <w:rsid w:val="00CB75A1"/>
    <w:rsid w:val="00CB7D63"/>
    <w:rsid w:val="00CB7F8A"/>
    <w:rsid w:val="00CC1426"/>
    <w:rsid w:val="00CC3AE6"/>
    <w:rsid w:val="00CC50E8"/>
    <w:rsid w:val="00CC6990"/>
    <w:rsid w:val="00CD7D34"/>
    <w:rsid w:val="00CE04F5"/>
    <w:rsid w:val="00CE132A"/>
    <w:rsid w:val="00CE2C0C"/>
    <w:rsid w:val="00CE6989"/>
    <w:rsid w:val="00CE7B4A"/>
    <w:rsid w:val="00CF1EAC"/>
    <w:rsid w:val="00CF40BD"/>
    <w:rsid w:val="00CF7D82"/>
    <w:rsid w:val="00D02241"/>
    <w:rsid w:val="00D07F2B"/>
    <w:rsid w:val="00D11FAF"/>
    <w:rsid w:val="00D22E34"/>
    <w:rsid w:val="00D26379"/>
    <w:rsid w:val="00D26462"/>
    <w:rsid w:val="00D436BB"/>
    <w:rsid w:val="00D45077"/>
    <w:rsid w:val="00D47ADA"/>
    <w:rsid w:val="00D55F28"/>
    <w:rsid w:val="00D56C1C"/>
    <w:rsid w:val="00D6475A"/>
    <w:rsid w:val="00D6501F"/>
    <w:rsid w:val="00D66531"/>
    <w:rsid w:val="00D66A9B"/>
    <w:rsid w:val="00D74DC0"/>
    <w:rsid w:val="00D77120"/>
    <w:rsid w:val="00D802B8"/>
    <w:rsid w:val="00D80CCF"/>
    <w:rsid w:val="00D84AF4"/>
    <w:rsid w:val="00D871B6"/>
    <w:rsid w:val="00D914F4"/>
    <w:rsid w:val="00D920DD"/>
    <w:rsid w:val="00D94850"/>
    <w:rsid w:val="00D951E7"/>
    <w:rsid w:val="00D97076"/>
    <w:rsid w:val="00DA6ECD"/>
    <w:rsid w:val="00DA760F"/>
    <w:rsid w:val="00DA7D86"/>
    <w:rsid w:val="00DB318D"/>
    <w:rsid w:val="00DB31DA"/>
    <w:rsid w:val="00DB7F8C"/>
    <w:rsid w:val="00DC2043"/>
    <w:rsid w:val="00DC6B71"/>
    <w:rsid w:val="00DD17E9"/>
    <w:rsid w:val="00DD25AE"/>
    <w:rsid w:val="00DE2056"/>
    <w:rsid w:val="00DE5BF1"/>
    <w:rsid w:val="00DE7A33"/>
    <w:rsid w:val="00DF0116"/>
    <w:rsid w:val="00DF5427"/>
    <w:rsid w:val="00E071C0"/>
    <w:rsid w:val="00E140B6"/>
    <w:rsid w:val="00E14EEC"/>
    <w:rsid w:val="00E37514"/>
    <w:rsid w:val="00E41162"/>
    <w:rsid w:val="00E454A3"/>
    <w:rsid w:val="00E4663B"/>
    <w:rsid w:val="00E52A7B"/>
    <w:rsid w:val="00E56EB0"/>
    <w:rsid w:val="00E57365"/>
    <w:rsid w:val="00E65202"/>
    <w:rsid w:val="00E731B6"/>
    <w:rsid w:val="00E83194"/>
    <w:rsid w:val="00E85441"/>
    <w:rsid w:val="00E93259"/>
    <w:rsid w:val="00E96103"/>
    <w:rsid w:val="00EA19BB"/>
    <w:rsid w:val="00EA2FC0"/>
    <w:rsid w:val="00EA3864"/>
    <w:rsid w:val="00EA3B96"/>
    <w:rsid w:val="00EA44CC"/>
    <w:rsid w:val="00EA6F48"/>
    <w:rsid w:val="00EB705C"/>
    <w:rsid w:val="00EB71C1"/>
    <w:rsid w:val="00EC5427"/>
    <w:rsid w:val="00ED1F7E"/>
    <w:rsid w:val="00ED6532"/>
    <w:rsid w:val="00EE37A5"/>
    <w:rsid w:val="00EE3A07"/>
    <w:rsid w:val="00EE3D2A"/>
    <w:rsid w:val="00EE73FF"/>
    <w:rsid w:val="00EF74D2"/>
    <w:rsid w:val="00EF7E61"/>
    <w:rsid w:val="00F027EC"/>
    <w:rsid w:val="00F04773"/>
    <w:rsid w:val="00F13E08"/>
    <w:rsid w:val="00F16A6F"/>
    <w:rsid w:val="00F35EBE"/>
    <w:rsid w:val="00F42DD7"/>
    <w:rsid w:val="00F43C7F"/>
    <w:rsid w:val="00F547C3"/>
    <w:rsid w:val="00F62A3E"/>
    <w:rsid w:val="00F62CFC"/>
    <w:rsid w:val="00F668E9"/>
    <w:rsid w:val="00F66CBC"/>
    <w:rsid w:val="00F672D2"/>
    <w:rsid w:val="00F72192"/>
    <w:rsid w:val="00F864DD"/>
    <w:rsid w:val="00F93B1E"/>
    <w:rsid w:val="00F9689F"/>
    <w:rsid w:val="00F9781C"/>
    <w:rsid w:val="00FA09EE"/>
    <w:rsid w:val="00FA60B5"/>
    <w:rsid w:val="00FA748A"/>
    <w:rsid w:val="00FC3449"/>
    <w:rsid w:val="00FC5666"/>
    <w:rsid w:val="00FD20D1"/>
    <w:rsid w:val="00FD2DF7"/>
    <w:rsid w:val="00FD5BD0"/>
    <w:rsid w:val="00FD7A55"/>
    <w:rsid w:val="00FE02F4"/>
    <w:rsid w:val="00FE52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4CF1"/>
  <w15:chartTrackingRefBased/>
  <w15:docId w15:val="{BBA1302C-E205-4A37-B83E-9814CFE2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7A43"/>
    <w:pPr>
      <w:spacing w:after="0" w:line="240" w:lineRule="auto"/>
    </w:pPr>
    <w:rPr>
      <w:rFonts w:ascii="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B21092"/>
    <w:rPr>
      <w:sz w:val="16"/>
      <w:szCs w:val="16"/>
    </w:rPr>
  </w:style>
  <w:style w:type="paragraph" w:styleId="CommentText">
    <w:name w:val="annotation text"/>
    <w:basedOn w:val="Normal"/>
    <w:link w:val="CommentTextChar"/>
    <w:uiPriority w:val="99"/>
    <w:semiHidden/>
    <w:unhideWhenUsed/>
    <w:rsid w:val="00B21092"/>
    <w:pPr>
      <w:spacing w:line="240" w:lineRule="auto"/>
    </w:pPr>
    <w:rPr>
      <w:sz w:val="20"/>
      <w:szCs w:val="20"/>
    </w:rPr>
  </w:style>
  <w:style w:type="character" w:customStyle="1" w:styleId="CommentTextChar">
    <w:name w:val="Comment Text Char"/>
    <w:basedOn w:val="DefaultParagraphFont"/>
    <w:link w:val="CommentText"/>
    <w:uiPriority w:val="99"/>
    <w:semiHidden/>
    <w:rsid w:val="00B21092"/>
    <w:rPr>
      <w:sz w:val="20"/>
      <w:szCs w:val="20"/>
    </w:rPr>
  </w:style>
  <w:style w:type="paragraph" w:styleId="CommentSubject">
    <w:name w:val="annotation subject"/>
    <w:basedOn w:val="CommentText"/>
    <w:next w:val="CommentText"/>
    <w:link w:val="CommentSubjectChar"/>
    <w:uiPriority w:val="99"/>
    <w:semiHidden/>
    <w:unhideWhenUsed/>
    <w:rsid w:val="00B21092"/>
    <w:rPr>
      <w:b/>
      <w:bCs/>
    </w:rPr>
  </w:style>
  <w:style w:type="character" w:customStyle="1" w:styleId="CommentSubjectChar">
    <w:name w:val="Comment Subject Char"/>
    <w:basedOn w:val="CommentTextChar"/>
    <w:link w:val="CommentSubject"/>
    <w:uiPriority w:val="99"/>
    <w:semiHidden/>
    <w:rsid w:val="00B21092"/>
    <w:rPr>
      <w:b/>
      <w:bCs/>
      <w:sz w:val="20"/>
      <w:szCs w:val="20"/>
    </w:rPr>
  </w:style>
  <w:style w:type="paragraph" w:styleId="BalloonText">
    <w:name w:val="Balloon Text"/>
    <w:basedOn w:val="Normal"/>
    <w:link w:val="BalloonTextChar"/>
    <w:uiPriority w:val="99"/>
    <w:semiHidden/>
    <w:unhideWhenUsed/>
    <w:rsid w:val="00B21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092"/>
    <w:rPr>
      <w:rFonts w:ascii="Segoe UI" w:hAnsi="Segoe UI" w:cs="Segoe UI"/>
      <w:sz w:val="18"/>
      <w:szCs w:val="18"/>
    </w:rPr>
  </w:style>
  <w:style w:type="character" w:styleId="Hyperlink">
    <w:name w:val="Hyperlink"/>
    <w:basedOn w:val="DefaultParagraphFont"/>
    <w:uiPriority w:val="99"/>
    <w:unhideWhenUsed/>
    <w:rsid w:val="00E4663B"/>
    <w:rPr>
      <w:color w:val="0563C1" w:themeColor="hyperlink"/>
      <w:u w:val="single"/>
    </w:rPr>
  </w:style>
  <w:style w:type="character" w:styleId="FollowedHyperlink">
    <w:name w:val="FollowedHyperlink"/>
    <w:basedOn w:val="DefaultParagraphFont"/>
    <w:uiPriority w:val="99"/>
    <w:semiHidden/>
    <w:unhideWhenUsed/>
    <w:rsid w:val="00800321"/>
    <w:rPr>
      <w:color w:val="954F72" w:themeColor="followedHyperlink"/>
      <w:u w:val="single"/>
    </w:rPr>
  </w:style>
  <w:style w:type="table" w:styleId="TableGrid">
    <w:name w:val="Table Grid"/>
    <w:basedOn w:val="TableNormal"/>
    <w:uiPriority w:val="39"/>
    <w:rsid w:val="00881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22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04627">
      <w:bodyDiv w:val="1"/>
      <w:marLeft w:val="0"/>
      <w:marRight w:val="0"/>
      <w:marTop w:val="0"/>
      <w:marBottom w:val="0"/>
      <w:divBdr>
        <w:top w:val="none" w:sz="0" w:space="0" w:color="auto"/>
        <w:left w:val="none" w:sz="0" w:space="0" w:color="auto"/>
        <w:bottom w:val="none" w:sz="0" w:space="0" w:color="auto"/>
        <w:right w:val="none" w:sz="0" w:space="0" w:color="auto"/>
      </w:divBdr>
    </w:div>
    <w:div w:id="953252315">
      <w:bodyDiv w:val="1"/>
      <w:marLeft w:val="0"/>
      <w:marRight w:val="0"/>
      <w:marTop w:val="0"/>
      <w:marBottom w:val="0"/>
      <w:divBdr>
        <w:top w:val="none" w:sz="0" w:space="0" w:color="auto"/>
        <w:left w:val="none" w:sz="0" w:space="0" w:color="auto"/>
        <w:bottom w:val="none" w:sz="0" w:space="0" w:color="auto"/>
        <w:right w:val="none" w:sz="0" w:space="0" w:color="auto"/>
      </w:divBdr>
    </w:div>
    <w:div w:id="186301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s.sagepub.com/author-instructions/SP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835A7-8122-44D9-8A6A-0AF2BC21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7</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Aaron Fox</cp:lastModifiedBy>
  <cp:revision>394</cp:revision>
  <dcterms:created xsi:type="dcterms:W3CDTF">2017-10-02T05:02:00Z</dcterms:created>
  <dcterms:modified xsi:type="dcterms:W3CDTF">2023-04-12T05:41:00Z</dcterms:modified>
</cp:coreProperties>
</file>