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before="100" w:after="240"/>
        <w:outlineLvl w:val="0"/>
        <w:rPr>
          <w:rFonts w:ascii="Helvetica" w:cs="Helvetica" w:hAnsi="Helvetica" w:eastAsia="Helvetica"/>
          <w:b w:val="1"/>
          <w:bCs w:val="1"/>
          <w:outline w:val="0"/>
          <w:color w:val="24292e"/>
          <w:kern w:val="36"/>
          <w:sz w:val="40"/>
          <w:szCs w:val="40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kern w:val="36"/>
          <w:sz w:val="40"/>
          <w:szCs w:val="4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 Source Policy Template</w:t>
      </w:r>
      <w:r>
        <w:rPr>
          <w:rFonts w:ascii="Helvetica" w:cs="Helvetica" w:hAnsi="Helvetica" w:eastAsia="Helvetica"/>
          <w:b w:val="1"/>
          <w:bCs w:val="1"/>
          <w:outline w:val="0"/>
          <w:color w:val="24292e"/>
          <w:kern w:val="36"/>
          <w:sz w:val="40"/>
          <w:szCs w:val="40"/>
          <w:u w:color="24292e"/>
          <w:vertAlign w:val="superscript"/>
          <w14:textFill>
            <w14:solidFill>
              <w14:srgbClr w14:val="24292E"/>
            </w14:solidFill>
          </w14:textFill>
        </w:rPr>
        <w:footnoteReference w:id="1"/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fr-FR"/>
          <w14:textFill>
            <w14:solidFill>
              <w14:srgbClr w14:val="24292E"/>
            </w14:solidFill>
          </w14:textFill>
        </w:rPr>
        <w:t>Objectives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PUBLIC_ADMINISTRATION's goals in releasing this policy are: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Comply with regulations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Collaborate between national and international public administrations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Engage with existing communities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Foster economic growth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objective of this policy is to allow PUBLIC_ADMINISTRATION to embrace open source software development without compromising its core interests and information security, following the communities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best practices and in the respect of all stakeholders.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Globally this policy proposes to: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Allow civil servants and subcontractors to contribute and release open-source projects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Share best practices to collaborate and engage with communities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Provide support and assistance</w:t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Scope and applicability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 policy should be applied by all civil servants of PUBLIC_ADMINISTRATION and related contractors and subcontractors.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Entities belonging to ENTITY_NAME may instantiate an inherited version of this policy.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Open-sourcing existing code is another process and requires additional steps that are out of the scope of this policy. Please refer to the ENTITY_SUPPORT_EMAIL for more information.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Note that FOSS projects may include technical and functional documentation, user, administrator and/or programmer manuals, examples, translations, sample data, artwork, and/or configuration files.</w:t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fr-FR"/>
          <w14:textFill>
            <w14:solidFill>
              <w14:srgbClr w14:val="24292E"/>
            </w14:solidFill>
          </w14:textFill>
        </w:rPr>
        <w:t>Definitions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"FOSS" refers to 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Free/Open Source Software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and is used generally to refer to software that either under a license that has been approved by the Free Software Foundation, Open Source Initiative, or a license which grants the four rights: to use the software for any purpose, to study the source code, to share it with others, and improve the software. In places 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 source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is also substituted for readability. Free Software and Open Source Software are used as synonyms throughout the document.</w:t>
      </w:r>
    </w:p>
    <w:p>
      <w:pPr>
        <w:pStyle w:val="Body"/>
        <w:shd w:val="clear" w:color="auto" w:fill="ffffff"/>
        <w:spacing w:after="240"/>
        <w:rPr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"Civil servant": person employed by a public administration, either officially sworn in or on an employment contractual basis.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"OSI approved license:"</w:t>
      </w:r>
      <w:r>
        <w:rPr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"https://opensource.org/licenses"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https://opensource.org/licenses</w:t>
      </w:r>
      <w:r>
        <w:rPr/>
        <w:fldChar w:fldCharType="end" w:fldLock="0"/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"Free Software Foundation approved license":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"https://www.gnu.org/licenses/licenses.en.html"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https://www.gnu.org/licenses/licenses.en.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"https://www.gnu.org/licenses/licenses.en.html"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html</w:t>
      </w:r>
      <w:r>
        <w:rPr/>
        <w:fldChar w:fldCharType="end" w:fldLock="0"/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"Version control system": software product or service designed to store and retrieve several versions of source code and related assets in a consistent way, can be centralised, decentralised or distributed.</w:t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 By Default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From this point forward, code that is developed by or for ENTITY_NAME shall be free/open source by default. Detailed requirements follow but at a high level: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Entities shall develop in the open wherever possible.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When releasing code, agencies shall ensure that an appropriate FOSS license is applied.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When procuring the development of code, entities shall ensure that they secure copyright to and delivery of the code in order to facilitate releasing it as open source.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Participate in the Open Source Community.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Wherever possible, contributions should be made to existing projects rather than creating independent efforts and all contributions should be given back to the community.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Accounts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Civil servants are permitted to attach their name to their contributions and be recognized individually, while the copyright remains with ENTITY_NAME and under the license selected for the project.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Civil servants are not prohibited from working on side-projects when off duty, and their professional contributions should be distinguished from personal contributions. Criteria are given in the next section.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 distinction should be made through the email address used to submit code: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Professional contributions should be submitted :</w:t>
      </w:r>
    </w:p>
    <w:p>
      <w:pPr>
        <w:pStyle w:val="Body"/>
        <w:numPr>
          <w:ilvl w:val="1"/>
          <w:numId w:val="8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 the government email address for civil servants</w:t>
      </w:r>
    </w:p>
    <w:p>
      <w:pPr>
        <w:pStyle w:val="Body"/>
        <w:numPr>
          <w:ilvl w:val="1"/>
          <w:numId w:val="8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 the company email address for subcontractors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Personal contributions should be submitted with the personal email address.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Anonymous / generic email contribution should be avoided: managers with civil servants who do not want to release their code should use their own email address instead.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 addition, civil servants whose employment is sensitive information are to be given cover identities to enable them to contribute to FOSS projects without endangering their safety; equally, contractor employees who have a legal right to keep the fact of their employment non-public and wish to do so must adopt a pseudonym for contributing to ENTITY_NAME projects. In these cases, the same identity must be used by the contributor for all ENTITY_NAME projects to facilitate communications with external developers.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fr-FR"/>
          <w14:textFill>
            <w14:solidFill>
              <w14:srgbClr w14:val="24292E"/>
            </w14:solidFill>
          </w14:textFill>
        </w:rPr>
        <w:t>Professional contribution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Is presumed to belong to ENTITY_NAME, any software designed / created / developed by a civil servant or subcontractor: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during his working period; and/or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using technical means provided by the Entity ; and/or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designed / created / developed following instructions given by the Entity; and /or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directly or indirectly related to project supported in part or in whole by the organization; and/or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linkable to an inventive step in the course of the collaborator professional activity for the organization; and/or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which design / creation / development is part of the purpose of the organization.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Works designed / created / developed outside working hours are affected by these rules.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When a collaborator designs / creates / develops a work filling one or more of these conditions, and contributes this work to a project, it is in fact the Entity which designs / creates / develops and contributes said work to the project.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Personal work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Contribution by a civil servant is considered as private and personal if it fulfills all of the cumulative conditions hereafter: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it has been designed / created / developed out of working periods, without using any means provided by the Entity ; AND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it is not designed / created / developed upon direct nor indirect instructions by the Entity ; AND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it cannot be linked to a project directly or indirectly supported in part or in whole by the Entity; AND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it is not linkable to an inventive step in the course of the collaborator professional activity for the Entity ; AND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its design / creation / development is not part of the purpose of the Entity..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 cases where a civil servant is unsure whether their personal contributions meet these criteria they can consult with ENTITY_SUPPORT_EMAIL.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Subcontractors should refer to their employer policy.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Support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 will provide a centralized support for cases not covered by this policy or questions others may have to implement the policy through ENTITY_SUPPORT_EMAIL.</w:t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Contributing to Existing Open Source Projects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civil servants and subcontractors are authorized to contribute code and documentation related to FOSS projects that they are using as part of their mission for ENTITY_NAME under the licenses used by these projects, provided that the following conditions are met.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Evaluate the Project License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civil servants and subcontractors can only contribute to projects that have a clearly defined license that is approved by ENTITY_NAME and available at ACCEPTED_LICENSES_URL.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 consideration should also apply to the dependencies used by the projects: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Shouldn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 one or more of a project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dependencies fit these criteria, participation in the project may still be appropriate, but further scrutiny and evaluation is needed. Projects falling under this situation should be treated on a case by case basis. Additional support can be obtained through ENTITY_SUPPORT_EMAIL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Verifying the integrity of the contribution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civil servants and subcontractors must be the original authors of the contribution that they submit. If the proposed contribution is in part or entirely derived from a third party work, they must ensure that this party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work has been licenced in a way that makes it allowed for inclusion in the target project. They must also ensure to follow the required modalities attached to the third party work.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Signing Contributor</w:t>
      </w:r>
      <w:r>
        <w:rPr>
          <w:rStyle w:val="None"/>
          <w:rFonts w:ascii="Helvetica" w:hAnsi="Helvetica" w:hint="default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License Agreements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civil servants and subcontractors may only contribute to projects that require a Contributor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License Agreement (CLA) that have been agreed upon by ENTITY_NAME and are available at ENTITY_CLA_URL.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Similarly, Individual Contributor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License Agreements need to be approved by ENTITY_SUPPORT_EMAIL.</w:t>
      </w:r>
    </w:p>
    <w:p>
      <w:pPr>
        <w:pStyle w:val="Body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outlineLvl w:val="1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Releasing and Managing Open Source Projects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Initial check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Before starting a new project, civil servants shall verify that there is no existing FOSS project that more or less suits the needs (functional requirements, license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…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 of ENTITY_NAME.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proposed project name shall be checked against trademark protection by a third party or whether the name is already used by another Open Source project.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pt-PT"/>
          <w14:textFill>
            <w14:solidFill>
              <w14:srgbClr w14:val="24292E"/>
            </w14:solidFill>
          </w14:textFill>
        </w:rPr>
        <w:t>Governance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At least two maintainers having full commit rights on a project (preferably from different institutions) should be identified.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Licenses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Whenever possible, the new project shall use an outbound license ensuring compatibility with corresponding FOSS projects ecosystem.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Any new FOSS project dependency shall be duly checked against its compatibility between the licenses of the various components of the project, including the target licence of the project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s code base.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If the ecosystem is completely new, following licenses are recommended depending on the use cases: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General use case : a permissive license (default Apache 2.0) to avoid any competition bias and allow private actors to include the software in proprietary code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240" w:after="240"/>
        <w:ind w:right="0"/>
        <w:jc w:val="left"/>
        <w:rPr>
          <w:rFonts w:ascii="Helvetica" w:hAnsi="Helvetica"/>
          <w:outline w:val="0"/>
          <w:color w:val="24292e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Services aimed directly at citizens: a reciprocal license (default GPL v3.0) to ensure contributions will directly benefit the citizens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Creating a new license is very strongly discouraged and explicit approval is required from ENTITY_SUPPORT_EMAIL.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Contributions should be accepted under the same license as the project outbound license. A CLA should not be required for the project. Instead, a process like the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"http://developercertificate.org/"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Developer</w:t>
      </w:r>
      <w:r>
        <w:rPr>
          <w:rStyle w:val="None"/>
          <w:rFonts w:ascii="Helvetica" w:hAnsi="Helvetica" w:hint="default"/>
          <w:outline w:val="0"/>
          <w:color w:val="0366d6"/>
          <w:u w:val="single" w:color="0366d6"/>
          <w:rtl w:val="0"/>
          <w:lang w:val="en-US"/>
          <w14:textFill>
            <w14:solidFill>
              <w14:srgbClr w14:val="0366D6"/>
            </w14:solidFill>
          </w14:textFill>
        </w:rPr>
        <w:t>’</w:t>
      </w:r>
      <w:r>
        <w:rPr>
          <w:rStyle w:val="Hyperlink.0"/>
          <w:rtl w:val="0"/>
          <w:lang w:val="en-US"/>
        </w:rPr>
        <w:t>s Certificate of Origin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(DCO), can be used to verify that developers agree with the project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license, if so desired.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Version control system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Releasing the source code can be made on any public distributed version control system (git or mercurial) or corresponding hosted platform . A copy of the public repository should be synced with the ENTITY_NAME version control system for backup and integrity checks.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Security</w:t>
      </w:r>
    </w:p>
    <w:p>
      <w:pPr>
        <w:pStyle w:val="Body"/>
        <w:shd w:val="clear" w:color="auto" w:fill="ffffff"/>
        <w:spacing w:after="240"/>
        <w:rPr>
          <w:rStyle w:val="None"/>
          <w:rFonts w:ascii="Helvetica" w:cs="Helvetica" w:hAnsi="Helvetica" w:eastAsia="Helvetica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ENTITY_NAME</w:t>
      </w:r>
      <w:r>
        <w:rPr>
          <w:rStyle w:val="None"/>
          <w:rFonts w:ascii="Helvetica" w:hAnsi="Helvetica" w:hint="default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standard security process should be applied.</w:t>
      </w:r>
    </w:p>
    <w:p>
      <w:pPr>
        <w:pStyle w:val="Body"/>
        <w:shd w:val="clear" w:color="auto" w:fill="ffffff"/>
        <w:spacing w:before="360" w:after="240"/>
        <w:outlineLvl w:val="2"/>
        <w:rPr>
          <w:rStyle w:val="None"/>
          <w:rFonts w:ascii="Helvetica" w:cs="Helvetica" w:hAnsi="Helvetica" w:eastAsia="Helvetica"/>
          <w:b w:val="1"/>
          <w:bCs w:val="1"/>
          <w:outline w:val="0"/>
          <w:color w:val="24292e"/>
          <w:sz w:val="25"/>
          <w:szCs w:val="25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4292e"/>
          <w:sz w:val="25"/>
          <w:szCs w:val="25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Deprecation Policy</w:t>
      </w:r>
    </w:p>
    <w:p>
      <w:pPr>
        <w:pStyle w:val="Body"/>
        <w:shd w:val="clear" w:color="auto" w:fill="ffffff"/>
        <w:spacing w:after="100"/>
      </w:pPr>
      <w:r>
        <w:rPr>
          <w:rStyle w:val="None"/>
          <w:rFonts w:ascii="Helvetica" w:hAnsi="Helvetica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Public repositories are archived in a manner accessible to the public when ENTITY_NAME hands over or discontinues a software project.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Helvetica" w:cs="Helvetica" w:hAnsi="Helvetica" w:eastAsia="Helvetica"/>
          <w:b w:val="1"/>
          <w:bCs w:val="1"/>
          <w:outline w:val="0"/>
          <w:color w:val="24292e"/>
          <w:kern w:val="36"/>
          <w:sz w:val="40"/>
          <w:szCs w:val="40"/>
          <w:u w:color="24292e"/>
          <w:vertAlign w:val="superscript"/>
          <w14:textFill>
            <w14:solidFill>
              <w14:srgbClr w14:val="24292E"/>
            </w14:solidFill>
          </w14:textFill>
        </w:rPr>
        <w:footnoteRef/>
      </w:r>
      <w:r>
        <w:rPr>
          <w:rFonts w:cs="Arial Unicode MS" w:eastAsia="Arial Unicode MS"/>
          <w:rtl w:val="0"/>
          <w:lang w:val="en-US"/>
        </w:rPr>
        <w:t xml:space="preserve"> This policy originates from here: https://github.com/DISIC/foss-contrib-policy-template/blob/master/FOSSPolicyTemplate.md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366d6"/>
      <w:u w:val="single" w:color="0366d6"/>
      <w14:textFill>
        <w14:solidFill>
          <w14:srgbClr w14:val="0366D6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