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Weekly check-in call — the routine Care Coordinator touch</w:t>
      </w:r>
    </w:p>
    <w:p>
      <w:pPr>
        <w:pStyle w:val="alert-warning"/>
      </w:pPr>
      <w:r>
        <w:rPr>
          <w:b/>
          <w:bCs/>
        </w:rPr>
        <w:t xml:space="preserve">DRAFT</w:t>
      </w:r>
      <w:r>
        <w:t xml:space="preserve"> </w:t>
      </w:r>
      <w:r>
        <w:t xml:space="preserve">— clinical content pending Marrero + Healthcare Data Governance review. Do not use operationally. This document is rendered from the use-case spec at</w:t>
      </w:r>
      <w:r>
        <w:t xml:space="preserve"> </w:t>
      </w:r>
      <w:r>
        <w:rPr>
          <w:rStyle w:val="VerbatimChar"/>
        </w:rPr>
        <w:t xml:space="preserve">use-cases/weekly-checkin-call/</w:t>
      </w:r>
      <w:r>
        <w:t xml:space="preserve">; corrections land in the source fragments, not in this rendered output.</w:t>
      </w:r>
    </w:p>
    <w:p>
      <w:pPr>
        <w:pStyle w:val="Heading2"/>
      </w:pPr>
      <w:r>
        <w:t xml:space="preserve">Who this is for and what it covers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Care coordinators conducting routine weekly check-in calls with participants during the 26-week intervention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Roster-top trigger through outcome logging, with the yellow-flag escalation route to the UConn clinical team.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Onboarding contact (separate procedure); enrollment first-contact (separate procedure); RD recurring assessment (separate procedure); the receiving-team’s intake and follow-up after a yellow-flag hand-off (separate procedure).</w:t>
            </w:r>
          </w:p>
        </w:tc>
      </w:tr>
    </w:tbl>
    <w:p>
      <w:pPr>
        <w:pStyle w:val="Heading2"/>
      </w:pPr>
      <w:r>
        <w:t xml:space="preserve">When the routine fires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participant surfaces at the top of the roster.</w:t>
      </w:r>
      <w:r>
        <w:t xml:space="preserve"> </w:t>
      </w:r>
      <w:r>
        <w:t xml:space="preserve">The patient profile surface sorts participants by days-since-last-contact; the participant at the top is the next routine touch.</w:t>
      </w:r>
    </w:p>
    <w:p>
      <w:pPr>
        <w:numPr>
          <w:ilvl w:val="0"/>
          <w:numId w:val="1000"/>
        </w:numPr>
      </w:pPr>
      <w:r>
        <w:t xml:space="preserve">The roster sort is deterministic — the CC does not manually select who to call. Participants are touched once per intervention week across the 26-week window.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CC selects the channel per saved preference.</w:t>
      </w:r>
      <w:r>
        <w:t xml:space="preserve"> </w:t>
      </w:r>
      <w:r>
        <w:t xml:space="preserve">The patient profile carries a saved channel preference field (phone or text). The CC initiates the check-in on the saved channel.</w:t>
      </w:r>
    </w:p>
    <w:p>
      <w:pPr>
        <w:pStyle w:val="alert-warning"/>
        <w:numPr>
          <w:ilvl w:val="0"/>
          <w:numId w:val="1000"/>
        </w:numPr>
      </w:pPr>
      <w:r>
        <w:rPr>
          <w:b/>
          <w:bCs/>
        </w:rPr>
        <w:t xml:space="preserve">Channel-switch protocol pending cap-26.</w:t>
      </w:r>
      <w:r>
        <w:t xml:space="preserve"> </w:t>
      </w:r>
      <w:r>
        <w:t xml:space="preserve">If the preferred channel fails (phone unanswered, text bounces, participant unreachable), the protocol for switching channels and what counts as a successful contact attempt across modalities is not yet authored. The cap-26 multi-modal contact protocol is a structural gap blocking operational deployment.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CC conducts the 10–15 minute check-in.</w:t>
      </w:r>
      <w:r>
        <w:t xml:space="preserve"> </w:t>
      </w:r>
      <w:r>
        <w:t xml:space="preserve">The call covers three scope areas: order support (delivery confirmation, troubleshooting), adherence (participant-reported adherence to the meal plan, barriers), and barriers to participation (wraparound needs, life circumstances, platform issues).</w:t>
      </w:r>
    </w:p>
    <w:p>
      <w:pPr>
        <w:numPr>
          <w:ilvl w:val="0"/>
          <w:numId w:val="1000"/>
        </w:numPr>
      </w:pPr>
      <w:r>
        <w:t xml:space="preserve">The CC’s posture during the call is</w:t>
      </w:r>
      <w:r>
        <w:t xml:space="preserve"> </w:t>
      </w:r>
      <w:r>
        <w:rPr>
          <w:b/>
          <w:bCs/>
        </w:rPr>
        <w:t xml:space="preserve">service provider, not friend</w:t>
      </w:r>
      <w:r>
        <w:t xml:space="preserve"> </w:t>
      </w:r>
      <w:r>
        <w:t xml:space="preserve">— the routine surfaces participant state, captures structured fields, and routes concerns. The cap-25 do/don’t guidance operationalizing this posture is contingent on the Dr. Wu script and data-goals draft;</w:t>
      </w:r>
      <w:r>
        <w:t xml:space="preserve"> </w:t>
      </w:r>
      <w:r>
        <w:rPr>
          <w:b/>
          <w:bCs/>
        </w:rPr>
        <w:t xml:space="preserve">the posture is named but not yet authored as operational guidance.</w:t>
      </w:r>
    </w:p>
    <w:p>
      <w:pPr>
        <w:pStyle w:val="alert-warning"/>
        <w:numPr>
          <w:ilvl w:val="0"/>
          <w:numId w:val="1000"/>
        </w:numPr>
      </w:pPr>
      <w:r>
        <w:rPr>
          <w:b/>
          <w:bCs/>
        </w:rPr>
        <w:t xml:space="preserve">Cap-25 CC do/don’t guidance pending Dr. Wu script + data-goals draft.</w:t>
      </w:r>
      <w:r>
        <w:t xml:space="preserve"> </w:t>
      </w:r>
      <w:r>
        <w:t xml:space="preserve">The service-provider-not-friend posture is named in current SoP but operational specifics (what to say, what to avoid, how to redirect a friendly drift, per-scope-area script content) are not yet authored.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CC classifies the contact outcome.</w:t>
      </w:r>
      <w:r>
        <w:t xml:space="preserve"> </w:t>
      </w:r>
      <w:r>
        <w:t xml:space="preserve">The 5-way enum determines the next routing.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Successful (no yellow flag).</w:t>
      </w:r>
      <w:r>
        <w:t xml:space="preserve"> </w:t>
      </w:r>
      <w:r>
        <w:t xml:space="preserve">Contact completed, scope areas covered, no concern surfaced warranting escalation → routes to log outcome + next-touch.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Successful (yellow flag).</w:t>
      </w:r>
      <w:r>
        <w:t xml:space="preserve"> </w:t>
      </w:r>
      <w:r>
        <w:t xml:space="preserve">Contact completed AND a concern surfaced meeting yellow-flag criteria → routes to escalation to the UConn clinical team.</w:t>
      </w:r>
      <w:r>
        <w:t xml:space="preserve"> </w:t>
      </w:r>
      <w:r>
        <w:rPr>
          <w:b/>
          <w:bCs/>
        </w:rPr>
        <w:t xml:space="preserve">Yellow-flag routing takes precedence over routine logging — there is no deferral to next week’s touch.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Voicemail.</w:t>
      </w:r>
      <w:r>
        <w:t xml:space="preserve"> </w:t>
      </w:r>
      <w:r>
        <w:t xml:space="preserve">Call reached voicemail; CC left a structured message → routes to follow-up retry scheduling.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No answer.</w:t>
      </w:r>
      <w:r>
        <w:t xml:space="preserve"> </w:t>
      </w:r>
      <w:r>
        <w:t xml:space="preserve">Call did not connect → routes to follow-up retry scheduling.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Refused.</w:t>
      </w:r>
      <w:r>
        <w:t xml:space="preserve"> </w:t>
      </w:r>
      <w:r>
        <w:t xml:space="preserve">Participant declined to engage → routes to follow-up retry scheduling AND flags case for clinical-lead review.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Deferred.</w:t>
      </w:r>
      <w:r>
        <w:t xml:space="preserve"> </w:t>
      </w:r>
      <w:r>
        <w:t xml:space="preserve">Participant requested to reschedule the check-in → routes to follow-up retry scheduling at the participant-requested time.</w:t>
      </w:r>
    </w:p>
    <w:p>
      <w:pPr>
        <w:pStyle w:val="alert-warning"/>
        <w:numPr>
          <w:ilvl w:val="0"/>
          <w:numId w:val="1000"/>
        </w:numPr>
      </w:pPr>
      <w:r>
        <w:rPr>
          <w:b/>
          <w:bCs/>
        </w:rPr>
        <w:t xml:space="preserve">Yellow-flag criteria pending Marrero.</w:t>
      </w:r>
      <w:r>
        <w:t xml:space="preserve"> </w:t>
      </w:r>
      <w:r>
        <w:t xml:space="preserve">Which barriers or concerns surfaced during the call warrant a yellow-flag escalation versus log-and-monitor is the primary clinical-policy question for the outcome decision and is undefined in the current SoP.</w:t>
      </w:r>
      <w:r>
        <w:t xml:space="preserve"> </w:t>
      </w:r>
      <w:r>
        <w:rPr>
          <w:b/>
          <w:bCs/>
        </w:rPr>
        <w:t xml:space="preserve">5-way enum boundary semantics also pending</w:t>
      </w:r>
      <w:r>
        <w:t xml:space="preserve"> </w:t>
      </w:r>
      <w:r>
        <w:t xml:space="preserve">— when an unanswered call counts as voicemail vs. no answer, when a rescheduled mid-call counts as deferred vs. successful with next-touch.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 successful outcome (no yellow flag), the CC logs structured outcome fields and sets the next-touch plan.</w:t>
      </w:r>
      <w:r>
        <w:t xml:space="preserve"> </w:t>
      </w:r>
      <w:r>
        <w:t xml:space="preserve">The patient profile surfaces structured fields for contact outcome, adherence rating, barriers surfaced, wraparound needs, satisfaction signal, and free-text note. The next-touch is set per the routine cadence (default +7 days; tier-by-barrier-severity adjustment pending Marrero).</w:t>
      </w:r>
    </w:p>
    <w:p>
      <w:pPr>
        <w:pStyle w:val="alert-warning"/>
        <w:numPr>
          <w:ilvl w:val="0"/>
          <w:numId w:val="1000"/>
        </w:numPr>
      </w:pPr>
      <w:r>
        <w:rPr>
          <w:b/>
          <w:bCs/>
        </w:rPr>
        <w:t xml:space="preserve">Structured-field schema pending Marrero + platform spec.</w:t>
      </w:r>
      <w:r>
        <w:t xml:space="preserve"> </w:t>
      </w:r>
      <w:r>
        <w:t xml:space="preserve">Specific fields surfaced for CC entry are not yet finalized. Next-touch cadence rules — fixed weekly vs. adjusted by barrier severity vs. clinical-lead-set — pending Marrero.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 yellow-flag outcome, the CC routes the case to the UConn clinical team.</w:t>
      </w:r>
      <w:r>
        <w:t xml:space="preserve"> </w:t>
      </w:r>
      <w:r>
        <w:t xml:space="preserve">The hand-off package contains patient identity, check-in call summary, structured outcome, concern detail (free-text narrative of what surfaced and why CC classified as yellow flag), current care plan summary, prior check-in history, and patient contact preferences.</w:t>
      </w:r>
    </w:p>
    <w:p>
      <w:pPr>
        <w:pStyle w:val="alert-error"/>
        <w:numPr>
          <w:ilvl w:val="0"/>
          <w:numId w:val="1000"/>
        </w:numPr>
      </w:pPr>
      <w:r>
        <w:rPr>
          <w:b/>
          <w:bCs/>
        </w:rPr>
        <w:t xml:space="preserve">First-action specifics pending Vanessa + Marrero — same critical structural gap as the PHQ9 escalation use case.</w:t>
      </w:r>
      <w:r>
        <w:t xml:space="preserve"> </w:t>
      </w:r>
      <w:r>
        <w:t xml:space="preserve">What the CC does in the first 5 minutes after firing a yellow flag is undefined: does the CC stay on the line, end the call and transmit asynchronously, schedule a same-day callback, bridge the clinical team into a live text thread? The Care Coordinator SoP carries an explicit</w:t>
      </w:r>
      <w:r>
        <w:t xml:space="preserve"> </w:t>
      </w:r>
      <w:r>
        <w:rPr>
          <w:rStyle w:val="VerbatimChar"/>
        </w:rPr>
        <w:t xml:space="preserve">[NEEDS VANESSA / MARRERO]</w:t>
      </w:r>
      <w:r>
        <w:t xml:space="preserve"> </w:t>
      </w:r>
      <w:r>
        <w:t xml:space="preserve">placeholder. Resolution unblocks both this use case and PHQ9 escalation.</w:t>
      </w:r>
    </w:p>
    <w:p>
      <w:pPr>
        <w:pStyle w:val="alert-warning"/>
        <w:numPr>
          <w:ilvl w:val="0"/>
          <w:numId w:val="1000"/>
        </w:numPr>
      </w:pPr>
      <w:r>
        <w:rPr>
          <w:b/>
          <w:bCs/>
        </w:rPr>
        <w:t xml:space="preserve">Receiving-actor identity unresolved.</w:t>
      </w:r>
      <w:r>
        <w:t xml:space="preserve"> </w:t>
      </w:r>
      <w:r>
        <w:t xml:space="preserve">Whether the receiving team is a UConn-side clinical team member or a Cena-staffed BHN function is pending UConn partner protocol. The hand-off transport (secure messaging API via Athena CommonWell, fax fallback) is also pending.</w:t>
      </w:r>
      <w:r>
        <w:t xml:space="preserve"> </w:t>
      </w:r>
      <w:r>
        <w:rPr>
          <w:b/>
          <w:bCs/>
        </w:rPr>
        <w:t xml:space="preserve">This is the same structural gap as escalation-phq9-positive</w:t>
      </w:r>
      <w:r>
        <w:t xml:space="preserve"> </w:t>
      </w:r>
      <w:r>
        <w:t xml:space="preserve">— resolution applies to both use cases.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 voicemail, no-answer, refused, or deferred outcome, the CC schedules a follow-up retry.</w:t>
      </w:r>
      <w:r>
        <w:t xml:space="preserve"> </w:t>
      </w:r>
      <w:r>
        <w:t xml:space="preserve">The retry is scheduled per the cap-26 multi-modal contact protocol. Refused outcomes additionally flag the case for clinical-lead review (immediate vs. accumulated-pattern threshold pending Marrero).</w:t>
      </w:r>
    </w:p>
    <w:p>
      <w:pPr>
        <w:pStyle w:val="alert-warning"/>
        <w:numPr>
          <w:ilvl w:val="0"/>
          <w:numId w:val="1000"/>
        </w:numPr>
      </w:pPr>
      <w:r>
        <w:rPr>
          <w:b/>
          <w:bCs/>
        </w:rPr>
        <w:t xml:space="preserve">Cap-26 multi-modal contact protocol entirely undefined.</w:t>
      </w:r>
      <w:r>
        <w:t xml:space="preserve"> </w:t>
      </w:r>
      <w:r>
        <w:t xml:space="preserve">Retry cadence, channel-switch rules, what counts as a successful contact attempt across modalities, and the retry-attempt allowance per week before clinical-lead escalation — all pending. This is a structural gap blocking operational deployment.</w:t>
      </w:r>
    </w:p>
    <w:p>
      <w:pPr>
        <w:pStyle w:val="Heading2"/>
      </w:pPr>
      <w:r>
        <w:t xml:space="preserve">Hand-off package — what ships on yellow flag</w:t>
      </w:r>
    </w:p>
    <w:tbl>
      <w:tblPr>
        <w:tblW w:w="5000" w:type="pct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160" w:type="dxa"/>
          <w:bottom w:w="160" w:type="dxa"/>
          <w:left w:w="200" w:type="dxa"/>
          <w:right w:w="200" w:type="dxa"/>
        </w:tblCellMar>
      </w:tblPr>
      <w:tr>
        <w:trPr>
          <w:cantSplit w:val="true"/>
        </w:trPr>
        <w:tc>
          <w:tcPr>
            <w:tcW w:w="5000" w:type="pct"/>
            <w:shd w:val="clear" w:color="auto" w:fill="f8f4ec"/>
          </w:tcPr>
          <w:p>
            <w:pPr>
              <w:pStyle w:val="card-title"/>
            </w:pPr>
            <w:r>
              <w:t xml:space="preserve">Yellow-flag hand-off package contents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Patient identity package (name, DOB, contact information, MRN if applicable)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Check-in call summary (date, channel, duration, scope areas covered)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Structured outcome (yellow-flag classification, barrier categories, adherence rating)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Concern detail (free-text narrative of what surfaced and the CC’s rationale for the yellow-flag classification)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Current care plan summary (diet, recent vitals, current medications)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Prior check-in history (recent-weeks trend for clinical context)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Patient contact preferences (preferred channel, preferred window for clinical-team follow-up)</w:t>
            </w:r>
          </w:p>
        </w:tc>
      </w:tr>
    </w:tbl>
    <w:p>
      <w:pPr>
        <w:pStyle w:val="alert-warning"/>
      </w:pPr>
      <w:r>
        <w:rPr>
          <w:b/>
          <w:bCs/>
        </w:rPr>
        <w:t xml:space="preserve">Same hand-off package and transport as PHQ9 escalation.</w:t>
      </w:r>
      <w:r>
        <w:t xml:space="preserve"> </w:t>
      </w:r>
      <w:r>
        <w:t xml:space="preserve">Identity-resolution and transport gaps resolve once for both use cases.</w:t>
      </w:r>
    </w:p>
    <w:p>
      <w:pPr>
        <w:pStyle w:val="Heading2"/>
      </w:pPr>
      <w:r>
        <w:t xml:space="preserve">Escalation — when this routes elsewhere</w:t>
      </w:r>
    </w:p>
    <w:p>
      <w:pPr>
        <w:pStyle w:val="escalation"/>
      </w:pPr>
      <w:r>
        <w:rPr>
          <w:b/>
          <w:bCs/>
        </w:rPr>
        <w:t xml:space="preserve">If a yellow flag fires during the call</w:t>
      </w:r>
      <w:r>
        <w:t xml:space="preserve"> </w:t>
      </w:r>
      <w:r>
        <w:t xml:space="preserve">— the case escalates to the UConn clinical team in the same operational window. There is no deferral to next week’s routine touch. First-action specifics in the first 5 minutes after the flag fires are pending Vanessa + Marrero.</w:t>
      </w:r>
    </w:p>
    <w:p>
      <w:pPr>
        <w:pStyle w:val="escalation"/>
      </w:pPr>
      <w:r>
        <w:rPr>
          <w:b/>
          <w:bCs/>
        </w:rPr>
        <w:t xml:space="preserve">If the UConn clinical team does not acknowledge within their SLA</w:t>
      </w:r>
      <w:r>
        <w:t xml:space="preserve"> </w:t>
      </w:r>
      <w:r>
        <w:t xml:space="preserve">— the case re-routes to the Cena clinical lead via paging. Partner-side SLA is pending UConn protocol.</w:t>
      </w:r>
    </w:p>
    <w:p>
      <w:pPr>
        <w:pStyle w:val="escalation"/>
      </w:pPr>
      <w:r>
        <w:rPr>
          <w:b/>
          <w:bCs/>
        </w:rPr>
        <w:t xml:space="preserve">If the contact is refused</w:t>
      </w:r>
      <w:r>
        <w:t xml:space="preserve"> </w:t>
      </w:r>
      <w:r>
        <w:t xml:space="preserve">— the case routes to follow-up retry scheduling AND flags the case for clinical-lead review. Whether the review fires immediately on a single refusal or accumulates (e.g., 2 consecutive refusals) is pending Marrero.</w:t>
      </w:r>
    </w:p>
    <w:p>
      <w:pPr>
        <w:pStyle w:val="escalation"/>
      </w:pPr>
      <w:r>
        <w:rPr>
          <w:b/>
          <w:bCs/>
        </w:rPr>
        <w:t xml:space="preserve">If the retry-attempt allowance is exceeded</w:t>
      </w:r>
      <w:r>
        <w:t xml:space="preserve"> </w:t>
      </w:r>
      <w:r>
        <w:t xml:space="preserve">— the case routes to the clinical-lead review queue. Allowance value pending Marrero.</w:t>
      </w:r>
    </w:p>
    <w:p>
      <w:pPr>
        <w:pStyle w:val="Heading2"/>
      </w:pPr>
      <w:r>
        <w:t xml:space="preserve">Each call — the checklist</w:t>
      </w:r>
    </w:p>
    <w:tbl>
      <w:tblPr>
        <w:tblW w:w="5000" w:type="pct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160" w:type="dxa"/>
          <w:bottom w:w="160" w:type="dxa"/>
          <w:left w:w="200" w:type="dxa"/>
          <w:right w:w="200" w:type="dxa"/>
        </w:tblCellMar>
      </w:tblPr>
      <w:tr>
        <w:trPr>
          <w:cantSplit w:val="true"/>
        </w:trPr>
        <w:tc>
          <w:tcPr>
            <w:tcW w:w="5000" w:type="pct"/>
            <w:shd w:val="clear" w:color="auto" w:fill="f8f4ec"/>
          </w:tcPr>
          <w:p>
            <w:pPr>
              <w:pStyle w:val="card-title"/>
            </w:pPr>
            <w:r>
              <w:t xml:space="preserve">Per-call checklist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Participant surfaced at top of roster (days-since-last-contact sort)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Channel preference read from patient profile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Contact initiated on preferred channel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All three scope areas attempted (order support / adherence / barriers)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Service-provider-not-friend posture maintained (pending cap-25 guidance)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Contact outcome classified per 5-way enum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Yellow-flag overlay evaluated independently of contact-outcome classification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On successful (no yellow flag) — structured outcome fields logged and next-touch set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On yellow flag — hand-off package transmitted to UConn clinical team via configured transport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On yellow flag — ack received within SLA (or timeout escalation fired to clinical lead)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On voicemail / no answer / refused / deferred — follow-up retry scheduled per cap-26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On refused — case flagged for clinical-lead review</w:t>
            </w:r>
          </w:p>
        </w:tc>
      </w:tr>
    </w:tbl>
    <w:p>
      <w:pPr>
        <w:pStyle w:val="Heading2"/>
      </w:pPr>
      <w:r>
        <w:t xml:space="preserve">Terms used here</w:t>
      </w:r>
    </w:p>
    <w:p>
      <w:pPr>
        <w:pStyle w:val="glossary-term"/>
      </w:pPr>
      <w:r>
        <w:t xml:space="preserve">Roster</w:t>
      </w:r>
    </w:p>
    <w:p>
      <w:pPr>
        <w:pStyle w:val="glossary-def"/>
      </w:pPr>
      <w:r>
        <w:t xml:space="preserve">The Care Coordinator’s view of participants sorted by days-since-last-contact. The participant at the top is the next routine touch. Sort is deterministic — the CC does not manually select who to call.</w:t>
      </w:r>
    </w:p>
    <w:p>
      <w:pPr>
        <w:pStyle w:val="glossary-term"/>
      </w:pPr>
      <w:r>
        <w:t xml:space="preserve">Yellow flag</w:t>
      </w:r>
    </w:p>
    <w:p>
      <w:pPr>
        <w:pStyle w:val="glossary-def"/>
      </w:pPr>
      <w:r>
        <w:t xml:space="preserve">A classification overlay on a contact outcome marking that a concern surfaced during the check-in warranting same-day escalation to the receiving clinical team rather than deferral to next week’s routine touch. Specific yellow-flag criteria are pending Marrero. Routes via the same escalation edge shared with PHQ9-positive responses.</w:t>
      </w:r>
    </w:p>
    <w:p>
      <w:pPr>
        <w:pStyle w:val="glossary-term"/>
      </w:pPr>
      <w:r>
        <w:t xml:space="preserve">BHN</w:t>
      </w:r>
    </w:p>
    <w:p>
      <w:pPr>
        <w:pStyle w:val="glossary-def"/>
      </w:pPr>
      <w:r>
        <w:t xml:space="preserve">Behavioral Health Network — the partner clinical team that receives escalated cases for behavioral health follow-up. Whether BHN is a Cena-staffed role or a UConn-side function is unresolved as of this draft. Same definition as the PHQ9 escalation use case; resolution applies to both.</w:t>
      </w:r>
    </w:p>
    <w:p>
      <w:pPr>
        <w:pStyle w:val="glossary-term"/>
      </w:pPr>
      <w:r>
        <w:t xml:space="preserve">Chain of custody</w:t>
      </w:r>
    </w:p>
    <w:p>
      <w:pPr>
        <w:pStyle w:val="glossary-def"/>
      </w:pPr>
      <w:r>
        <w:t xml:space="preserve">The sequenced, hashed record of every action taken on a case — from the trigger event through every attestation gate, hand-off, and acknowledgment. Allows the case history to be reconstructed deterministically for audit or regulatory review.</w:t>
      </w:r>
    </w:p>
    <w:p>
      <w:pPr>
        <w:pStyle w:val="glossary-term"/>
      </w:pPr>
      <w:r>
        <w:t xml:space="preserve">Cap-25</w:t>
      </w:r>
    </w:p>
    <w:p>
      <w:pPr>
        <w:pStyle w:val="glossary-def"/>
      </w:pPr>
      <w:r>
        <w:t xml:space="preserve">A capability slot in the SOP Coverage Map representing the CC do/don’t guidance (service-provider-not-friend posture) for the weekly check-in. Content is contingent on the Dr. Wu script and data-goals draft and is not yet authored. Cap-25 is a structural gap blocking operational deployment of the routine.</w:t>
      </w:r>
    </w:p>
    <w:p>
      <w:pPr>
        <w:pStyle w:val="glossary-term"/>
      </w:pPr>
      <w:r>
        <w:t xml:space="preserve">Cap-26</w:t>
      </w:r>
    </w:p>
    <w:p>
      <w:pPr>
        <w:pStyle w:val="glossary-def"/>
      </w:pPr>
      <w:r>
        <w:t xml:space="preserve">A capability slot in the SOP Coverage Map representing the multi-modal contact protocol — which channels are supported, when to switch between them, what counts as a successful contact attempt across modalities, retry cadence, and attempt allowance. Cap-26 is undefined and is a structural gap blocking operational deployment.</w:t>
      </w:r>
    </w:p>
    <w:p>
      <w:pPr>
        <w:pStyle w:val="Heading2"/>
      </w:pPr>
      <w:r>
        <w:t xml:space="preserve">Not yet approved — gates remaining</w:t>
      </w:r>
    </w:p>
    <w:tbl>
      <w:tblPr>
        <w:tblW w:w="5000" w:type="pct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w="160" w:type="dxa"/>
          <w:bottom w:w="160" w:type="dxa"/>
          <w:left w:w="200" w:type="dxa"/>
          <w:right w:w="200" w:type="dxa"/>
        </w:tblCellMar>
      </w:tblPr>
      <w:tr>
        <w:trPr>
          <w:cantSplit w:val="true"/>
        </w:trPr>
        <w:tc>
          <w:tcPr>
            <w:tcW w:w="5000" w:type="pct"/>
            <w:shd w:val="clear" w:color="auto" w:fill="e4dfd7"/>
          </w:tcPr>
          <w:p>
            <w:pPr>
              <w:pStyle w:val="FirstParagraph"/>
            </w:pPr>
            <w:r>
              <w:t xml:space="preserve">This procedure is a DRAFT. Three approval gates remain before operational use.</w:t>
            </w:r>
          </w:p>
          <w:p>
            <w:pPr>
              <w:pStyle w:val="attestation-gate"/>
            </w:pPr>
            <w:r>
              <w:rPr>
                <w:b/>
                <w:bCs/>
              </w:rPr>
              <w:t xml:space="preserve">Clinically accurate</w:t>
            </w:r>
            <w:r>
              <w:t xml:space="preserve"> </w:t>
            </w:r>
            <w:r>
              <w:t xml:space="preserve">— pending clinical lead (Cena hire TBD; coordinate with Vanessa)</w:t>
            </w:r>
          </w:p>
          <w:p>
            <w:pPr>
              <w:pStyle w:val="attestation-gate"/>
            </w:pPr>
            <w:r>
              <w:rPr>
                <w:b/>
                <w:bCs/>
              </w:rPr>
              <w:t xml:space="preserve">Operationally true</w:t>
            </w:r>
            <w:r>
              <w:t xml:space="preserve"> </w:t>
            </w:r>
            <w:r>
              <w:t xml:space="preserve">— pending Vanessa Sena</w:t>
            </w:r>
          </w:p>
          <w:p>
            <w:pPr>
              <w:pStyle w:val="attestation-gate"/>
            </w:pPr>
            <w:r>
              <w:rPr>
                <w:b/>
                <w:bCs/>
              </w:rPr>
              <w:t xml:space="preserve">Signed off</w:t>
            </w:r>
            <w:r>
              <w:t xml:space="preserve"> </w:t>
            </w:r>
            <w:r>
              <w:t xml:space="preserve">— pending Director of Clinical Operations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Awaiting all gates — draft, not yet approved for use • Version 0.1</w:t>
            </w:r>
          </w:p>
        </w:tc>
      </w:tr>
    </w:tbl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360" w:hanging="360"/>
      </w:pPr>
    </w:lvl>
    <w:lvl w:ilvl="1">
      <w:numFmt w:val="bullet"/>
      <w:lvlText w:val=" "/>
      <w:lvlJc w:val="left"/>
      <w:pPr>
        <w:ind w:left="1080" w:hanging="360"/>
      </w:pPr>
    </w:lvl>
    <w:lvl w:ilvl="2">
      <w:numFmt w:val="bullet"/>
      <w:lvlText w:val=" "/>
      <w:lvlJc w:val="left"/>
      <w:pPr>
        <w:ind w:left="1800" w:hanging="360"/>
      </w:pPr>
    </w:lvl>
    <w:lvl w:ilvl="3">
      <w:numFmt w:val="bullet"/>
      <w:lvlText w:val=" "/>
      <w:lvlJc w:val="left"/>
      <w:pPr>
        <w:ind w:left="2520" w:hanging="360"/>
      </w:pPr>
    </w:lvl>
    <w:lvl w:ilvl="4">
      <w:numFmt w:val="bullet"/>
      <w:lvlText w:val=" "/>
      <w:lvlJc w:val="left"/>
      <w:pPr>
        <w:ind w:left="3240" w:hanging="360"/>
      </w:pPr>
    </w:lvl>
    <w:lvl w:ilvl="5">
      <w:numFmt w:val="bullet"/>
      <w:lvlText w:val=" "/>
      <w:lvlJc w:val="left"/>
      <w:pPr>
        <w:ind w:left="3960" w:hanging="360"/>
      </w:pPr>
    </w:lvl>
    <w:lvl w:ilvl="6">
      <w:numFmt w:val="bullet"/>
      <w:lvlText w:val=" "/>
      <w:lvlJc w:val="left"/>
      <w:pPr>
        <w:ind w:left="4680" w:hanging="360"/>
      </w:pPr>
    </w:lvl>
    <w:lvl w:ilvl="7">
      <w:numFmt w:val="bullet"/>
      <w:lvlText w:val=" "/>
      <w:lvlJc w:val="left"/>
      <w:pPr>
        <w:ind w:left="5400" w:hanging="360"/>
      </w:pPr>
    </w:lvl>
    <w:lvl w:ilvl="8">
      <w:numFmt w:val="bullet"/>
      <w:lvlText w:val=" "/>
      <w:lvlJc w:val="left"/>
      <w:pPr>
        <w:ind w:left="612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360" w:hanging="360"/>
      </w:pPr>
    </w:lvl>
    <w:lvl w:ilvl="1">
      <w:numFmt w:val="bullet"/>
      <w:lvlText w:val="☐"/>
      <w:lvlJc w:val="left"/>
      <w:pPr>
        <w:ind w:left="1080" w:hanging="360"/>
      </w:pPr>
    </w:lvl>
    <w:lvl w:ilvl="2">
      <w:numFmt w:val="bullet"/>
      <w:lvlText w:val="☐"/>
      <w:lvlJc w:val="left"/>
      <w:pPr>
        <w:ind w:left="1800" w:hanging="360"/>
      </w:pPr>
    </w:lvl>
    <w:lvl w:ilvl="3">
      <w:numFmt w:val="bullet"/>
      <w:lvlText w:val="☐"/>
      <w:lvlJc w:val="left"/>
      <w:pPr>
        <w:ind w:left="2520" w:hanging="360"/>
      </w:pPr>
    </w:lvl>
    <w:lvl w:ilvl="4">
      <w:numFmt w:val="bullet"/>
      <w:lvlText w:val="☐"/>
      <w:lvlJc w:val="left"/>
      <w:pPr>
        <w:ind w:left="3240" w:hanging="360"/>
      </w:pPr>
    </w:lvl>
    <w:lvl w:ilvl="5">
      <w:numFmt w:val="bullet"/>
      <w:lvlText w:val="☐"/>
      <w:lvlJc w:val="left"/>
      <w:pPr>
        <w:ind w:left="3960" w:hanging="360"/>
      </w:pPr>
    </w:lvl>
    <w:lvl w:ilvl="6">
      <w:numFmt w:val="bullet"/>
      <w:lvlText w:val="☐"/>
      <w:lvlJc w:val="left"/>
      <w:pPr>
        <w:ind w:left="4680" w:hanging="360"/>
      </w:pPr>
    </w:lvl>
    <w:lvl w:ilvl="7">
      <w:numFmt w:val="bullet"/>
      <w:lvlText w:val="☐"/>
      <w:lvlJc w:val="left"/>
      <w:pPr>
        <w:ind w:left="5400" w:hanging="360"/>
      </w:pPr>
    </w:lvl>
    <w:lvl w:ilvl="8">
      <w:numFmt w:val="bullet"/>
      <w:lvlText w:val="☐"/>
      <w:lvlJc w:val="left"/>
      <w:pPr>
        <w:ind w:left="612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25211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2521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25211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  <w:ind w:hanging="360" w:left="360"/>
    </w:pPr>
    <w:rPr>
      <w:rFonts w:ascii="Source Sans 3" w:hAnsi="Source Sans 3"/>
      <w:color w:val="2521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25211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40" w:before="240" w:line="288" w:lineRule="auto"/>
    </w:pPr>
    <w:rPr>
      <w:rFonts w:ascii="Source Sans 3" w:hAnsi="Source Sans 3"/>
      <w:b/>
      <w:color w:val="777069"/>
      <w:sz w:val="20"/>
      <w:caps w:val="true"/>
      <w:spacing w:val="15"/>
    </w:rPr>
  </w:style>
  <w:style w:customStyle="1" w:styleId="Definition" w:type="paragraph">
    <w:name w:val="Definition"/>
    <w:basedOn w:val="Normal"/>
    <w:pPr>
      <w:spacing w:after="160" w:line="336" w:lineRule="auto"/>
    </w:pPr>
    <w:rPr>
      <w:rFonts w:ascii="Source Sans 3" w:hAnsi="Source Sans 3"/>
      <w:color w:val="25211D"/>
      <w:sz w:val="22"/>
    </w:r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lert-info" w:type="paragraph">
    <w:name w:val="alert-info"/>
    <w:basedOn w:val="Normal"/>
    <w:pPr>
      <w:spacing w:after="160" w:before="160" w:line="288" w:lineRule="auto"/>
      <w:pBdr>
        <w:top w:color="c8f4ff" w:space="6" w:sz="2" w:val="single"/>
        <w:left w:color="236b8f" w:space="8" w:sz="18" w:val="single"/>
        <w:bottom w:color="c8f4ff" w:space="6" w:sz="2" w:val="single"/>
        <w:right w:color="c8f4ff" w:space="10" w:sz="2" w:val="single"/>
      </w:pBdr>
      <w:ind w:left="240"/>
      <w:shd w:color="auto" w:fill="c8f4ff" w:val="clear"/>
      <w:keepLines/>
      <w:keepNext/>
    </w:pPr>
    <w:rPr>
      <w:rFonts w:ascii="Source Sans 3" w:hAnsi="Source Sans 3"/>
      <w:color w:val="25211D"/>
      <w:sz w:val="22"/>
    </w:rPr>
  </w:style>
  <w:style w:customStyle="1" w:styleId="alert-warning" w:type="paragraph">
    <w:name w:val="alert-warning"/>
    <w:basedOn w:val="Normal"/>
    <w:pPr>
      <w:spacing w:after="160" w:before="160" w:line="288" w:lineRule="auto"/>
      <w:pBdr>
        <w:top w:color="faefda" w:space="6" w:sz="2" w:val="single"/>
        <w:left w:color="aa8232" w:space="8" w:sz="18" w:val="single"/>
        <w:bottom w:color="faefda" w:space="6" w:sz="2" w:val="single"/>
        <w:right w:color="faefda" w:space="10" w:sz="2" w:val="single"/>
      </w:pBdr>
      <w:ind w:left="240"/>
      <w:shd w:color="auto" w:fill="faefda" w:val="clear"/>
      <w:keepLines/>
      <w:keepNext/>
    </w:pPr>
    <w:rPr>
      <w:rFonts w:ascii="Source Sans 3" w:hAnsi="Source Sans 3"/>
      <w:color w:val="25211D"/>
      <w:sz w:val="22"/>
    </w:rPr>
  </w:style>
  <w:style w:customStyle="1" w:styleId="alert-success" w:type="paragraph">
    <w:name w:val="alert-success"/>
    <w:basedOn w:val="Normal"/>
    <w:pPr>
      <w:spacing w:after="160" w:before="160" w:line="288" w:lineRule="auto"/>
      <w:pBdr>
        <w:top w:color="def8e6" w:space="6" w:sz="2" w:val="single"/>
        <w:left w:color="2c845c" w:space="8" w:sz="18" w:val="single"/>
        <w:bottom w:color="def8e6" w:space="6" w:sz="2" w:val="single"/>
        <w:right w:color="def8e6" w:space="10" w:sz="2" w:val="single"/>
      </w:pBdr>
      <w:ind w:left="240"/>
      <w:shd w:color="auto" w:fill="def8e6" w:val="clear"/>
      <w:keepLines/>
      <w:keepNext/>
    </w:pPr>
    <w:rPr>
      <w:rFonts w:ascii="Source Sans 3" w:hAnsi="Source Sans 3"/>
      <w:color w:val="25211D"/>
      <w:sz w:val="22"/>
    </w:rPr>
  </w:style>
  <w:style w:customStyle="1" w:styleId="alert-error" w:type="paragraph">
    <w:name w:val="alert-error"/>
    <w:basedOn w:val="Normal"/>
    <w:pPr>
      <w:spacing w:after="160" w:before="160" w:line="288" w:lineRule="auto"/>
      <w:pBdr>
        <w:top w:color="ffe9e5" w:space="6" w:sz="2" w:val="single"/>
        <w:left w:color="c13c3b" w:space="8" w:sz="18" w:val="single"/>
        <w:bottom w:color="ffe9e5" w:space="6" w:sz="2" w:val="single"/>
        <w:right w:color="ffe9e5" w:space="10" w:sz="2" w:val="single"/>
      </w:pBdr>
      <w:ind w:left="240"/>
      <w:shd w:color="auto" w:fill="ffe9e5" w:val="clear"/>
      <w:keepLines/>
      <w:keepNext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 w:line="288" w:lineRule="auto"/>
      <w:pBdr>
        <w:top w:color="f8f4ec" w:space="6" w:sz="2" w:val="single"/>
        <w:left w:color="f8f4ec" w:space="10" w:sz="2" w:val="single"/>
        <w:bottom w:color="f8f4ec" w:space="6" w:sz="2" w:val="single"/>
        <w:right w:color="f8f4ec" w:space="10" w:sz="2" w:val="single"/>
      </w:pBdr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 w:line="288" w:lineRule="auto"/>
      <w:pBdr>
        <w:top w:color="f8f4ec" w:space="6" w:sz="2" w:val="single"/>
        <w:left w:color="f8f4ec" w:space="10" w:sz="2" w:val="single"/>
        <w:bottom w:color="f8f4ec" w:space="6" w:sz="2" w:val="single"/>
        <w:right w:color="f8f4ec" w:space="10" w:sz="2" w:val="single"/>
      </w:pBdr>
      <w:shd w:color="auto" w:fill="f8f4ec" w:val="clear"/>
      <w:keepLines/>
      <w:keepNext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 w:line="288" w:lineRule="auto"/>
      <w:pBdr>
        <w:top w:color="f8f4ec" w:space="6" w:sz="2" w:val="single"/>
        <w:left w:color="f8f4ec" w:space="10" w:sz="2" w:val="single"/>
        <w:bottom w:color="f8f4ec" w:space="6" w:sz="2" w:val="single"/>
        <w:right w:color="f8f4ec" w:space="10" w:sz="2" w:val="single"/>
      </w:pBdr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attestation-block" w:type="paragraph">
    <w:name w:val="attestation-block"/>
    <w:basedOn w:val="Normal"/>
    <w:pPr>
      <w:spacing w:after="160" w:before="240" w:line="288" w:lineRule="auto"/>
      <w:pBdr>
        <w:top w:color="e4dfd7" w:space="6" w:sz="2" w:val="single"/>
        <w:left w:color="bbb6ad" w:space="8" w:sz="18" w:val="single"/>
        <w:bottom w:color="e4dfd7" w:space="6" w:sz="2" w:val="single"/>
        <w:right w:color="e4dfd7" w:space="10" w:sz="2" w:val="single"/>
      </w:pBdr>
      <w:ind w:left="240"/>
      <w:shd w:color="auto" w:fill="e4dfd7" w:val="clear"/>
      <w:keepLines/>
      <w:keepNext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 w:line="288" w:lineRule="auto"/>
      <w:pBdr>
        <w:top w:color="e4dfd7" w:space="6" w:sz="2" w:val="single"/>
        <w:left w:color="e4dfd7" w:space="10" w:sz="2" w:val="single"/>
        <w:bottom w:color="e4dfd7" w:space="6" w:sz="2" w:val="single"/>
        <w:right w:color="e4dfd7" w:space="10" w:sz="2" w:val="single"/>
      </w:pBdr>
      <w:shd w:color="auto" w:fill="e4dfd7" w:val="clear"/>
      <w:keepLines/>
      <w:keepNext/>
    </w:pPr>
    <w:rPr>
      <w:rFonts w:ascii="Source Sans 3" w:hAnsi="Source Sans 3"/>
      <w:color w:val="25211D"/>
      <w:sz w:val="22"/>
    </w:rPr>
  </w:style>
  <w:style w:customStyle="1" w:styleId="review-marker" w:type="paragraph">
    <w:name w:val="review-marker"/>
    <w:basedOn w:val="Normal"/>
    <w:pPr>
      <w:spacing w:after="160" w:before="160" w:line="288" w:lineRule="auto"/>
      <w:pBdr>
        <w:top w:color="faefda" w:space="6" w:sz="2" w:val="single"/>
        <w:left w:color="735311" w:space="8" w:sz="18" w:val="single"/>
        <w:bottom w:color="faefda" w:space="6" w:sz="2" w:val="single"/>
        <w:right w:color="faefda" w:space="10" w:sz="2" w:val="single"/>
      </w:pBdr>
      <w:ind w:left="240"/>
      <w:shd w:color="auto" w:fill="faefda" w:val="clear"/>
      <w:keepLines/>
      <w:keepNext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 w:line="288" w:lineRule="auto"/>
      <w:pBdr>
        <w:top w:color="f8f4ec" w:space="6" w:sz="2" w:val="single"/>
        <w:left w:color="735311" w:space="8" w:sz="18" w:val="single"/>
        <w:bottom w:color="f8f4ec" w:space="6" w:sz="2" w:val="single"/>
        <w:right w:color="f8f4ec" w:space="10" w:sz="2" w:val="single"/>
      </w:pBdr>
      <w:ind w:left="240"/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 w:line="288" w:lineRule="auto"/>
      <w:pBdr>
        <w:top w:color="f8f4ec" w:space="6" w:sz="2" w:val="single"/>
        <w:left w:color="bbb6ad" w:space="8" w:sz="18" w:val="single"/>
        <w:bottom w:color="f8f4ec" w:space="6" w:sz="2" w:val="single"/>
        <w:right w:color="f8f4ec" w:space="10" w:sz="2" w:val="single"/>
      </w:pBdr>
      <w:ind w:left="240"/>
      <w:shd w:color="auto" w:fill="f8f4ec" w:val="clear"/>
      <w:keepLines/>
      <w:keepNext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diagram-figure-eyebrow" w:type="character">
    <w:name w:val="diagram-figure-eyebrow"/>
    <w:rPr>
      <w:rFonts w:ascii="Source Code Pro" w:hAnsi="Source Code Pro"/>
      <w:b/>
      <w:color w:val="777069"/>
      <w:sz w:val="18"/>
      <w:caps w:val="true"/>
    </w:rPr>
  </w:style>
  <w:style w:customStyle="1" w:styleId="diagram-figure-title" w:type="character">
    <w:name w:val="diagram-figure-title"/>
    <w:rPr>
      <w:rFonts w:ascii="Source Sans 3" w:hAnsi="Source Sans 3"/>
      <w:color w:val="5A544E"/>
      <w:sz w:val="24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check-in call — the routine Care Coordinator touch</dc:title>
  <dc:creator/>
  <cp:keywords/>
  <dcterms:created xsi:type="dcterms:W3CDTF">2026-06-08T19:12:10Z</dcterms:created>
  <dcterms:modified xsi:type="dcterms:W3CDTF">2026-06-08T19:12:10Z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reviewed">
    <vt:lpwstr>2026-06</vt:lpwstr>
  </property>
  <property fmtid="{D5CDD505-2E9C-101B-9397-08002B2CF9AE}" pid="4" name="role">
    <vt:lpwstr>Care Coordinator</vt:lpwstr>
  </property>
  <property fmtid="{D5CDD505-2E9C-101B-9397-08002B2CF9AE}" pid="5" name="slug">
    <vt:lpwstr>weekly-checkin-call</vt:lpwstr>
  </property>
  <property fmtid="{D5CDD505-2E9C-101B-9397-08002B2CF9AE}" pid="6" name="status">
    <vt:lpwstr>draft</vt:lpwstr>
  </property>
  <property fmtid="{D5CDD505-2E9C-101B-9397-08002B2CF9AE}" pid="7" name="type">
    <vt:lpwstr>Standard Operating Procedure</vt:lpwstr>
  </property>
  <property fmtid="{D5CDD505-2E9C-101B-9397-08002B2CF9AE}" pid="8" name="version">
    <vt:lpwstr>0.1 (draft)</vt:lpwstr>
  </property>
</Properties>
</file>