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Working the UConn Care Coordination Program</w:t>
      </w:r>
    </w:p>
    <w:p>
      <w:pPr>
        <w:pStyle w:val="FirstParagraph"/>
      </w:pPr>
      <w:r>
        <w:t xml:space="preserve">Care Coordinator · Standard Operating Procedure · Version 0.1 (draft) · Reviewed May 2026</w:t>
      </w:r>
    </w:p>
    <w:p>
      <w:pPr>
        <w:pStyle w:val="callout-warning"/>
      </w:pPr>
      <w:r>
        <w:rPr>
          <w:b/>
          <w:bCs/>
        </w:rPr>
        <w:t xml:space="preserve">Draft — example content pending clinical review and sign-off.</w:t>
      </w:r>
      <w:r>
        <w:t xml:space="preserve"> </w:t>
      </w:r>
      <w:r>
        <w:t xml:space="preserve">Do not use for training or to guide care until approved.</w:t>
      </w:r>
    </w:p>
    <w:p>
      <w:pPr>
        <w:pStyle w:val="BodyText"/>
      </w:pPr>
      <w:r>
        <w:t xml:space="preserve">This procedure covers how you, as a care coordinator, run the UConn pilot week to week — working your roster, completing weekly check-ins, logging contact, handling appointment requests, and escalating concerns to the clinical team.</w:t>
      </w:r>
    </w:p>
    <w:p>
      <w:pPr>
        <w:pStyle w:val="BodyText"/>
      </w:pPr>
      <w:r>
        <w:t xml:space="preserve">It also covers two mental-health screenings you administer — the PHQ9 and a 3-item anxiety screen — at baseline (during the in-person first visit) and again at the program’s repeat-screening milestones.</w:t>
      </w:r>
    </w:p>
    <w:p>
      <w:pPr>
        <w:pStyle w:val="Heading2"/>
      </w:pPr>
      <w:r>
        <w:t xml:space="preserve">Who this is for and what it covers</w:t>
      </w:r>
    </w:p>
    <w:p>
      <w:pPr>
        <w:pStyle w:val="FirstParagraph"/>
      </w:pPr>
      <w:r>
        <w:t xml:space="preserve">What this role covers, and where its boundaries are.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</w:t>
            </w:r>
          </w:p>
        </w:tc>
        <w:tc>
          <w:tcPr/>
          <w:p>
            <w:pPr>
              <w:pStyle w:val="Compact"/>
            </w:pPr>
            <w:r>
              <w:t xml:space="preserve">Cena care coordinators supporting participants in the UConn Health food-as-medicine pilot.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Covers</w:t>
            </w:r>
          </w:p>
        </w:tc>
        <w:tc>
          <w:tcPr/>
          <w:p>
            <w:pPr>
              <w:pStyle w:val="Compact"/>
            </w:pPr>
            <w:r>
              <w:t xml:space="preserve">Working the patient roster, weekly check-in calls, logging contact attempts and outcomes, handling appointment requests, escalating safety or medical concerns, and administering the PHQ9 and 3-item anxiety screen at baseline (in the in-person first visit) and the program’s repeat-screening milestones.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Does not cover</w:t>
            </w:r>
          </w:p>
        </w:tc>
        <w:tc>
          <w:tcPr/>
          <w:p>
            <w:pPr>
              <w:pStyle w:val="Compact"/>
            </w:pPr>
            <w:r>
              <w:t xml:space="preserve">Clinical or dietary counseling (the registered dietitian’s role), diagnoses, or booking appointments outside Athena. Route those to the registered dietitian or escalate.</w:t>
            </w:r>
          </w:p>
        </w:tc>
      </w:tr>
    </w:tbl>
    <w:p>
      <w:pPr>
        <w:pStyle w:val="Heading2"/>
      </w:pPr>
      <w:r>
        <w:t xml:space="preserve">The weekly routine</w:t>
      </w:r>
    </w:p>
    <w:p>
      <w:pPr>
        <w:pStyle w:val="FirstParagraph"/>
      </w:pPr>
      <w:r>
        <w:t xml:space="preserve">Work the routine in order — one check-in per participant per week for the 26-week intervention.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Open your roster and find who is due this week.</w:t>
      </w:r>
      <w:r>
        <w:t xml:space="preserve"> </w:t>
      </w:r>
      <w:r>
        <w:t xml:space="preserve">In</w:t>
      </w:r>
      <w:r>
        <w:t xml:space="preserve"> </w:t>
      </w:r>
      <w:r>
        <w:rPr>
          <w:rStyle w:val="screen-ref"/>
        </w:rPr>
        <w:t xml:space="preserve">Care-coordinator app → Roster</w:t>
      </w:r>
      <w:r>
        <w:t xml:space="preserve">, participants are sorted by days since last contact. Participants with the longest gap appear at the top — work from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Start the weekly check-in from the patient profile.</w:t>
      </w:r>
      <w:r>
        <w:t xml:space="preserve"> </w:t>
      </w:r>
      <w:r>
        <w:t xml:space="preserve">In</w:t>
      </w:r>
      <w:r>
        <w:t xml:space="preserve"> </w:t>
      </w:r>
      <w:r>
        <w:rPr>
          <w:rStyle w:val="screen-ref"/>
        </w:rPr>
        <w:t xml:space="preserve">Care-coordinator app → Patient profile</w:t>
      </w:r>
      <w:r>
        <w:t xml:space="preserve">, start a check-in and choose phone or text per the participant’s saved preference. A 10–15 minute call covering order support, adherence, and any barriers to participation.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Capture the check-in and log the outcome.</w:t>
      </w:r>
      <w:r>
        <w:t xml:space="preserve"> </w:t>
      </w:r>
      <w:r>
        <w:t xml:space="preserve">Fill the check-in fields: adherence, barriers, wraparound needs, and a next-touch plan. Record the contact outcome — successful, voicemail, no answer, refused, or deferred.</w:t>
      </w:r>
    </w:p>
    <w:p>
      <w:pPr>
        <w:pStyle w:val="Heading2"/>
      </w:pPr>
      <w:r>
        <w:t xml:space="preserve">Escalation — when to involve the clinical team</w:t>
      </w:r>
    </w:p>
    <w:p>
      <w:pPr>
        <w:pStyle w:val="FirstParagraph"/>
      </w:pPr>
      <w:r>
        <w:t xml:space="preserve">The two highest-stakes responses. Read first.</w:t>
      </w:r>
    </w:p>
    <w:p>
      <w:pPr>
        <w:pStyle w:val="escalation"/>
      </w:pPr>
      <w:r>
        <w:rPr>
          <w:b/>
          <w:bCs/>
        </w:rPr>
        <w:t xml:space="preserve">A participant reports a safety or medical concern.</w:t>
      </w:r>
      <w:r>
        <w:t xml:space="preserve"> </w:t>
      </w:r>
      <w:r>
        <w:t xml:space="preserve">Escalate to the UConn clinical team per the UConn escalation protocol — do not wait for the next scheduled check-in.</w:t>
      </w:r>
      <w:r>
        <w:t xml:space="preserve"> </w:t>
      </w:r>
      <w:r>
        <w:rPr>
          <w:rStyle w:val="VerbatimChar"/>
        </w:rPr>
        <w:t xml:space="preserve">[NEEDS VANESSA / MARRERO — first action specifics for an at-the-time-of-call safety escalation]</w:t>
      </w:r>
    </w:p>
    <w:p>
      <w:pPr>
        <w:pStyle w:val="Heading3"/>
      </w:pPr>
      <w:r>
        <w:t xml:space="preserve">Red, yellow, green — what each means and what to do</w:t>
      </w:r>
    </w:p>
    <w:p>
      <w:pPr>
        <w:pStyle w:val="callout-error"/>
      </w:pPr>
      <w:r>
        <w:rPr>
          <w:b/>
          <w:bCs/>
        </w:rPr>
        <w:t xml:space="preserve">Red flag — no response within 3 days.</w:t>
      </w:r>
      <w:r>
        <w:t xml:space="preserve"> </w:t>
      </w:r>
      <w:r>
        <w:t xml:space="preserve">Place a follow-up call within the next 2 days.</w:t>
      </w:r>
    </w:p>
    <w:p>
      <w:pPr>
        <w:pStyle w:val="callout-warning"/>
      </w:pPr>
      <w:r>
        <w:rPr>
          <w:b/>
          <w:bCs/>
        </w:rPr>
        <w:t xml:space="preserve">Yellow flag — a concern surfaced during a check-in.</w:t>
      </w:r>
      <w:r>
        <w:t xml:space="preserve"> </w:t>
      </w:r>
      <w:r>
        <w:t xml:space="preserve">Escalate to the UConn clinical team per protocol.</w:t>
      </w:r>
    </w:p>
    <w:p>
      <w:pPr>
        <w:pStyle w:val="callout-success"/>
      </w:pPr>
      <w:r>
        <w:rPr>
          <w:b/>
          <w:bCs/>
        </w:rPr>
        <w:t xml:space="preserve">Green flag — engaged and on track.</w:t>
      </w:r>
      <w:r>
        <w:t xml:space="preserve"> </w:t>
      </w:r>
      <w:r>
        <w:t xml:space="preserve">Continue the routine weekly cadence; no action needed.</w:t>
      </w:r>
    </w:p>
    <w:p>
      <w:pPr>
        <w:pStyle w:val="Heading2"/>
      </w:pPr>
      <w:r>
        <w:t xml:space="preserve">Everyday routing — requests and missed calls</w:t>
      </w:r>
    </w:p>
    <w:p>
      <w:pPr>
        <w:pStyle w:val="FirstParagraph"/>
      </w:pPr>
      <w:r>
        <w:t xml:space="preserve">The two everyday branches.</w:t>
      </w:r>
    </w:p>
    <w:p>
      <w:pPr>
        <w:pStyle w:val="decision-branch"/>
      </w:pPr>
      <w:r>
        <w:rPr>
          <w:b/>
          <w:bCs/>
        </w:rPr>
        <w:t xml:space="preserve">A participant requests an appointment</w:t>
      </w:r>
      <w:r>
        <w:t xml:space="preserve"> </w:t>
      </w:r>
      <w:r>
        <w:t xml:space="preserve">— You receive an email in your queue. Book the visit in Athena, then confirm the time with the participant.</w:t>
      </w:r>
    </w:p>
    <w:p>
      <w:pPr>
        <w:pStyle w:val="decision-branch"/>
      </w:pPr>
      <w:r>
        <w:rPr>
          <w:b/>
          <w:bCs/>
        </w:rPr>
        <w:t xml:space="preserve">A check-in call goes unanswered</w:t>
      </w:r>
      <w:r>
        <w:t xml:space="preserve"> </w:t>
      </w:r>
      <w:r>
        <w:t xml:space="preserve">— Log the outcome (voicemail / no answer). Missed-visit outreach is auto-flagged at 48 hours.</w:t>
      </w:r>
    </w:p>
    <w:p>
      <w:pPr>
        <w:pStyle w:val="Heading2"/>
      </w:pPr>
      <w:r>
        <w:t xml:space="preserve">Mental-health screening — PHQ9 and 3-item anxiety</w:t>
      </w:r>
    </w:p>
    <w:p>
      <w:pPr>
        <w:pStyle w:val="FirstParagraph"/>
      </w:pPr>
      <w:r>
        <w:t xml:space="preserve">The care coordinator owns these two screenings — by IRB protocol, the dietitian and UConn student researchers may not administer them. Administered at baseline (in the in-person first visit, alongside the dietitian’s assessments) and again at the program’s repeat-screening milestones.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Administer the PHQ9.</w:t>
      </w:r>
      <w:r>
        <w:t xml:space="preserve"> </w:t>
      </w:r>
      <w:r>
        <w:t xml:space="preserve">In the Cena assessment forms on the participant record. Result: the participant’s depression-screening score is captured and saved on the record.</w:t>
      </w:r>
      <w:r>
        <w:t xml:space="preserve"> </w:t>
      </w:r>
      <w:r>
        <w:rPr>
          <w:i/>
          <w:iCs/>
        </w:rPr>
        <w:t xml:space="preserve">Note: this is one of the IRB protocol’s baseline assessments — accuracy now matters because it repeats and the comparison is what shows change.</w:t>
      </w:r>
      <w:r>
        <w:t xml:space="preserve"> </w:t>
      </w:r>
      <w:r>
        <w:rPr>
          <w:rStyle w:val="VerbatimChar"/>
        </w:rPr>
        <w:t xml:space="preserve">[CONFIRM build state — PHQ9 admin UI in Care-coordinator app]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Administer the 3-item anxiety screen.</w:t>
      </w:r>
      <w:r>
        <w:t xml:space="preserve"> </w:t>
      </w:r>
      <w:r>
        <w:t xml:space="preserve">In the Cena assessment forms. Result: the anxiety-screening score is captured.</w:t>
      </w:r>
      <w:r>
        <w:t xml:space="preserve"> </w:t>
      </w:r>
      <w:r>
        <w:rPr>
          <w:i/>
          <w:iCs/>
        </w:rPr>
        <w:t xml:space="preserve">Note: paired with the PHQ9; both belong to the same baseline set.</w:t>
      </w:r>
      <w:r>
        <w:t xml:space="preserve"> </w:t>
      </w:r>
      <w:r>
        <w:rPr>
          <w:rStyle w:val="VerbatimChar"/>
        </w:rPr>
        <w:t xml:space="preserve">[CONFIRM build state — 3-item anxiety admin UI in Care-coordinator app]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Watch for response triggers and escalate if needed.</w:t>
      </w:r>
      <w:r>
        <w:t xml:space="preserve"> </w:t>
      </w:r>
      <w:r>
        <w:t xml:space="preserve">If either screen surfaces a positive response that meets the protocol’s escalation threshold, escalate to the UConn clinical team the same day — do not wait for the next weekly check-in.</w:t>
      </w:r>
      <w:r>
        <w:t xml:space="preserve"> </w:t>
      </w:r>
      <w:r>
        <w:rPr>
          <w:rStyle w:val="VerbatimChar"/>
        </w:rPr>
        <w:t xml:space="preserve">[NEEDS HEALTHCARE DATA GOVERNANCE REVIEW — PHQ9 / anxiety-screen positive-response thresholds and escalation protocol under CT scope-of-practice]</w:t>
      </w:r>
    </w:p>
    <w:p>
      <w:pPr>
        <w:pStyle w:val="callout-info"/>
      </w:pPr>
      <w:r>
        <w:rPr>
          <w:b/>
          <w:bCs/>
        </w:rPr>
        <w:t xml:space="preserve">Scope-of-practice note.</w:t>
      </w:r>
      <w:r>
        <w:t xml:space="preserve"> </w:t>
      </w:r>
      <w:r>
        <w:t xml:space="preserve">The PHQ9 and 3-item anxiety screen are administered by the CITI-trained care coordinator under PI oversight. The administration scope under Connecticut licensure is pending confirmation from Healthcare Data Governance — until confirmed, follow PI guidance for any positive-response handling.</w:t>
      </w:r>
    </w:p>
    <w:p>
      <w:pPr>
        <w:pStyle w:val="BodyText"/>
      </w:pPr>
      <w:r>
        <w:rPr>
          <w:rStyle w:val="diagram-figure-eyebrow"/>
        </w:rPr>
        <w:t xml:space="preserve">Workflow diagram</w:t>
      </w:r>
    </w:p>
    <w:p>
      <w:pPr>
        <w:pStyle w:val="BodyText"/>
      </w:pPr>
      <w:r>
        <w:rPr>
          <w:rStyle w:val="diagram-figure-title"/>
        </w:rPr>
        <w:t xml:space="preserve">PHQ9 Positive Response Escalation</w:t>
      </w:r>
    </w:p>
    <w:p>
      <w:pPr>
        <w:pStyle w:val="BodyText"/>
      </w:pPr>
      <w:r>
        <w:drawing>
          <wp:inline>
            <wp:extent cx="5334000" cy="35560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_diagram-cache/escalation-phq9-positiv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When a patient's PHQ9 screening result triggers the same-day-escalation threshold, route to clinical lead for review and hand off to the Behavioral Health Network (BHN) partner for follow-up.</w:t>
      </w:r>
    </w:p>
    <w:p>
      <w:pPr>
        <w:pStyle w:val="Heading2"/>
      </w:pPr>
      <w:r>
        <w:t xml:space="preserve">Each week, for every participant — the routine checklist</w:t>
      </w:r>
    </w:p>
    <w:p>
      <w:pPr>
        <w:pStyle w:val="FirstParagraph"/>
      </w:pPr>
      <w:r>
        <w:t xml:space="preserve">The weekly routine, condensed to a tickable list.</w:t>
      </w:r>
    </w:p>
    <w:p>
      <w:pPr>
        <w:pStyle w:val="Compact"/>
        <w:numPr>
          <w:ilvl w:val="0"/>
          <w:numId w:val="1003"/>
        </w:numPr>
      </w:pPr>
      <w:r>
        <w:t xml:space="preserve">Work the roster top-down by days since last contact</w:t>
      </w:r>
    </w:p>
    <w:p>
      <w:pPr>
        <w:pStyle w:val="Compact"/>
        <w:numPr>
          <w:ilvl w:val="0"/>
          <w:numId w:val="1004"/>
        </w:numPr>
      </w:pPr>
      <w:r>
        <w:t xml:space="preserve">Complete the weekly check-in by the participant’s preferred channel</w:t>
      </w:r>
    </w:p>
    <w:p>
      <w:pPr>
        <w:pStyle w:val="Compact"/>
        <w:numPr>
          <w:ilvl w:val="0"/>
          <w:numId w:val="1005"/>
        </w:numPr>
      </w:pPr>
      <w:r>
        <w:t xml:space="preserve">Capture adherence, barriers, and wraparound needs</w:t>
      </w:r>
    </w:p>
    <w:p>
      <w:pPr>
        <w:pStyle w:val="Compact"/>
        <w:numPr>
          <w:ilvl w:val="0"/>
          <w:numId w:val="1006"/>
        </w:numPr>
      </w:pPr>
      <w:r>
        <w:t xml:space="preserve">Log the contact outcome and set the next-touch plan</w:t>
      </w:r>
    </w:p>
    <w:p>
      <w:pPr>
        <w:pStyle w:val="Compact"/>
        <w:numPr>
          <w:ilvl w:val="0"/>
          <w:numId w:val="1007"/>
        </w:numPr>
      </w:pPr>
      <w:r>
        <w:t xml:space="preserve">Raise a flag if the participant is unreachable or a concern surfaced</w:t>
      </w:r>
    </w:p>
    <w:p>
      <w:pPr>
        <w:pStyle w:val="Compact"/>
        <w:numPr>
          <w:ilvl w:val="0"/>
          <w:numId w:val="1008"/>
        </w:numPr>
      </w:pPr>
      <w:r>
        <w:t xml:space="preserve">At a baseline or repeat-screening milestone — administer the PHQ9 and the 3-item anxiety screen; escalate positive responses the same day</w:t>
      </w:r>
    </w:p>
    <w:p>
      <w:pPr>
        <w:pStyle w:val="Heading2"/>
      </w:pPr>
      <w:r>
        <w:t xml:space="preserve">Terms used here</w:t>
      </w:r>
    </w:p>
    <w:p>
      <w:pPr>
        <w:pStyle w:val="FirstParagraph"/>
      </w:pPr>
      <w:r>
        <w:t xml:space="preserve">Plain-language definitions, no system jargon.</w:t>
      </w:r>
    </w:p>
    <w:p>
      <w:pPr>
        <w:pStyle w:val="glossary-term"/>
      </w:pPr>
      <w:r>
        <w:t xml:space="preserve">Roster</w:t>
      </w:r>
    </w:p>
    <w:p>
      <w:pPr>
        <w:pStyle w:val="glossary-def"/>
      </w:pPr>
      <w:r>
        <w:t xml:space="preserve">Your list of participants — who they are and when each is due for a check-in.</w:t>
      </w:r>
    </w:p>
    <w:p>
      <w:pPr>
        <w:pStyle w:val="glossary-term"/>
      </w:pPr>
      <w:r>
        <w:t xml:space="preserve">Check-in</w:t>
      </w:r>
    </w:p>
    <w:p>
      <w:pPr>
        <w:pStyle w:val="glossary-def"/>
      </w:pPr>
      <w:r>
        <w:t xml:space="preserve">The weekly call where you support ordering, ask about adherence, and surface any barriers.</w:t>
      </w:r>
    </w:p>
    <w:p>
      <w:pPr>
        <w:pStyle w:val="glossary-term"/>
      </w:pPr>
      <w:r>
        <w:t xml:space="preserve">Athena</w:t>
      </w:r>
    </w:p>
    <w:p>
      <w:pPr>
        <w:pStyle w:val="glossary-def"/>
      </w:pPr>
      <w:r>
        <w:t xml:space="preserve">The system where appointments are booked. It stays the official record for scheduling.</w:t>
      </w:r>
    </w:p>
    <w:p>
      <w:pPr>
        <w:pStyle w:val="glossary-term"/>
      </w:pPr>
      <w:r>
        <w:t xml:space="preserve">Wraparound services</w:t>
      </w:r>
    </w:p>
    <w:p>
      <w:pPr>
        <w:pStyle w:val="glossary-def"/>
      </w:pPr>
      <w:r>
        <w:t xml:space="preserve">Extra support a participant may need — SNAP, a food pantry, transportation, or housing help.</w:t>
      </w:r>
    </w:p>
    <w:p>
      <w:pPr>
        <w:pStyle w:val="glossary-term"/>
      </w:pPr>
      <w:r>
        <w:t xml:space="preserve">Flag</w:t>
      </w:r>
    </w:p>
    <w:p>
      <w:pPr>
        <w:pStyle w:val="glossary-def"/>
      </w:pPr>
      <w:r>
        <w:t xml:space="preserve">A signal about a participant’s current state. Three states:</w:t>
      </w:r>
      <w:r>
        <w:t xml:space="preserve"> </w:t>
      </w:r>
      <w:r>
        <w:rPr>
          <w:b/>
          <w:bCs/>
        </w:rPr>
        <w:t xml:space="preserve">red flag</w:t>
      </w:r>
      <w:r>
        <w:t xml:space="preserve"> </w:t>
      </w:r>
      <w:r>
        <w:t xml:space="preserve">(no response within 3 days — unreachable, place a follow-up call),</w:t>
      </w:r>
      <w:r>
        <w:t xml:space="preserve"> </w:t>
      </w:r>
      <w:r>
        <w:rPr>
          <w:b/>
          <w:bCs/>
        </w:rPr>
        <w:t xml:space="preserve">yellow flag</w:t>
      </w:r>
      <w:r>
        <w:t xml:space="preserve"> </w:t>
      </w:r>
      <w:r>
        <w:t xml:space="preserve">(a concern surfaced during a check-in — escalate to the UConn clinical team per protocol),</w:t>
      </w:r>
      <w:r>
        <w:t xml:space="preserve"> </w:t>
      </w:r>
      <w:r>
        <w:rPr>
          <w:b/>
          <w:bCs/>
        </w:rPr>
        <w:t xml:space="preserve">green flag</w:t>
      </w:r>
      <w:r>
        <w:t xml:space="preserve"> </w:t>
      </w:r>
      <w:r>
        <w:t xml:space="preserve">(engaged and on track — continue the routine weekly cadence).</w:t>
      </w:r>
    </w:p>
    <w:p>
      <w:pPr>
        <w:pStyle w:val="glossary-term"/>
      </w:pPr>
      <w:r>
        <w:t xml:space="preserve">PHQ9</w:t>
      </w:r>
    </w:p>
    <w:p>
      <w:pPr>
        <w:pStyle w:val="glossary-def"/>
      </w:pPr>
      <w:r>
        <w:t xml:space="preserve">A nine-question depression screening tool. Administered by the care coordinator at baseline and at the program’s repeat-screening milestones.</w:t>
      </w:r>
    </w:p>
    <w:p>
      <w:pPr>
        <w:pStyle w:val="glossary-term"/>
      </w:pPr>
      <w:r>
        <w:t xml:space="preserve">3-item anxiety screen</w:t>
      </w:r>
    </w:p>
    <w:p>
      <w:pPr>
        <w:pStyle w:val="glossary-def"/>
      </w:pPr>
      <w:r>
        <w:t xml:space="preserve">A three-question anxiety screening, paired with the PHQ9 in the same baseline assessment set.</w:t>
      </w:r>
    </w:p>
    <w:p>
      <w:pPr>
        <w:pStyle w:val="Heading2"/>
      </w:pPr>
      <w:r>
        <w:t xml:space="preserve">Approval status</w:t>
      </w:r>
    </w:p>
    <w:p>
      <w:pPr>
        <w:pStyle w:val="FirstParagraph"/>
      </w:pPr>
      <w:r>
        <w:t xml:space="preserve">This SOP is approved for training only when the accountable human signs it. Until then it is a draft.</w:t>
      </w:r>
    </w:p>
    <w:tbl>
      <w:tblPr>
        <w:tblW w:w="5000" w:type="pct"/>
        <w:tblBorders>
          <w:top w:val="nil"/>
          <w:bottom w:val="nil"/>
          <w:left w:val="nil"/>
          <w:right w:val="nil"/>
          <w:insideH w:val="nil"/>
          <w:insideV w:val="nil"/>
        </w:tblBorders>
        <w:tblCellMar>
          <w:top w:w="160" w:type="dxa"/>
          <w:bottom w:w="160" w:type="dxa"/>
          <w:left w:w="200" w:type="dxa"/>
          <w:right w:w="200" w:type="dxa"/>
        </w:tblCellMar>
      </w:tblPr>
      <w:tr>
        <w:trPr>
          <w:cantSplit w:val="true"/>
        </w:trPr>
        <w:tc>
          <w:tcPr>
            <w:tcW w:w="5000" w:type="pct"/>
            <w:shd w:val="clear" w:color="auto" w:fill="e4dfd7"/>
          </w:tcPr>
          <w:p>
            <w:pPr>
              <w:pStyle w:val="BodyText"/>
            </w:pPr>
            <w:r>
              <w:rPr>
                <w:b/>
                <w:bCs/>
              </w:rPr>
              <w:t xml:space="preserve">Sign-off</w:t>
            </w:r>
          </w:p>
        </w:tc>
      </w:tr>
    </w:tbl>
    <w:p>
      <w:pPr>
        <w:pStyle w:val="attestation-gate"/>
      </w:pPr>
      <w:r>
        <w:t xml:space="preserve">⏳ Awaiting sign-off — draft, not yet approved for training</w:t>
      </w:r>
    </w:p>
    <w:p>
      <w:pPr>
        <w:pStyle w:val="attestation-gate"/>
      </w:pPr>
      <w:r>
        <w:rPr>
          <w:i/>
          <w:iCs/>
        </w:rPr>
        <w:t xml:space="preserve">Director of Clinical Ops — signature pending</w:t>
      </w:r>
    </w:p>
    <w:p>
      <w:pPr>
        <w:pStyle w:val="attestation-gate"/>
      </w:pPr>
      <w:r>
        <w:t xml:space="preserve">Accountable for clinical accuracy and operational truth · Version 0.1</w:t>
      </w:r>
    </w:p>
    <w:sectPr>
      <w:footnotePr>
        <w:numRestart w:val="eachSect"/>
      </w:footnotePr>
      <w:pgMar w:bottom="1080" w:left="1440" w:right="1440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360" w:hanging="360"/>
      </w:pPr>
    </w:lvl>
    <w:lvl w:ilvl="1">
      <w:numFmt w:val="bullet"/>
      <w:lvlText w:val=" "/>
      <w:lvlJc w:val="left"/>
      <w:pPr>
        <w:ind w:left="1080" w:hanging="360"/>
      </w:pPr>
    </w:lvl>
    <w:lvl w:ilvl="2">
      <w:numFmt w:val="bullet"/>
      <w:lvlText w:val=" "/>
      <w:lvlJc w:val="left"/>
      <w:pPr>
        <w:ind w:left="1800" w:hanging="360"/>
      </w:pPr>
    </w:lvl>
    <w:lvl w:ilvl="3">
      <w:numFmt w:val="bullet"/>
      <w:lvlText w:val=" "/>
      <w:lvlJc w:val="left"/>
      <w:pPr>
        <w:ind w:left="2520" w:hanging="360"/>
      </w:pPr>
    </w:lvl>
    <w:lvl w:ilvl="4">
      <w:numFmt w:val="bullet"/>
      <w:lvlText w:val=" "/>
      <w:lvlJc w:val="left"/>
      <w:pPr>
        <w:ind w:left="3240" w:hanging="360"/>
      </w:pPr>
    </w:lvl>
    <w:lvl w:ilvl="5">
      <w:numFmt w:val="bullet"/>
      <w:lvlText w:val=" "/>
      <w:lvlJc w:val="left"/>
      <w:pPr>
        <w:ind w:left="3960" w:hanging="360"/>
      </w:pPr>
    </w:lvl>
    <w:lvl w:ilvl="6">
      <w:numFmt w:val="bullet"/>
      <w:lvlText w:val=" "/>
      <w:lvlJc w:val="left"/>
      <w:pPr>
        <w:ind w:left="4680" w:hanging="360"/>
      </w:pPr>
    </w:lvl>
    <w:lvl w:ilvl="7">
      <w:numFmt w:val="bullet"/>
      <w:lvlText w:val=" "/>
      <w:lvlJc w:val="left"/>
      <w:pPr>
        <w:ind w:left="5400" w:hanging="360"/>
      </w:pPr>
    </w:lvl>
    <w:lvl w:ilvl="8">
      <w:numFmt w:val="bullet"/>
      <w:lvlText w:val=" "/>
      <w:lvlJc w:val="left"/>
      <w:pPr>
        <w:ind w:left="612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decimal"/>
      <w:lvlText w:val="%5."/>
      <w:lvlJc w:val="left"/>
      <w:pPr>
        <w:ind w:left="3240" w:hanging="360"/>
      </w:pPr>
    </w:lvl>
    <w:lvl w:ilvl="5">
      <w:start w:val="1"/>
      <w:numFmt w:val="decimal"/>
      <w:lvlText w:val="%6."/>
      <w:lvlJc w:val="left"/>
      <w:pPr>
        <w:ind w:left="3960" w:hanging="36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decimal"/>
      <w:lvlText w:val="%8."/>
      <w:lvlJc w:val="left"/>
      <w:pPr>
        <w:ind w:left="5400" w:hanging="360"/>
      </w:pPr>
    </w:lvl>
    <w:lvl w:ilvl="8">
      <w:start w:val="1"/>
      <w:numFmt w:val="decimal"/>
      <w:lvlText w:val="%9."/>
      <w:lvlJc w:val="left"/>
      <w:pPr>
        <w:ind w:left="612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360" w:hanging="360"/>
      </w:pPr>
    </w:lvl>
    <w:lvl w:ilvl="1">
      <w:numFmt w:val="bullet"/>
      <w:lvlText w:val="☐"/>
      <w:lvlJc w:val="left"/>
      <w:pPr>
        <w:ind w:left="1080" w:hanging="360"/>
      </w:pPr>
    </w:lvl>
    <w:lvl w:ilvl="2">
      <w:numFmt w:val="bullet"/>
      <w:lvlText w:val="☐"/>
      <w:lvlJc w:val="left"/>
      <w:pPr>
        <w:ind w:left="1800" w:hanging="360"/>
      </w:pPr>
    </w:lvl>
    <w:lvl w:ilvl="3">
      <w:numFmt w:val="bullet"/>
      <w:lvlText w:val="☐"/>
      <w:lvlJc w:val="left"/>
      <w:pPr>
        <w:ind w:left="2520" w:hanging="360"/>
      </w:pPr>
    </w:lvl>
    <w:lvl w:ilvl="4">
      <w:numFmt w:val="bullet"/>
      <w:lvlText w:val="☐"/>
      <w:lvlJc w:val="left"/>
      <w:pPr>
        <w:ind w:left="3240" w:hanging="360"/>
      </w:pPr>
    </w:lvl>
    <w:lvl w:ilvl="5">
      <w:numFmt w:val="bullet"/>
      <w:lvlText w:val="☐"/>
      <w:lvlJc w:val="left"/>
      <w:pPr>
        <w:ind w:left="3960" w:hanging="360"/>
      </w:pPr>
    </w:lvl>
    <w:lvl w:ilvl="6">
      <w:numFmt w:val="bullet"/>
      <w:lvlText w:val="☐"/>
      <w:lvlJc w:val="left"/>
      <w:pPr>
        <w:ind w:left="4680" w:hanging="360"/>
      </w:pPr>
    </w:lvl>
    <w:lvl w:ilvl="7">
      <w:numFmt w:val="bullet"/>
      <w:lvlText w:val="☐"/>
      <w:lvlJc w:val="left"/>
      <w:pPr>
        <w:ind w:left="5400" w:hanging="360"/>
      </w:pPr>
    </w:lvl>
    <w:lvl w:ilvl="8">
      <w:numFmt w:val="bullet"/>
      <w:lvlText w:val="☐"/>
      <w:lvlJc w:val="left"/>
      <w:pPr>
        <w:ind w:left="612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336" w:lineRule="auto"/>
    </w:pPr>
    <w:rPr>
      <w:rFonts w:ascii="Source Sans 3" w:hAnsi="Source Sans 3"/>
      <w:color w:val="25211D"/>
      <w:sz w:val="22"/>
    </w:rPr>
  </w:style>
  <w:style w:styleId="BodyText" w:type="paragraph">
    <w:name w:val="Body Text"/>
    <w:basedOn w:val="Normal"/>
    <w:link w:val="BodyTextChar"/>
    <w:qFormat/>
    <w:pPr>
      <w:spacing w:after="160" w:before="180" w:line="336" w:lineRule="auto"/>
    </w:pPr>
    <w:rPr>
      <w:rFonts w:ascii="Source Sans 3" w:hAnsi="Source Sans 3"/>
      <w:color w:val="25211D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60" w:line="336" w:lineRule="auto"/>
    </w:pPr>
    <w:rPr>
      <w:rFonts w:ascii="Source Sans 3" w:hAnsi="Source Sans 3"/>
      <w:color w:val="25211D"/>
      <w:sz w:val="22"/>
    </w:rPr>
  </w:style>
  <w:style w:customStyle="1" w:styleId="Compact" w:type="paragraph">
    <w:name w:val="Compact"/>
    <w:basedOn w:val="BodyText"/>
    <w:qFormat/>
    <w:pPr>
      <w:spacing w:after="80" w:before="0" w:line="336" w:lineRule="auto"/>
      <w:ind w:hanging="360" w:left="360"/>
    </w:pPr>
    <w:rPr>
      <w:rFonts w:ascii="Source Sans 3" w:hAnsi="Source Sans 3"/>
      <w:color w:val="25211D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60" w:before="0" w:line="276" w:lineRule="auto"/>
      <w:jc w:val="left"/>
    </w:pPr>
    <w:rPr>
      <w:rFonts w:ascii="Lora" w:asciiTheme="majorHAnsi" w:cstheme="majorBidi" w:eastAsiaTheme="majorEastAsia" w:hAnsi="Lora" w:hAnsiTheme="majorHAnsi"/>
      <w:b/>
      <w:i w:val="0"/>
      <w:color w:val="25211D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240" w:before="0" w:line="300" w:lineRule="auto"/>
      <w:jc w:val="left"/>
    </w:pPr>
    <w:rPr>
      <w:rFonts w:ascii="Lora" w:cstheme="majorBidi" w:eastAsiaTheme="majorEastAsia" w:hAnsi="Lora"/>
      <w:b w:val="0"/>
      <w:i w:val="0"/>
      <w:color w:val="5A544E"/>
      <w:spacing w:val="15"/>
      <w:sz w:val="26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0" w:line="276" w:lineRule="auto"/>
      <w:outlineLvl w:val="0"/>
    </w:pPr>
    <w:rPr>
      <w:rFonts w:ascii="Lora" w:asciiTheme="majorHAnsi" w:cstheme="majorBidi" w:eastAsiaTheme="majorEastAsia" w:hAnsi="Lora" w:hAnsiTheme="majorHAnsi"/>
      <w:b/>
      <w:i w:val="0"/>
      <w:color w:val="25211D"/>
      <w:sz w:val="4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60" w:before="440" w:line="288" w:lineRule="auto"/>
      <w:outlineLvl w:val="1"/>
    </w:pPr>
    <w:rPr>
      <w:rFonts w:ascii="Lora" w:asciiTheme="majorHAnsi" w:cstheme="majorBidi" w:eastAsiaTheme="majorEastAsia" w:hAnsi="Lora" w:hAnsiTheme="majorHAnsi"/>
      <w:b/>
      <w:i w:val="0"/>
      <w:color w:val="25211D"/>
      <w:sz w:val="3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60" w:before="320" w:line="300" w:lineRule="auto"/>
      <w:outlineLvl w:val="2"/>
    </w:pPr>
    <w:rPr>
      <w:rFonts w:ascii="Source Sans 3" w:cstheme="majorBidi" w:eastAsiaTheme="majorEastAsia" w:hAnsi="Source Sans 3"/>
      <w:b/>
      <w:i w:val="0"/>
      <w:color w:val="777069"/>
      <w:sz w:val="20"/>
      <w:szCs w:val="28"/>
      <w:caps w:val="true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60" w:before="240" w:line="240" w:lineRule="auto"/>
      <w:outlineLvl w:val="3"/>
    </w:pPr>
    <w:rPr>
      <w:rFonts w:ascii="Source Sans 3" w:cstheme="majorBidi" w:eastAsiaTheme="majorEastAsia" w:hAnsi="Source Sans 3"/>
      <w:b/>
      <w:i w:val="0"/>
      <w:iCs/>
      <w:color w:val="5A544E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pBdr>
        <w:left w:color="3a8478" w:space="8" w:sz="18" w:val="single"/>
      </w:pBdr>
      <w:ind w:left="240"/>
    </w:pPr>
    <w:rPr>
      <w:rFonts w:ascii="Lora" w:hAnsi="Lora"/>
      <w:b/>
      <w:i/>
      <w:color w:val="1E5149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Source Sans 3" w:hAnsi="Source Sans 3"/>
      <w:color w:val="25211D"/>
      <w:sz w:val="18"/>
    </w:rPr>
    <w:tblPr>
      <w:tblInd w:type="dxa" w:w="0"/>
      <w:tblCellMar>
        <w:top w:type="dxa" w:w="30"/>
        <w:left w:type="dxa" w:w="108"/>
        <w:bottom w:type="dxa" w:w="3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40" w:before="240" w:line="288" w:lineRule="auto"/>
    </w:pPr>
    <w:rPr>
      <w:rFonts w:ascii="Source Sans 3" w:hAnsi="Source Sans 3"/>
      <w:b/>
      <w:color w:val="777069"/>
      <w:sz w:val="20"/>
      <w:caps w:val="true"/>
      <w:spacing w:val="15"/>
    </w:rPr>
  </w:style>
  <w:style w:customStyle="1" w:styleId="Definition" w:type="paragraph">
    <w:name w:val="Definition"/>
    <w:basedOn w:val="Normal"/>
    <w:pPr>
      <w:spacing w:after="160" w:line="336" w:lineRule="auto"/>
    </w:pPr>
    <w:rPr>
      <w:rFonts w:ascii="Source Sans 3" w:hAnsi="Source Sans 3"/>
      <w:color w:val="25211D"/>
      <w:sz w:val="22"/>
    </w:rPr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Source Code Pro" w:hAnsi="Source Code Pro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b/>
      <w:color w:val="1E5149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allout-info" w:type="paragraph">
    <w:name w:val="callout-info"/>
    <w:basedOn w:val="Normal"/>
    <w:pPr>
      <w:spacing w:after="160" w:before="160" w:line="288" w:lineRule="auto"/>
      <w:pBdr>
        <w:top w:color="c8f4ff" w:space="6" w:sz="2" w:val="single"/>
        <w:left w:color="236b8f" w:space="8" w:sz="18" w:val="single"/>
        <w:bottom w:color="c8f4ff" w:space="6" w:sz="2" w:val="single"/>
        <w:right w:color="c8f4ff" w:space="10" w:sz="2" w:val="single"/>
      </w:pBdr>
      <w:ind w:left="240"/>
      <w:shd w:color="auto" w:fill="c8f4ff" w:val="clear"/>
      <w:keepLines/>
      <w:keepNext/>
    </w:pPr>
    <w:rPr>
      <w:rFonts w:ascii="Source Sans 3" w:hAnsi="Source Sans 3"/>
      <w:color w:val="25211D"/>
      <w:sz w:val="22"/>
    </w:rPr>
  </w:style>
  <w:style w:customStyle="1" w:styleId="callout-warning" w:type="paragraph">
    <w:name w:val="callout-warning"/>
    <w:basedOn w:val="Normal"/>
    <w:pPr>
      <w:spacing w:after="160" w:before="160" w:line="288" w:lineRule="auto"/>
      <w:pBdr>
        <w:top w:color="faefda" w:space="6" w:sz="2" w:val="single"/>
        <w:left w:color="aa8232" w:space="8" w:sz="18" w:val="single"/>
        <w:bottom w:color="faefda" w:space="6" w:sz="2" w:val="single"/>
        <w:right w:color="faefda" w:space="10" w:sz="2" w:val="single"/>
      </w:pBdr>
      <w:ind w:left="240"/>
      <w:shd w:color="auto" w:fill="faefda" w:val="clear"/>
      <w:keepLines/>
      <w:keepNext/>
    </w:pPr>
    <w:rPr>
      <w:rFonts w:ascii="Source Sans 3" w:hAnsi="Source Sans 3"/>
      <w:color w:val="25211D"/>
      <w:sz w:val="22"/>
    </w:rPr>
  </w:style>
  <w:style w:customStyle="1" w:styleId="callout-success" w:type="paragraph">
    <w:name w:val="callout-success"/>
    <w:basedOn w:val="Normal"/>
    <w:pPr>
      <w:spacing w:after="160" w:before="160" w:line="288" w:lineRule="auto"/>
      <w:pBdr>
        <w:top w:color="def8e6" w:space="6" w:sz="2" w:val="single"/>
        <w:left w:color="2c845c" w:space="8" w:sz="18" w:val="single"/>
        <w:bottom w:color="def8e6" w:space="6" w:sz="2" w:val="single"/>
        <w:right w:color="def8e6" w:space="10" w:sz="2" w:val="single"/>
      </w:pBdr>
      <w:ind w:left="240"/>
      <w:shd w:color="auto" w:fill="def8e6" w:val="clear"/>
      <w:keepLines/>
      <w:keepNext/>
    </w:pPr>
    <w:rPr>
      <w:rFonts w:ascii="Source Sans 3" w:hAnsi="Source Sans 3"/>
      <w:color w:val="25211D"/>
      <w:sz w:val="22"/>
    </w:rPr>
  </w:style>
  <w:style w:customStyle="1" w:styleId="callout-error" w:type="paragraph">
    <w:name w:val="callout-error"/>
    <w:basedOn w:val="Normal"/>
    <w:pPr>
      <w:spacing w:after="160" w:before="160" w:line="288" w:lineRule="auto"/>
      <w:pBdr>
        <w:top w:color="ffe9e5" w:space="6" w:sz="2" w:val="single"/>
        <w:left w:color="c13c3b" w:space="8" w:sz="18" w:val="single"/>
        <w:bottom w:color="ffe9e5" w:space="6" w:sz="2" w:val="single"/>
        <w:right w:color="ffe9e5" w:space="10" w:sz="2" w:val="single"/>
      </w:pBdr>
      <w:ind w:left="240"/>
      <w:shd w:color="auto" w:fill="ffe9e5" w:val="clear"/>
      <w:keepLines/>
      <w:keepNext/>
    </w:pPr>
    <w:rPr>
      <w:rFonts w:ascii="Source Sans 3" w:hAnsi="Source Sans 3"/>
      <w:color w:val="25211D"/>
      <w:sz w:val="22"/>
    </w:rPr>
  </w:style>
  <w:style w:customStyle="1" w:styleId="card" w:type="paragraph">
    <w:name w:val="card"/>
    <w:basedOn w:val="Normal"/>
    <w:pPr>
      <w:spacing w:after="160" w:before="160" w:line="288" w:lineRule="auto"/>
      <w:pBdr>
        <w:top w:color="f8f4ec" w:space="6" w:sz="2" w:val="single"/>
        <w:left w:color="f8f4ec" w:space="10" w:sz="2" w:val="single"/>
        <w:bottom w:color="f8f4ec" w:space="6" w:sz="2" w:val="single"/>
        <w:right w:color="f8f4ec" w:space="10" w:sz="2" w:val="single"/>
      </w:pBdr>
      <w:shd w:color="auto" w:fill="f8f4ec" w:val="clear"/>
      <w:keepLines/>
      <w:keepNext/>
    </w:pPr>
    <w:rPr>
      <w:rFonts w:ascii="Source Sans 3" w:hAnsi="Source Sans 3"/>
      <w:color w:val="25211D"/>
      <w:sz w:val="22"/>
    </w:rPr>
  </w:style>
  <w:style w:customStyle="1" w:styleId="card-title" w:type="paragraph">
    <w:name w:val="card-title"/>
    <w:basedOn w:val="Normal"/>
    <w:pPr>
      <w:spacing w:after="40" w:before="80" w:line="288" w:lineRule="auto"/>
      <w:pBdr>
        <w:top w:color="f8f4ec" w:space="6" w:sz="2" w:val="single"/>
        <w:left w:color="f8f4ec" w:space="10" w:sz="2" w:val="single"/>
        <w:bottom w:color="f8f4ec" w:space="6" w:sz="2" w:val="single"/>
        <w:right w:color="f8f4ec" w:space="10" w:sz="2" w:val="single"/>
      </w:pBdr>
      <w:shd w:color="auto" w:fill="f8f4ec" w:val="clear"/>
      <w:keepLines/>
      <w:keepNext/>
    </w:pPr>
    <w:rPr>
      <w:rFonts w:ascii="Lora" w:hAnsi="Lora"/>
      <w:b/>
      <w:color w:val="1E5149"/>
      <w:sz w:val="24"/>
    </w:rPr>
  </w:style>
  <w:style w:customStyle="1" w:styleId="card-body" w:type="paragraph">
    <w:name w:val="card-body"/>
    <w:basedOn w:val="Normal"/>
    <w:pPr>
      <w:spacing w:after="160" w:before="80" w:line="288" w:lineRule="auto"/>
      <w:pBdr>
        <w:top w:color="f8f4ec" w:space="6" w:sz="2" w:val="single"/>
        <w:left w:color="f8f4ec" w:space="10" w:sz="2" w:val="single"/>
        <w:bottom w:color="f8f4ec" w:space="6" w:sz="2" w:val="single"/>
        <w:right w:color="f8f4ec" w:space="10" w:sz="2" w:val="single"/>
      </w:pBdr>
      <w:shd w:color="auto" w:fill="f8f4ec" w:val="clear"/>
      <w:keepLines/>
      <w:keepNext/>
    </w:pPr>
    <w:rPr>
      <w:rFonts w:ascii="Source Sans 3" w:hAnsi="Source Sans 3"/>
      <w:color w:val="25211D"/>
      <w:sz w:val="22"/>
    </w:rPr>
  </w:style>
  <w:style w:customStyle="1" w:styleId="attestation" w:type="paragraph">
    <w:name w:val="attestation"/>
    <w:basedOn w:val="Normal"/>
    <w:pPr>
      <w:spacing w:after="160" w:before="240" w:line="288" w:lineRule="auto"/>
      <w:pBdr>
        <w:top w:color="e4dfd7" w:space="6" w:sz="2" w:val="single"/>
        <w:left w:color="bbb6ad" w:space="8" w:sz="18" w:val="single"/>
        <w:bottom w:color="e4dfd7" w:space="6" w:sz="2" w:val="single"/>
        <w:right w:color="e4dfd7" w:space="10" w:sz="2" w:val="single"/>
      </w:pBdr>
      <w:ind w:left="240"/>
      <w:shd w:color="auto" w:fill="e4dfd7" w:val="clear"/>
      <w:keepLines/>
      <w:keepNext/>
    </w:pPr>
    <w:rPr>
      <w:rFonts w:ascii="Lora" w:hAnsi="Lora"/>
      <w:color w:val="25211D"/>
      <w:sz w:val="22"/>
    </w:rPr>
  </w:style>
  <w:style w:customStyle="1" w:styleId="attestation-gate" w:type="paragraph">
    <w:name w:val="attestation-gate"/>
    <w:basedOn w:val="Normal"/>
    <w:pPr>
      <w:spacing w:after="40" w:before="40" w:line="288" w:lineRule="auto"/>
      <w:pBdr>
        <w:top w:color="e4dfd7" w:space="6" w:sz="2" w:val="single"/>
        <w:left w:color="e4dfd7" w:space="10" w:sz="2" w:val="single"/>
        <w:bottom w:color="e4dfd7" w:space="6" w:sz="2" w:val="single"/>
        <w:right w:color="e4dfd7" w:space="10" w:sz="2" w:val="single"/>
      </w:pBdr>
      <w:shd w:color="auto" w:fill="e4dfd7" w:val="clear"/>
      <w:keepLines/>
      <w:keepNext/>
    </w:pPr>
    <w:rPr>
      <w:rFonts w:ascii="Source Sans 3" w:hAnsi="Source Sans 3"/>
      <w:color w:val="25211D"/>
      <w:sz w:val="22"/>
    </w:rPr>
  </w:style>
  <w:style w:customStyle="1" w:styleId="escalation" w:type="paragraph">
    <w:name w:val="escalation"/>
    <w:basedOn w:val="Normal"/>
    <w:pPr>
      <w:spacing w:after="160" w:before="160" w:line="288" w:lineRule="auto"/>
      <w:pBdr>
        <w:top w:color="f8f4ec" w:space="6" w:sz="2" w:val="single"/>
        <w:left w:color="735311" w:space="8" w:sz="18" w:val="single"/>
        <w:bottom w:color="f8f4ec" w:space="6" w:sz="2" w:val="single"/>
        <w:right w:color="f8f4ec" w:space="10" w:sz="2" w:val="single"/>
      </w:pBdr>
      <w:ind w:left="240"/>
      <w:shd w:color="auto" w:fill="f8f4ec" w:val="clear"/>
      <w:keepLines/>
      <w:keepNext/>
    </w:pPr>
    <w:rPr>
      <w:rFonts w:ascii="Source Sans 3" w:hAnsi="Source Sans 3"/>
      <w:color w:val="25211D"/>
      <w:sz w:val="22"/>
    </w:rPr>
  </w:style>
  <w:style w:customStyle="1" w:styleId="decision-branch" w:type="paragraph">
    <w:name w:val="decision-branch"/>
    <w:basedOn w:val="Normal"/>
    <w:pPr>
      <w:spacing w:after="160" w:before="160" w:line="288" w:lineRule="auto"/>
      <w:pBdr>
        <w:top w:color="f8f4ec" w:space="6" w:sz="2" w:val="single"/>
        <w:left w:color="bbb6ad" w:space="8" w:sz="18" w:val="single"/>
        <w:bottom w:color="f8f4ec" w:space="6" w:sz="2" w:val="single"/>
        <w:right w:color="f8f4ec" w:space="10" w:sz="2" w:val="single"/>
      </w:pBdr>
      <w:ind w:left="240"/>
      <w:shd w:color="auto" w:fill="f8f4ec" w:val="clear"/>
      <w:keepLines/>
      <w:keepNext/>
    </w:pPr>
    <w:rPr>
      <w:rFonts w:ascii="Source Sans 3" w:hAnsi="Source Sans 3"/>
      <w:color w:val="25211D"/>
      <w:sz w:val="22"/>
    </w:rPr>
  </w:style>
  <w:style w:customStyle="1" w:styleId="glossary-term" w:type="paragraph">
    <w:name w:val="glossary-term"/>
    <w:basedOn w:val="Normal"/>
    <w:pPr>
      <w:spacing w:after="40" w:before="120"/>
    </w:pPr>
    <w:rPr>
      <w:rFonts w:ascii="Source Sans 3" w:hAnsi="Source Sans 3"/>
      <w:b/>
      <w:sz w:val="22"/>
    </w:rPr>
  </w:style>
  <w:style w:customStyle="1" w:styleId="glossary-def" w:type="paragraph">
    <w:name w:val="glossary-def"/>
    <w:basedOn w:val="Normal"/>
    <w:pPr>
      <w:spacing w:after="120" w:before="40"/>
      <w:ind w:left="240"/>
    </w:pPr>
    <w:rPr>
      <w:rFonts w:ascii="Source Sans 3" w:hAnsi="Source Sans 3"/>
      <w:sz w:val="22"/>
    </w:rPr>
  </w:style>
  <w:style w:customStyle="1" w:styleId="diagram-figure-eyebrow" w:type="character">
    <w:name w:val="diagram-figure-eyebrow"/>
    <w:rPr>
      <w:rFonts w:ascii="Source Code Pro" w:hAnsi="Source Code Pro"/>
      <w:b/>
      <w:color w:val="777069"/>
      <w:sz w:val="18"/>
      <w:caps w:val="true"/>
    </w:rPr>
  </w:style>
  <w:style w:customStyle="1" w:styleId="diagram-figure-title" w:type="character">
    <w:name w:val="diagram-figure-title"/>
    <w:rPr>
      <w:rFonts w:ascii="Source Sans 3" w:hAnsi="Source Sans 3"/>
      <w:color w:val="5A544E"/>
      <w:sz w:val="24"/>
    </w:rPr>
  </w:style>
  <w:style w:customStyle="1" w:styleId="screen-ref" w:type="character">
    <w:name w:val="screen-ref"/>
    <w:rPr>
      <w:rFonts w:ascii="Source Code Pro" w:hAnsi="Source Code Pro"/>
      <w:color w:val="1E5149"/>
      <w:sz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2026-06-07T02:06:25Z</dcterms:created>
  <dcterms:modified xsi:type="dcterms:W3CDTF">2026-06-07T02:06:25Z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ccountable">
    <vt:lpwstr>Director of Clinical Operations</vt:lpwstr>
  </property>
  <property fmtid="{D5CDD505-2E9C-101B-9397-08002B2CF9AE}" pid="3" name="caps">
    <vt:lpwstr/>
  </property>
  <property fmtid="{D5CDD505-2E9C-101B-9397-08002B2CF9AE}" pid="4" name="caps_note">
    <vt:lpwstr>M3 2026-05-27 added PHQ9 + 3-item anxiety screen administration to CC scope (CITI-trained CC under PI oversight). Absorbed 2026-05-31 (D2 pass). Cap reference for mental-health screening pending — flagged for Aaron’s reconciliation against the SOP Coverage Map cap inventory.</vt:lpwstr>
  </property>
  <property fmtid="{D5CDD505-2E9C-101B-9397-08002B2CF9AE}" pid="5" name="caps_source">
    <vt:lpwstr>pattern-library/pages/doc-care-coordinator-sop.html header</vt:lpwstr>
  </property>
  <property fmtid="{D5CDD505-2E9C-101B-9397-08002B2CF9AE}" pid="6" name="reviewed">
    <vt:lpwstr>2026-05</vt:lpwstr>
  </property>
  <property fmtid="{D5CDD505-2E9C-101B-9397-08002B2CF9AE}" pid="7" name="role">
    <vt:lpwstr>Care Coordinator</vt:lpwstr>
  </property>
  <property fmtid="{D5CDD505-2E9C-101B-9397-08002B2CF9AE}" pid="8" name="slug">
    <vt:lpwstr>care-coordinator</vt:lpwstr>
  </property>
  <property fmtid="{D5CDD505-2E9C-101B-9397-08002B2CF9AE}" pid="9" name="status">
    <vt:lpwstr>draft</vt:lpwstr>
  </property>
  <property fmtid="{D5CDD505-2E9C-101B-9397-08002B2CF9AE}" pid="10" name="type">
    <vt:lpwstr>Standard Operating Procedure</vt:lpwstr>
  </property>
  <property fmtid="{D5CDD505-2E9C-101B-9397-08002B2CF9AE}" pid="11" name="version">
    <vt:lpwstr>0.1 (draft)</vt:lpwstr>
  </property>
</Properties>
</file>