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Keeping the UConn Program Running</w:t>
      </w:r>
    </w:p>
    <w:p>
      <w:pPr>
        <w:pStyle w:val="FirstParagraph"/>
      </w:pPr>
      <w:r>
        <w:t xml:space="preserve">Program Administrator · Standard Operating Procedure · Version 0.1 (draft) · Reviewed May 2026</w:t>
      </w:r>
    </w:p>
    <w:p>
      <w:pPr>
        <w:pStyle w:val="callout-warning"/>
      </w:pPr>
      <w:r>
        <w:rPr>
          <w:b/>
          <w:bCs/>
        </w:rPr>
        <w:t xml:space="preserve">Draft — example content pending review and sign-off.</w:t>
      </w:r>
      <w:r>
        <w:t xml:space="preserve"> </w:t>
      </w:r>
      <w:r>
        <w:t xml:space="preserve">Do not use for training until approved.</w:t>
      </w:r>
    </w:p>
    <w:p>
      <w:pPr>
        <w:pStyle w:val="callout-info"/>
      </w:pPr>
      <w:r>
        <w:rPr>
          <w:b/>
          <w:bCs/>
        </w:rPr>
        <w:t xml:space="preserve">Proposed task set — confirm with Vanessa.</w:t>
      </w:r>
      <w:r>
        <w:t xml:space="preserve"> </w:t>
      </w:r>
      <w:r>
        <w:t xml:space="preserve">The admin role’s exact responsibilities are not yet finalized. The tasks below are a starting proposal drawn from the pilot’s operational needs; treat them as a draft to react to, not a settled scope.</w:t>
      </w:r>
    </w:p>
    <w:p>
      <w:pPr>
        <w:pStyle w:val="BodyText"/>
      </w:pPr>
      <w:r>
        <w:t xml:space="preserve">As the administrator, you keep five things current so the clinical team can focus on participants: staff readiness, system access, materials, UConn data requests, and subcontractor onboarding.</w:t>
      </w:r>
    </w:p>
    <w:p>
      <w:pPr>
        <w:pStyle w:val="Heading2"/>
      </w:pPr>
      <w:r>
        <w:t xml:space="preserve">Who this is for and what it covers</w:t>
      </w:r>
    </w:p>
    <w:p>
      <w:pPr>
        <w:pStyle w:val="FirstParagraph"/>
      </w:pPr>
      <w:r>
        <w:t xml:space="preserve">What this role covers, and where its boundaries are (proposed).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Cena’s program administrator(s) supporting the UConn Health 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Staff training and credential tracking, system-access provisioning, materials-distribution tracking, consent-form digitization and storage, UConn data-export requests, and subcontractor onboarding.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Clinical work (Registered Dietitian), participant care coordination (Care Coordinator), or participant enrollment intake (Enrollment &amp; Onboarding SOP).</w:t>
            </w:r>
          </w:p>
        </w:tc>
      </w:tr>
    </w:tbl>
    <w:p>
      <w:pPr>
        <w:pStyle w:val="Heading2"/>
      </w:pPr>
      <w:r>
        <w:t xml:space="preserve">Your standing responsibilities</w:t>
      </w:r>
    </w:p>
    <w:p>
      <w:pPr>
        <w:pStyle w:val="FirstParagraph"/>
      </w:pPr>
      <w:r>
        <w:t xml:space="preserve">What keeps the program compliant and running.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Track staff training and credentials.</w:t>
      </w:r>
      <w:r>
        <w:t xml:space="preserve"> </w:t>
      </w:r>
      <w:r>
        <w:t xml:space="preserve">In the staff training tracker — every staff member and MPH student. Result: everyone who touches participant data has current CITI / IRB training on file.</w:t>
      </w:r>
      <w:r>
        <w:t xml:space="preserve"> </w:t>
      </w:r>
      <w:r>
        <w:rPr>
          <w:i/>
          <w:iCs/>
        </w:rPr>
        <w:t xml:space="preserve">Note: someone without current training must not be given access to participant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person the system access their role needs.</w:t>
      </w:r>
      <w:r>
        <w:t xml:space="preserve"> </w:t>
      </w:r>
      <w:r>
        <w:t xml:space="preserve">In the system admin settings. Result: each person has the access their role requires under the IRB protocol — and no more than that. The cap protects participant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Track materials distribution.</w:t>
      </w:r>
      <w:r>
        <w:t xml:space="preserve"> </w:t>
      </w:r>
      <w:r>
        <w:t xml:space="preserve">In the materials-distribution tracker. Result: a record of which educational materials and recipe booklets (English / Spanish) reached which participant.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Send UConn the data they requested.</w:t>
      </w:r>
      <w:r>
        <w:t xml:space="preserve"> </w:t>
      </w:r>
      <w:r>
        <w:t xml:space="preserve">Through the data-export process. Result: requested data delivered in a format UConn can open without Cena’s tools (a non-proprietary format) within 15 days.</w:t>
      </w:r>
      <w:r>
        <w:t xml:space="preserve"> </w:t>
      </w:r>
      <w:r>
        <w:rPr>
          <w:i/>
          <w:iCs/>
        </w:rPr>
        <w:t xml:space="preserve">Note: the 15-day turnaround is a contract requirement — start promptly when a request comes 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Onboard subcontractors with signed BAAs.</w:t>
      </w:r>
      <w:r>
        <w:t xml:space="preserve"> </w:t>
      </w:r>
      <w:r>
        <w:t xml:space="preserve">Through the subcontractor onboarding checklist. Result: kitchen, delivery, and clinical subcontractors are onboarded with a signed BAA before they handle any participant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Digitize and store signed consent forms.</w:t>
      </w:r>
      <w:r>
        <w:t xml:space="preserve"> </w:t>
      </w:r>
      <w:r>
        <w:t xml:space="preserve">Scan paper consent forms signed at the in-person first visit to PDF; file the PDF on the participant record in Athena the same day the form is signed. Result: every active participant has a signed-consent PDF on their record; no paper consents persist outside Athena.</w:t>
      </w:r>
      <w:r>
        <w:t xml:space="preserve"> </w:t>
      </w:r>
      <w:r>
        <w:rPr>
          <w:i/>
          <w:iCs/>
        </w:rPr>
        <w:t xml:space="preserve">Note: this supersedes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“locked-cabinet paper copies”</w:t>
      </w:r>
      <w:r>
        <w:rPr>
          <w:i/>
          <w:iCs/>
        </w:rPr>
        <w:t xml:space="preserve"> </w:t>
      </w:r>
      <w:r>
        <w:rPr>
          <w:i/>
          <w:iCs/>
        </w:rPr>
        <w:t xml:space="preserve">approach. The signed PDF is the only canonical consent artifact going forward.</w:t>
      </w:r>
      <w:r>
        <w:t xml:space="preserve"> </w:t>
      </w:r>
      <w:r>
        <w:rPr>
          <w:rStyle w:val="VerbatimChar"/>
        </w:rPr>
        <w:t xml:space="preserve">[CONFIRM build state — consent-PDF upload workflow in admin app]</w:t>
      </w:r>
      <w:r>
        <w:t xml:space="preserve"> </w:t>
      </w:r>
      <w:r>
        <w:rPr>
          <w:rStyle w:val="VerbatimChar"/>
        </w:rPr>
        <w:t xml:space="preserve">[NEEDS VANESSA CONFIRMATION — digitization owner: admin role or shared with care coordinator]</w:t>
      </w:r>
    </w:p>
    <w:p>
      <w:pPr>
        <w:pStyle w:val="Heading2"/>
      </w:pPr>
      <w:r>
        <w:t xml:space="preserve">Access requests — give only when training is current</w:t>
      </w:r>
    </w:p>
    <w:p>
      <w:pPr>
        <w:pStyle w:val="FirstParagraph"/>
      </w:pPr>
      <w:r>
        <w:t xml:space="preserve">The one branch that comes up often — and the gate that protects participant data.</w:t>
      </w:r>
    </w:p>
    <w:p>
      <w:pPr>
        <w:pStyle w:val="decision-branch"/>
      </w:pPr>
      <w:r>
        <w:rPr>
          <w:b/>
          <w:bCs/>
        </w:rPr>
        <w:t xml:space="preserve">Their CITI / IRB training is current</w:t>
      </w:r>
      <w:r>
        <w:t xml:space="preserve"> </w:t>
      </w:r>
      <w:r>
        <w:t xml:space="preserve">— Give the access their role requires under the IRB protocol.</w:t>
      </w:r>
    </w:p>
    <w:p>
      <w:pPr>
        <w:pStyle w:val="decision-branch"/>
      </w:pPr>
      <w:r>
        <w:rPr>
          <w:b/>
          <w:bCs/>
        </w:rPr>
        <w:t xml:space="preserve">Their training is missing or expired</w:t>
      </w:r>
      <w:r>
        <w:t xml:space="preserve"> </w:t>
      </w:r>
      <w:r>
        <w:t xml:space="preserve">— Hold access until training is complete. Participant-data access requires current training — no exceptions.</w:t>
      </w:r>
    </w:p>
    <w:p>
      <w:pPr>
        <w:pStyle w:val="Heading2"/>
      </w:pPr>
      <w:r>
        <w:t xml:space="preserve">Keep current — the standing checks</w:t>
      </w:r>
    </w:p>
    <w:p>
      <w:pPr>
        <w:pStyle w:val="FirstParagraph"/>
      </w:pPr>
      <w:r>
        <w:t xml:space="preserve">The standing checks, condensed.</w:t>
      </w:r>
    </w:p>
    <w:p>
      <w:pPr>
        <w:pStyle w:val="Compact"/>
        <w:numPr>
          <w:ilvl w:val="0"/>
          <w:numId w:val="1002"/>
        </w:numPr>
      </w:pPr>
      <w:r>
        <w:t xml:space="preserve">Every staff member and MPH student has current CITI / IRB training</w:t>
      </w:r>
    </w:p>
    <w:p>
      <w:pPr>
        <w:pStyle w:val="Compact"/>
        <w:numPr>
          <w:ilvl w:val="0"/>
          <w:numId w:val="1003"/>
        </w:numPr>
      </w:pPr>
      <w:r>
        <w:t xml:space="preserve">System access matches each person’s role under the IRB protocol</w:t>
      </w:r>
    </w:p>
    <w:p>
      <w:pPr>
        <w:pStyle w:val="Compact"/>
        <w:numPr>
          <w:ilvl w:val="0"/>
          <w:numId w:val="1004"/>
        </w:numPr>
      </w:pPr>
      <w:r>
        <w:t xml:space="preserve">Materials distribution is logged per participant</w:t>
      </w:r>
    </w:p>
    <w:p>
      <w:pPr>
        <w:pStyle w:val="Compact"/>
        <w:numPr>
          <w:ilvl w:val="0"/>
          <w:numId w:val="1005"/>
        </w:numPr>
      </w:pPr>
      <w:r>
        <w:t xml:space="preserve">Any open UConn data-export request is on track for the 15-day window</w:t>
      </w:r>
    </w:p>
    <w:p>
      <w:pPr>
        <w:pStyle w:val="Compact"/>
        <w:numPr>
          <w:ilvl w:val="0"/>
          <w:numId w:val="1006"/>
        </w:numPr>
      </w:pPr>
      <w:r>
        <w:t xml:space="preserve">Every active subcontractor has a signed BAA on file</w:t>
      </w:r>
    </w:p>
    <w:p>
      <w:pPr>
        <w:pStyle w:val="Compact"/>
        <w:numPr>
          <w:ilvl w:val="0"/>
          <w:numId w:val="1007"/>
        </w:numPr>
      </w:pPr>
      <w:r>
        <w:t xml:space="preserve">Every active participant has a signed-consent PDF filed in Athena</w:t>
      </w:r>
    </w:p>
    <w:p>
      <w:pPr>
        <w:pStyle w:val="Heading2"/>
      </w:pPr>
      <w:r>
        <w:t xml:space="preserve">Terms used here</w:t>
      </w:r>
    </w:p>
    <w:p>
      <w:pPr>
        <w:pStyle w:val="FirstParagraph"/>
      </w:pPr>
      <w:r>
        <w:t xml:space="preserve">Plain-language definitions.</w:t>
      </w:r>
    </w:p>
    <w:p>
      <w:pPr>
        <w:pStyle w:val="glossary-term"/>
      </w:pPr>
      <w:r>
        <w:t xml:space="preserve">CITI / IRB training</w:t>
      </w:r>
    </w:p>
    <w:p>
      <w:pPr>
        <w:pStyle w:val="glossary-def"/>
      </w:pPr>
      <w:r>
        <w:t xml:space="preserve">The required human-subjects research training everyone must complete before working with participant data.</w:t>
      </w:r>
    </w:p>
    <w:p>
      <w:pPr>
        <w:pStyle w:val="glossary-term"/>
      </w:pPr>
      <w:r>
        <w:t xml:space="preserve">IRB protocol</w:t>
      </w:r>
    </w:p>
    <w:p>
      <w:pPr>
        <w:pStyle w:val="glossary-def"/>
      </w:pPr>
      <w:r>
        <w:t xml:space="preserve">The study’s approved rules for how the research is run, including who may see what data.</w:t>
      </w:r>
    </w:p>
    <w:p>
      <w:pPr>
        <w:pStyle w:val="glossary-term"/>
      </w:pPr>
      <w:r>
        <w:t xml:space="preserve">BAA</w:t>
      </w:r>
    </w:p>
    <w:p>
      <w:pPr>
        <w:pStyle w:val="glossary-def"/>
      </w:pPr>
      <w:r>
        <w:t xml:space="preserve">Business Associate Agreement — the contract a partner signs before they’re allowed to handle participant data.</w:t>
      </w:r>
    </w:p>
    <w:p>
      <w:pPr>
        <w:pStyle w:val="glossary-term"/>
      </w:pPr>
      <w:r>
        <w:t xml:space="preserve">Role-based access</w:t>
      </w:r>
    </w:p>
    <w:p>
      <w:pPr>
        <w:pStyle w:val="glossary-def"/>
      </w:pPr>
      <w:r>
        <w:t xml:space="preserve">Giving each person only the system access their job needs — nothing more.</w:t>
      </w:r>
    </w:p>
    <w:p>
      <w:pPr>
        <w:pStyle w:val="glossary-term"/>
      </w:pPr>
      <w:r>
        <w:t xml:space="preserve">Non-proprietary format</w:t>
      </w:r>
    </w:p>
    <w:p>
      <w:pPr>
        <w:pStyle w:val="glossary-def"/>
      </w:pPr>
      <w:r>
        <w:t xml:space="preserve">A common, openable file type (not locked to one vendor’s software) that UConn can use without Cena’s tools.</w:t>
      </w:r>
    </w:p>
    <w:p>
      <w:pPr>
        <w:pStyle w:val="glossary-term"/>
      </w:pPr>
      <w:r>
        <w:t xml:space="preserve">Signed-consent PDF</w:t>
      </w:r>
    </w:p>
    <w:p>
      <w:pPr>
        <w:pStyle w:val="glossary-def"/>
      </w:pPr>
      <w:r>
        <w:t xml:space="preserve">The participant’s paper IRB-consent form, signed at the in-person first visit and scanned to PDF the same day. The PDF is the canonical consent artifact, filed on the participant record in Athena.</w:t>
      </w:r>
    </w:p>
    <w:p>
      <w:pPr>
        <w:pStyle w:val="Heading2"/>
      </w:pPr>
      <w:r>
        <w:t xml:space="preserve">Approval status</w:t>
      </w:r>
    </w:p>
    <w:p>
      <w:pPr>
        <w:pStyle w:val="FirstParagraph"/>
      </w:pPr>
      <w:r>
        <w:t xml:space="preserve">Approved for use only when the scope is confirmed and the gates are signed.</w:t>
      </w:r>
    </w:p>
    <w:p>
      <w:pPr>
        <w:pStyle w:val="attestation"/>
      </w:pPr>
      <w:r>
        <w:rPr>
          <w:b/>
          <w:bCs/>
        </w:rPr>
        <w:t xml:space="preserve">Sign-off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Scope confirmed</w:t>
      </w:r>
      <w:r>
        <w:t xml:space="preserve"> </w:t>
      </w:r>
      <w:r>
        <w:t xml:space="preserve">— Vanessa Sena (admin task set)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Operationally true</w:t>
      </w:r>
      <w:r>
        <w:t xml:space="preserve"> </w:t>
      </w:r>
      <w:r>
        <w:t xml:space="preserve">— Vanessa Sena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Signed off</w:t>
      </w:r>
      <w:r>
        <w:t xml:space="preserve"> </w:t>
      </w:r>
      <w:r>
        <w:t xml:space="preserve">— Director of Clinical Ops</w:t>
      </w:r>
    </w:p>
    <w:p>
      <w:pPr>
        <w:pStyle w:val="attestation-gate"/>
      </w:pPr>
      <w:r>
        <w:rPr>
          <w:i/>
          <w:iCs/>
        </w:rPr>
        <w:t xml:space="preserve">Awaiting scope confirmation + sign-off — draft ·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c8f4ff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aefda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def8e6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9e5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e4dfd7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4dfd7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2026-05-31T22:07:30Z</dcterms:created>
  <dcterms:modified xsi:type="dcterms:W3CDTF">2026-05-31T22:07:30Z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caps">
    <vt:lpwstr/>
  </property>
  <property fmtid="{D5CDD505-2E9C-101B-9397-08002B2CF9AE}" pid="4" name="caps_note">
    <vt:lpwstr>M3 2026-05-27 consent-form digitization step absorbed 2026-05-31 (D2 pass). Cap reference for digitization pending — flagged for Aaron’s reconciliation against the SOP Coverage Map cap inventory.</vt:lpwstr>
  </property>
  <property fmtid="{D5CDD505-2E9C-101B-9397-08002B2CF9AE}" pid="5" name="caps_source">
    <vt:lpwstr>pattern-library/pages/doc-admin-sop.html header (13 CITI / 55-61 access / 54 materials / 58 data export / 56-63 subcontractors)</vt:lpwstr>
  </property>
  <property fmtid="{D5CDD505-2E9C-101B-9397-08002B2CF9AE}" pid="6" name="reviewed">
    <vt:lpwstr>2026-05</vt:lpwstr>
  </property>
  <property fmtid="{D5CDD505-2E9C-101B-9397-08002B2CF9AE}" pid="7" name="role">
    <vt:lpwstr>Program Administrator</vt:lpwstr>
  </property>
  <property fmtid="{D5CDD505-2E9C-101B-9397-08002B2CF9AE}" pid="8" name="slug">
    <vt:lpwstr>administrator</vt:lpwstr>
  </property>
  <property fmtid="{D5CDD505-2E9C-101B-9397-08002B2CF9AE}" pid="9" name="status">
    <vt:lpwstr>draft</vt:lpwstr>
  </property>
  <property fmtid="{D5CDD505-2E9C-101B-9397-08002B2CF9AE}" pid="10" name="type">
    <vt:lpwstr>Standard Operating Procedure</vt:lpwstr>
  </property>
  <property fmtid="{D5CDD505-2E9C-101B-9397-08002B2CF9AE}" pid="11" name="version">
    <vt:lpwstr>0.1 (draft)</vt:lpwstr>
  </property>
</Properties>
</file>