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Delivering UConn Nutrition Counseling Sessions</w:t>
      </w:r>
    </w:p>
    <w:p>
      <w:pPr>
        <w:pStyle w:val="FirstParagraph"/>
      </w:pPr>
      <w:r>
        <w:t xml:space="preserve">Registered Dietitian · Standard Operating Procedure · Version 0.1 (draft) · Reviewed May 2026</w:t>
      </w:r>
    </w:p>
    <w:p>
      <w:pPr>
        <w:pStyle w:val="callout-warning"/>
      </w:pPr>
      <w:r>
        <w:rPr>
          <w:b/>
          <w:bCs/>
        </w:rPr>
        <w:t xml:space="preserve">Draft — example content pending clinical review and sign-off.</w:t>
      </w:r>
      <w:r>
        <w:t xml:space="preserve"> </w:t>
      </w:r>
      <w:r>
        <w:t xml:space="preserve">Do not use for training or to guide care until approved.</w:t>
      </w:r>
    </w:p>
    <w:p>
      <w:pPr>
        <w:pStyle w:val="BodyText"/>
      </w:pPr>
      <w:r>
        <w:t xml:space="preserve">This procedure covers how you, as a registered dietitian, deliver the UConn pilot’s nutrition counseling sessions — running each session, capturing encounter notes in Athena, and reviewing the participant’s care plan and outcomes in the Cena platform. It also covers what you own at the in-person first visit: written consent execution, the nutrition baseline assessments, and building the initial care plan and meal plan.</w:t>
      </w:r>
    </w:p>
    <w:p>
      <w:pPr>
        <w:pStyle w:val="Heading2"/>
      </w:pPr>
      <w:r>
        <w:t xml:space="preserve">Who this is for and what it covers</w:t>
      </w:r>
    </w:p>
    <w:p>
      <w:pPr>
        <w:pStyle w:val="FirstParagraph"/>
      </w:pPr>
      <w:r>
        <w:t xml:space="preserve">What this role covers, and where its boundaries are.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Registered dietitians delivering counseling sessions for the UConn Health food-as-medicine pilot.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Executing written consent at the in-person first visit; administering the nutrition baseline assessments (HFIAS, HEI, WHOQOL-HIV BREF, NKQ); building the initial care plan and personalized meal plan; delivering the five counseling sessions (Months 0, 2, 4, 6, 9); capturing encounter notes in Athena; reviewing each participant’s care plan and outcomes in Cena.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cover</w:t>
            </w:r>
          </w:p>
        </w:tc>
        <w:tc>
          <w:tcPr/>
          <w:p>
            <w:pPr>
              <w:pStyle w:val="Compact"/>
            </w:pPr>
            <w:r>
              <w:t xml:space="preserve">Weekly care-coordination check-ins, contact logging, or appointment booking (the care coordinator’s role); PHQ9 administration and the 3-item anxiety screen (also the care coordinator’s role per IRB protocol). Scheduling is handled in Athena by the care coordinator.</w:t>
            </w:r>
          </w:p>
        </w:tc>
      </w:tr>
    </w:tbl>
    <w:p>
      <w:pPr>
        <w:pStyle w:val="Heading2"/>
      </w:pPr>
      <w:r>
        <w:t xml:space="preserve">The in-person first visit (Month 0)</w:t>
      </w:r>
    </w:p>
    <w:p>
      <w:pPr>
        <w:pStyle w:val="FirstParagraph"/>
      </w:pPr>
      <w:r>
        <w:t xml:space="preserve">The first visit is in person — required for written consent execution and to establish rapport with the participant. The full visit flow across roles is in the Enrollment &amp; Onboarding SOP; below is what’s yours.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Execute written consent.</w:t>
      </w:r>
      <w:r>
        <w:t xml:space="preserve"> </w:t>
      </w:r>
      <w:r>
        <w:t xml:space="preserve">On the UConn-provided IRB consent form, in person with the participant. Hand the signed form to the program administrator the same day for digitization and filing on the record.</w:t>
      </w:r>
      <w:r>
        <w:t xml:space="preserve"> </w:t>
      </w:r>
      <w:r>
        <w:rPr>
          <w:i/>
          <w:iCs/>
        </w:rPr>
        <w:t xml:space="preserve">Note: written consent is required before any baseline assessment proceeds.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Administer the nutrition baseline assessments.</w:t>
      </w:r>
      <w:r>
        <w:t xml:space="preserve"> </w:t>
      </w:r>
      <w:r>
        <w:t xml:space="preserve">In the Cena assessment forms on the participant record. Result: HFIAS, HEI (via 24-hour dietary recall), WHOQOL-HIV BREF, and NKQ are completed and scored.</w:t>
      </w:r>
      <w:r>
        <w:t xml:space="preserve"> </w:t>
      </w:r>
      <w:r>
        <w:rPr>
          <w:i/>
          <w:iCs/>
        </w:rPr>
        <w:t xml:space="preserve">Note: do not administer the PHQ9 or the 3-item anxiety screen — those belong to the care coordinator per IRB protocol.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Confirm the full baseline set is captured before building the care plan.</w:t>
      </w:r>
      <w:r>
        <w:t xml:space="preserve"> </w:t>
      </w:r>
      <w:r>
        <w:t xml:space="preserve">Care coordinator’s PHQ9 + 3-item anxiety must also be on the record.</w:t>
      </w:r>
      <w:r>
        <w:t xml:space="preserve"> </w:t>
      </w:r>
      <w:r>
        <w:rPr>
          <w:i/>
          <w:iCs/>
        </w:rPr>
        <w:t xml:space="preserve">Note: this is the baseline-before-intervention invariant — if any baseline is missing at the close of the visit, schedule a follow-up to complete it before the care plan begins.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the initial care plan.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Cena platform → Care plan</w:t>
      </w:r>
      <w:r>
        <w:t xml:space="preserve">, seeded from intake and the baseline assessments. Result: an individualized nutrition care plan and goals.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Build the personalized meal plan.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Cena platform → Meal plan</w:t>
      </w:r>
      <w:r>
        <w:t xml:space="preserve">, alongside the care plan. Informed by dietary preferences, cultural food preferences, and the participant’s dietary requirements.</w:t>
      </w:r>
      <w:r>
        <w:t xml:space="preserve"> </w:t>
      </w:r>
      <w:r>
        <w:rPr>
          <w:rStyle w:val="VerbatimChar"/>
        </w:rPr>
        <w:t xml:space="preserve">[NEEDS VANESSA CONFIRMATION — meal plan separation from care plan, and Dr. Woo's role on dietary requirements]</w:t>
      </w:r>
    </w:p>
    <w:p>
      <w:pPr>
        <w:pStyle w:val="Heading2"/>
      </w:pPr>
      <w:r>
        <w:t xml:space="preserve">Each counseling session (Months 2, 4, 6, 9)</w:t>
      </w:r>
    </w:p>
    <w:p>
      <w:pPr>
        <w:pStyle w:val="FirstParagraph"/>
      </w:pPr>
      <w:r>
        <w:t xml:space="preserve">The same flow for the follow-up sessions. Notes live in Athena; the care plan lives in Cena.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Deliver the counseling session.</w:t>
      </w:r>
      <w:r>
        <w:t xml:space="preserve"> </w:t>
      </w:r>
      <w:r>
        <w:t xml:space="preserve">Per the participant’s chosen modality (see</w:t>
      </w:r>
      <w:r>
        <w:t xml:space="preserve"> </w:t>
      </w:r>
      <w:r>
        <w:t xml:space="preserve">“Session modality”</w:t>
      </w:r>
      <w:r>
        <w:t xml:space="preserve"> </w:t>
      </w:r>
      <w:r>
        <w:t xml:space="preserve">below). Result: a completed counseling encounter for the participant.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Capture your encounter notes in Athena.</w:t>
      </w:r>
      <w:r>
        <w:t xml:space="preserve"> </w:t>
      </w:r>
      <w:r>
        <w:t xml:space="preserve">On the participant’s encounter — use the quick-snippet pick-lists for fluid note-taking. Result: notes saved to the billable encounter in Athena.</w:t>
      </w:r>
      <w:r>
        <w:t xml:space="preserve"> </w:t>
      </w:r>
      <w:r>
        <w:rPr>
          <w:i/>
          <w:iCs/>
        </w:rPr>
        <w:t xml:space="preserve">Note: Athena is the system of record for billable encounters — do not re-enter notes into Cena. Cena pulls them from Athena and files them on the patient record for you.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Review the care plan and outcomes in Cena.</w:t>
      </w:r>
      <w:r>
        <w:t xml:space="preserve"> </w:t>
      </w:r>
      <w:r>
        <w:t xml:space="preserve">In</w:t>
      </w:r>
      <w:r>
        <w:t xml:space="preserve"> </w:t>
      </w:r>
      <w:r>
        <w:rPr>
          <w:rStyle w:val="screen-ref"/>
        </w:rPr>
        <w:t xml:space="preserve">Cena platform → Participant detail</w:t>
      </w:r>
      <w:r>
        <w:t xml:space="preserve">. Result: the care plan reflects the latest session and the participant’s current outcomes.</w:t>
      </w:r>
      <w:r>
        <w:t xml:space="preserve"> </w:t>
      </w:r>
      <w:r>
        <w:rPr>
          <w:i/>
          <w:iCs/>
        </w:rPr>
        <w:t xml:space="preserve">Note: patient-experience data — food preferences and care-plan changes — lives in Cena, not Athena.</w:t>
      </w:r>
    </w:p>
    <w:p>
      <w:pPr>
        <w:pStyle w:val="Heading2"/>
      </w:pPr>
      <w:r>
        <w:t xml:space="preserve">Two routing decisions — modality and where data lives</w:t>
      </w:r>
    </w:p>
    <w:p>
      <w:pPr>
        <w:pStyle w:val="FirstParagraph"/>
      </w:pPr>
      <w:r>
        <w:t xml:space="preserve">Two decisions that come up every session — session modality, and which system holds which data.</w:t>
      </w:r>
    </w:p>
    <w:p>
      <w:pPr>
        <w:pStyle w:val="Heading3"/>
      </w:pPr>
      <w:r>
        <w:t xml:space="preserve">Session modality</w:t>
      </w:r>
    </w:p>
    <w:p>
      <w:pPr>
        <w:pStyle w:val="decision-branch"/>
      </w:pPr>
      <w:r>
        <w:rPr>
          <w:b/>
          <w:bCs/>
        </w:rPr>
        <w:t xml:space="preserve">The first session (Month 0)</w:t>
      </w:r>
      <w:r>
        <w:t xml:space="preserve"> </w:t>
      </w:r>
      <w:r>
        <w:t xml:space="preserve">— Always in person; required for written consent execution and to establish rapport.</w:t>
      </w:r>
    </w:p>
    <w:p>
      <w:pPr>
        <w:pStyle w:val="decision-branch"/>
      </w:pPr>
      <w:r>
        <w:rPr>
          <w:b/>
          <w:bCs/>
        </w:rPr>
        <w:t xml:space="preserve">Sessions 2–5 (Months 2, 4, 6, 9)</w:t>
      </w:r>
      <w:r>
        <w:t xml:space="preserve"> </w:t>
      </w:r>
      <w:r>
        <w:t xml:space="preserve">— Virtual permitted by default.</w:t>
      </w:r>
    </w:p>
    <w:p>
      <w:pPr>
        <w:pStyle w:val="decision-branch"/>
      </w:pPr>
      <w:r>
        <w:rPr>
          <w:b/>
          <w:bCs/>
        </w:rPr>
        <w:t xml:space="preserve">Tech-limited fallback</w:t>
      </w:r>
      <w:r>
        <w:t xml:space="preserve"> </w:t>
      </w:r>
      <w:r>
        <w:t xml:space="preserve">— If the participant cannot complete the session virtually — no internet, a phone without video, or any other access limit — they come in for a guided in-person session. Cena’s phone- and transcription-supported workflow handles ongoing support.</w:t>
      </w:r>
    </w:p>
    <w:p>
      <w:pPr>
        <w:pStyle w:val="Heading3"/>
      </w:pPr>
      <w:r>
        <w:t xml:space="preserve">Which system holds the data</w:t>
      </w:r>
    </w:p>
    <w:p>
      <w:pPr>
        <w:pStyle w:val="decision-branch"/>
      </w:pPr>
      <w:r>
        <w:rPr>
          <w:b/>
          <w:bCs/>
        </w:rPr>
        <w:t xml:space="preserve">Billable encounter content</w:t>
      </w:r>
      <w:r>
        <w:t xml:space="preserve"> </w:t>
      </w:r>
      <w:r>
        <w:t xml:space="preserve">— Athena. The system of record for anything coded for reimbursement.</w:t>
      </w:r>
    </w:p>
    <w:p>
      <w:pPr>
        <w:pStyle w:val="decision-branch"/>
      </w:pPr>
      <w:r>
        <w:rPr>
          <w:b/>
          <w:bCs/>
        </w:rPr>
        <w:t xml:space="preserve">Patient-experience data</w:t>
      </w:r>
      <w:r>
        <w:t xml:space="preserve"> </w:t>
      </w:r>
      <w:r>
        <w:t xml:space="preserve">— Cena. Food preferences, care-plan iteration, and custom outcomes.</w:t>
      </w:r>
    </w:p>
    <w:p>
      <w:pPr>
        <w:pStyle w:val="Heading2"/>
      </w:pPr>
      <w:r>
        <w:t xml:space="preserve">Every counseling session — the checklist</w:t>
      </w:r>
    </w:p>
    <w:p>
      <w:pPr>
        <w:pStyle w:val="FirstParagraph"/>
      </w:pPr>
      <w:r>
        <w:t xml:space="preserve">The session flow, condensed to a tickable list.</w:t>
      </w:r>
    </w:p>
    <w:p>
      <w:pPr>
        <w:pStyle w:val="Compact"/>
        <w:numPr>
          <w:ilvl w:val="0"/>
          <w:numId w:val="1003"/>
        </w:numPr>
      </w:pPr>
      <w:r>
        <w:t xml:space="preserve">Confirm the session modality (session 1 in person; later sessions virtual-permitted by default; in-person fallback for tech-limited)</w:t>
      </w:r>
    </w:p>
    <w:p>
      <w:pPr>
        <w:pStyle w:val="Compact"/>
        <w:numPr>
          <w:ilvl w:val="0"/>
          <w:numId w:val="1004"/>
        </w:numPr>
      </w:pPr>
      <w:r>
        <w:t xml:space="preserve">At the in-person first visit — execute written consent; administer HFIAS, HEI, WHOQOL-HIV BREF, NKQ; confirm CC’s PHQ9 + 3-item anxiety are captured; build the care plan and meal plan</w:t>
      </w:r>
    </w:p>
    <w:p>
      <w:pPr>
        <w:pStyle w:val="Compact"/>
        <w:numPr>
          <w:ilvl w:val="0"/>
          <w:numId w:val="1005"/>
        </w:numPr>
      </w:pPr>
      <w:r>
        <w:t xml:space="preserve">Deliver the counseling session</w:t>
      </w:r>
    </w:p>
    <w:p>
      <w:pPr>
        <w:pStyle w:val="Compact"/>
        <w:numPr>
          <w:ilvl w:val="0"/>
          <w:numId w:val="1006"/>
        </w:numPr>
      </w:pPr>
      <w:r>
        <w:t xml:space="preserve">Capture encounter notes in Athena (not Cena)</w:t>
      </w:r>
    </w:p>
    <w:p>
      <w:pPr>
        <w:pStyle w:val="Compact"/>
        <w:numPr>
          <w:ilvl w:val="0"/>
          <w:numId w:val="1007"/>
        </w:numPr>
      </w:pPr>
      <w:r>
        <w:t xml:space="preserve">Review the care plan and outcomes in Cena</w:t>
      </w:r>
    </w:p>
    <w:p>
      <w:pPr>
        <w:pStyle w:val="Heading2"/>
      </w:pPr>
      <w:r>
        <w:t xml:space="preserve">Terms used here</w:t>
      </w:r>
    </w:p>
    <w:p>
      <w:pPr>
        <w:pStyle w:val="FirstParagraph"/>
      </w:pPr>
      <w:r>
        <w:t xml:space="preserve">Plain-language definitions, no system jargon.</w:t>
      </w:r>
    </w:p>
    <w:p>
      <w:pPr>
        <w:pStyle w:val="glossary-term"/>
      </w:pPr>
      <w:r>
        <w:t xml:space="preserve">Encounter</w:t>
      </w:r>
    </w:p>
    <w:p>
      <w:pPr>
        <w:pStyle w:val="glossary-def"/>
      </w:pPr>
      <w:r>
        <w:t xml:space="preserve">A single counseling session with a participant, recorded for billing.</w:t>
      </w:r>
    </w:p>
    <w:p>
      <w:pPr>
        <w:pStyle w:val="glossary-term"/>
      </w:pPr>
      <w:r>
        <w:t xml:space="preserve">Athena</w:t>
      </w:r>
    </w:p>
    <w:p>
      <w:pPr>
        <w:pStyle w:val="glossary-def"/>
      </w:pPr>
      <w:r>
        <w:t xml:space="preserve">The system where encounters are recorded and coded for reimbursement. It is the official record for billable visit content.</w:t>
      </w:r>
    </w:p>
    <w:p>
      <w:pPr>
        <w:pStyle w:val="glossary-term"/>
      </w:pPr>
      <w:r>
        <w:t xml:space="preserve">Care plan</w:t>
      </w:r>
    </w:p>
    <w:p>
      <w:pPr>
        <w:pStyle w:val="glossary-def"/>
      </w:pPr>
      <w:r>
        <w:t xml:space="preserve">The participant’s individualized nutrition care plan and goals — built at the in-person first visit and updated across sessions.</w:t>
      </w:r>
    </w:p>
    <w:p>
      <w:pPr>
        <w:pStyle w:val="glossary-term"/>
      </w:pPr>
      <w:r>
        <w:t xml:space="preserve">Meal plan</w:t>
      </w:r>
    </w:p>
    <w:p>
      <w:pPr>
        <w:pStyle w:val="glossary-def"/>
      </w:pPr>
      <w:r>
        <w:t xml:space="preserve">The participant’s personalized meal plan — informed by dietary preferences, cultural food preferences, and dietary requirements. Built alongside the care plan at the in-person first visit.</w:t>
      </w:r>
    </w:p>
    <w:p>
      <w:pPr>
        <w:pStyle w:val="glossary-term"/>
      </w:pPr>
      <w:r>
        <w:t xml:space="preserve">Baseline assessments</w:t>
      </w:r>
    </w:p>
    <w:p>
      <w:pPr>
        <w:pStyle w:val="glossary-def"/>
      </w:pPr>
      <w:r>
        <w:t xml:space="preserve">Six standard questionnaires given at the in-person first visit (and again at later months). The dietitian administers HFIAS, HEI, WHOQOL-HIV BREF, and NKQ. The care coordinator administers the PHQ9 and the 3-item anxiety screen. All six must complete before the care plan begins.</w:t>
      </w:r>
    </w:p>
    <w:p>
      <w:pPr>
        <w:pStyle w:val="glossary-term"/>
      </w:pPr>
      <w:r>
        <w:t xml:space="preserve">Quick snippets</w:t>
      </w:r>
    </w:p>
    <w:p>
      <w:pPr>
        <w:pStyle w:val="glossary-def"/>
      </w:pPr>
      <w:r>
        <w:t xml:space="preserve">Athena’s pick-list shortcuts for common note text, so you can capture notes during the session.</w:t>
      </w:r>
    </w:p>
    <w:p>
      <w:pPr>
        <w:pStyle w:val="glossary-term"/>
      </w:pPr>
      <w:r>
        <w:t xml:space="preserve">Patient-experience data</w:t>
      </w:r>
    </w:p>
    <w:p>
      <w:pPr>
        <w:pStyle w:val="glossary-def"/>
      </w:pPr>
      <w:r>
        <w:t xml:space="preserve">What lives in Cena rather than Athena — food preferences, care-plan changes, and custom outcomes.</w:t>
      </w:r>
    </w:p>
    <w:p>
      <w:pPr>
        <w:pStyle w:val="Heading2"/>
      </w:pPr>
      <w:r>
        <w:t xml:space="preserve">Approval status</w:t>
      </w:r>
    </w:p>
    <w:p>
      <w:pPr>
        <w:pStyle w:val="FirstParagraph"/>
      </w:pPr>
      <w:r>
        <w:t xml:space="preserve">An RD SOP clears more than one gate. It is approved for training only when all of them are signed.</w:t>
      </w:r>
    </w:p>
    <w:p>
      <w:pPr>
        <w:pStyle w:val="attestation"/>
      </w:pPr>
      <w:r>
        <w:rPr>
          <w:b/>
          <w:bCs/>
        </w:rPr>
        <w:t xml:space="preserve">Sign-off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Clinically accurate</w:t>
      </w:r>
      <w:r>
        <w:t xml:space="preserve"> </w:t>
      </w:r>
      <w:r>
        <w:t xml:space="preserve">— clinical lead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Operationally true</w:t>
      </w:r>
      <w:r>
        <w:t xml:space="preserve"> </w:t>
      </w:r>
      <w:r>
        <w:t xml:space="preserve">— Vanessa Sena</w:t>
      </w:r>
    </w:p>
    <w:p>
      <w:pPr>
        <w:pStyle w:val="attestation-gate"/>
      </w:pPr>
      <w:r>
        <w:t xml:space="preserve">⏳</w:t>
      </w:r>
      <w:r>
        <w:t xml:space="preserve"> </w:t>
      </w:r>
      <w:r>
        <w:rPr>
          <w:b/>
          <w:bCs/>
        </w:rPr>
        <w:t xml:space="preserve">Signed off</w:t>
      </w:r>
      <w:r>
        <w:t xml:space="preserve"> </w:t>
      </w:r>
      <w:r>
        <w:t xml:space="preserve">— Director of Clinical Ops</w:t>
      </w:r>
    </w:p>
    <w:p>
      <w:pPr>
        <w:pStyle w:val="attestation-gate"/>
      </w:pPr>
      <w:r>
        <w:rPr>
          <w:i/>
          <w:iCs/>
        </w:rPr>
        <w:t xml:space="preserve">Awaiting all gates — draft, not yet approved for training · Version 0.1</w:t>
      </w:r>
    </w:p>
    <w:sectPr>
      <w:footnotePr>
        <w:numRestart w:val="eachSect"/>
      </w:footnotePr>
      <w:pgMar w:bottom="1080" w:left="1440" w:right="144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336" w:lineRule="auto"/>
    </w:pPr>
    <w:rPr>
      <w:rFonts w:ascii="Source Sans 3" w:hAnsi="Source Sans 3"/>
      <w:color w:val="0D322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336" w:lineRule="auto"/>
    </w:pPr>
    <w:rPr>
      <w:rFonts w:ascii="Source Sans 3" w:hAnsi="Source Sans 3"/>
      <w:color w:val="0D322D"/>
      <w:sz w:val="22"/>
    </w:rPr>
  </w:style>
  <w:style w:customStyle="1" w:styleId="Compact" w:type="paragraph">
    <w:name w:val="Compact"/>
    <w:basedOn w:val="BodyText"/>
    <w:qFormat/>
    <w:pPr>
      <w:spacing w:after="80" w:before="0" w:line="336" w:lineRule="auto"/>
    </w:pPr>
    <w:rPr>
      <w:rFonts w:ascii="Source Sans 3" w:hAnsi="Source Sans 3"/>
      <w:color w:val="0D322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0" w:line="276" w:lineRule="auto"/>
      <w:jc w:val="left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40" w:before="0" w:line="300" w:lineRule="auto"/>
      <w:jc w:val="left"/>
    </w:pPr>
    <w:rPr>
      <w:rFonts w:ascii="Lora" w:cstheme="majorBidi" w:eastAsiaTheme="majorEastAsia" w:hAnsi="Lora"/>
      <w:b w:val="0"/>
      <w:i w:val="0"/>
      <w:color w:val="5A544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0" w:line="276" w:lineRule="auto"/>
      <w:outlineLvl w:val="0"/>
    </w:pPr>
    <w:rPr>
      <w:rFonts w:ascii="Lora" w:asciiTheme="majorHAnsi" w:cstheme="majorBidi" w:eastAsiaTheme="majorEastAsia" w:hAnsi="Lora" w:hAnsiTheme="majorHAnsi"/>
      <w:b/>
      <w:i w:val="0"/>
      <w:color w:val="25211D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40" w:line="288" w:lineRule="auto"/>
      <w:outlineLvl w:val="1"/>
    </w:pPr>
    <w:rPr>
      <w:rFonts w:ascii="Lora" w:asciiTheme="majorHAnsi" w:cstheme="majorBidi" w:eastAsiaTheme="majorEastAsia" w:hAnsi="Lora" w:hAnsiTheme="majorHAnsi"/>
      <w:b/>
      <w:i w:val="0"/>
      <w:color w:val="25211D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320" w:line="300" w:lineRule="auto"/>
      <w:outlineLvl w:val="2"/>
    </w:pPr>
    <w:rPr>
      <w:rFonts w:ascii="Source Sans 3" w:cstheme="majorBidi" w:eastAsiaTheme="majorEastAsia" w:hAnsi="Source Sans 3"/>
      <w:b/>
      <w:i w:val="0"/>
      <w:color w:val="777069"/>
      <w:sz w:val="20"/>
      <w:szCs w:val="28"/>
      <w:caps w:val="true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40" w:lineRule="auto"/>
      <w:outlineLvl w:val="3"/>
    </w:pPr>
    <w:rPr>
      <w:rFonts w:ascii="Source Sans 3" w:cstheme="majorBidi" w:eastAsiaTheme="majorEastAsia" w:hAnsi="Source Sans 3"/>
      <w:b/>
      <w:i w:val="0"/>
      <w:iCs/>
      <w:color w:val="5A544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pBdr>
        <w:left w:color="3a8478" w:space="8" w:sz="18" w:val="single"/>
      </w:pBdr>
      <w:ind w:left="240"/>
    </w:pPr>
    <w:rPr>
      <w:rFonts w:ascii="Lora" w:hAnsi="Lora"/>
      <w:b/>
      <w:i/>
      <w:color w:val="1E5149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Source Sans 3" w:hAnsi="Source Sans 3"/>
      <w:color w:val="0D322D"/>
      <w:sz w:val="18"/>
    </w:rPr>
    <w:tblPr>
      <w:tblInd w:type="dxa" w:w="0"/>
      <w:tblCellMar>
        <w:top w:type="dxa" w:w="30"/>
        <w:left w:type="dxa" w:w="108"/>
        <w:bottom w:type="dxa" w:w="3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Source Code Pro" w:hAnsi="Source Code Pro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b/>
      <w:color w:val="1E514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-info" w:type="paragraph">
    <w:name w:val="callout-info"/>
    <w:basedOn w:val="Normal"/>
    <w:pPr>
      <w:spacing w:after="160" w:before="160"/>
      <w:pBdr>
        <w:top w:color="auto" w:space="6" w:sz="2" w:val="single"/>
        <w:left w:color="236b8f" w:space="8" w:sz="18" w:val="single"/>
        <w:bottom w:color="auto" w:space="6" w:sz="2" w:val="single"/>
      </w:pBdr>
      <w:ind w:left="240"/>
      <w:shd w:color="auto" w:fill="c8f4ff" w:val="clear"/>
    </w:pPr>
    <w:rPr>
      <w:rFonts w:ascii="Source Sans 3" w:hAnsi="Source Sans 3"/>
      <w:color w:val="25211D"/>
      <w:sz w:val="22"/>
    </w:rPr>
  </w:style>
  <w:style w:customStyle="1" w:styleId="callout-warning" w:type="paragraph">
    <w:name w:val="callout-warning"/>
    <w:basedOn w:val="Normal"/>
    <w:pPr>
      <w:spacing w:after="160" w:before="160"/>
      <w:pBdr>
        <w:top w:color="auto" w:space="6" w:sz="2" w:val="single"/>
        <w:left w:color="aa8232" w:space="8" w:sz="18" w:val="single"/>
        <w:bottom w:color="auto" w:space="6" w:sz="2" w:val="single"/>
      </w:pBdr>
      <w:ind w:left="240"/>
      <w:shd w:color="auto" w:fill="faefda" w:val="clear"/>
    </w:pPr>
    <w:rPr>
      <w:rFonts w:ascii="Source Sans 3" w:hAnsi="Source Sans 3"/>
      <w:color w:val="25211D"/>
      <w:sz w:val="22"/>
    </w:rPr>
  </w:style>
  <w:style w:customStyle="1" w:styleId="callout-success" w:type="paragraph">
    <w:name w:val="callout-success"/>
    <w:basedOn w:val="Normal"/>
    <w:pPr>
      <w:spacing w:after="160" w:before="160"/>
      <w:pBdr>
        <w:top w:color="auto" w:space="6" w:sz="2" w:val="single"/>
        <w:left w:color="2c845c" w:space="8" w:sz="18" w:val="single"/>
        <w:bottom w:color="auto" w:space="6" w:sz="2" w:val="single"/>
      </w:pBdr>
      <w:ind w:left="240"/>
      <w:shd w:color="auto" w:fill="def8e6" w:val="clear"/>
    </w:pPr>
    <w:rPr>
      <w:rFonts w:ascii="Source Sans 3" w:hAnsi="Source Sans 3"/>
      <w:color w:val="25211D"/>
      <w:sz w:val="22"/>
    </w:rPr>
  </w:style>
  <w:style w:customStyle="1" w:styleId="callout-error" w:type="paragraph">
    <w:name w:val="callout-error"/>
    <w:basedOn w:val="Normal"/>
    <w:pPr>
      <w:spacing w:after="160" w:before="160"/>
      <w:pBdr>
        <w:top w:color="auto" w:space="6" w:sz="2" w:val="single"/>
        <w:left w:color="c13c3b" w:space="8" w:sz="18" w:val="single"/>
        <w:bottom w:color="auto" w:space="6" w:sz="2" w:val="single"/>
      </w:pBdr>
      <w:ind w:left="240"/>
      <w:shd w:color="auto" w:fill="ffe9e5" w:val="clear"/>
    </w:pPr>
    <w:rPr>
      <w:rFonts w:ascii="Source Sans 3" w:hAnsi="Source Sans 3"/>
      <w:color w:val="25211D"/>
      <w:sz w:val="22"/>
    </w:rPr>
  </w:style>
  <w:style w:customStyle="1" w:styleId="card" w:type="paragraph">
    <w:name w:val="card"/>
    <w:basedOn w:val="Normal"/>
    <w:pPr>
      <w:spacing w:after="160" w:before="16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card-title" w:type="paragraph">
    <w:name w:val="card-title"/>
    <w:basedOn w:val="Normal"/>
    <w:pPr>
      <w:spacing w:after="4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Lora" w:hAnsi="Lora"/>
      <w:b/>
      <w:color w:val="1E5149"/>
      <w:sz w:val="24"/>
    </w:rPr>
  </w:style>
  <w:style w:customStyle="1" w:styleId="card-body" w:type="paragraph">
    <w:name w:val="card-body"/>
    <w:basedOn w:val="Normal"/>
    <w:pPr>
      <w:spacing w:after="160" w:before="80"/>
      <w:pBdr>
        <w:top w:color="auto" w:space="6" w:sz="2" w:val="single"/>
        <w:bottom w:color="auto" w:space="6" w:sz="2" w:val="single"/>
      </w:pBdr>
      <w:shd w:color="auto" w:fill="f8f4ec" w:val="clear"/>
    </w:pPr>
    <w:rPr>
      <w:rFonts w:ascii="Source Sans 3" w:hAnsi="Source Sans 3"/>
      <w:color w:val="25211D"/>
      <w:sz w:val="22"/>
    </w:rPr>
  </w:style>
  <w:style w:customStyle="1" w:styleId="attestation" w:type="paragraph">
    <w:name w:val="attestation"/>
    <w:basedOn w:val="Normal"/>
    <w:pPr>
      <w:spacing w:after="160" w:before="24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e4dfd7" w:val="clear"/>
    </w:pPr>
    <w:rPr>
      <w:rFonts w:ascii="Lora" w:hAnsi="Lora"/>
      <w:color w:val="25211D"/>
      <w:sz w:val="22"/>
    </w:rPr>
  </w:style>
  <w:style w:customStyle="1" w:styleId="attestation-gate" w:type="paragraph">
    <w:name w:val="attestation-gate"/>
    <w:basedOn w:val="Normal"/>
    <w:pPr>
      <w:spacing w:after="40" w:before="40"/>
      <w:pBdr>
        <w:top w:color="auto" w:space="6" w:sz="2" w:val="single"/>
        <w:bottom w:color="auto" w:space="6" w:sz="2" w:val="single"/>
      </w:pBdr>
      <w:shd w:color="auto" w:fill="e4dfd7" w:val="clear"/>
    </w:pPr>
    <w:rPr>
      <w:rFonts w:ascii="Source Sans 3" w:hAnsi="Source Sans 3"/>
      <w:color w:val="25211D"/>
      <w:sz w:val="22"/>
    </w:rPr>
  </w:style>
  <w:style w:customStyle="1" w:styleId="escalation" w:type="paragraph">
    <w:name w:val="escalation"/>
    <w:basedOn w:val="Normal"/>
    <w:pPr>
      <w:spacing w:after="160" w:before="160"/>
      <w:pBdr>
        <w:top w:color="auto" w:space="6" w:sz="2" w:val="single"/>
        <w:left w:color="735311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decision-branch" w:type="paragraph">
    <w:name w:val="decision-branch"/>
    <w:basedOn w:val="Normal"/>
    <w:pPr>
      <w:spacing w:after="160" w:before="160"/>
      <w:pBdr>
        <w:top w:color="auto" w:space="6" w:sz="2" w:val="single"/>
        <w:left w:color="bbb6ad" w:space="8" w:sz="18" w:val="single"/>
        <w:bottom w:color="auto" w:space="6" w:sz="2" w:val="single"/>
      </w:pBdr>
      <w:ind w:left="240"/>
      <w:shd w:color="auto" w:fill="f8f4ec" w:val="clear"/>
    </w:pPr>
    <w:rPr>
      <w:rFonts w:ascii="Source Sans 3" w:hAnsi="Source Sans 3"/>
      <w:color w:val="25211D"/>
      <w:sz w:val="22"/>
    </w:rPr>
  </w:style>
  <w:style w:customStyle="1" w:styleId="glossary-term" w:type="paragraph">
    <w:name w:val="glossary-term"/>
    <w:basedOn w:val="Normal"/>
    <w:pPr>
      <w:spacing w:after="40" w:before="120"/>
    </w:pPr>
    <w:rPr>
      <w:rFonts w:ascii="Source Sans 3" w:hAnsi="Source Sans 3"/>
      <w:b/>
      <w:sz w:val="22"/>
    </w:rPr>
  </w:style>
  <w:style w:customStyle="1" w:styleId="glossary-def" w:type="paragraph">
    <w:name w:val="glossary-def"/>
    <w:basedOn w:val="Normal"/>
    <w:pPr>
      <w:spacing w:after="120" w:before="40"/>
      <w:ind w:left="240"/>
    </w:pPr>
    <w:rPr>
      <w:rFonts w:ascii="Source Sans 3" w:hAnsi="Source Sans 3"/>
      <w:sz w:val="22"/>
    </w:rPr>
  </w:style>
  <w:style w:customStyle="1" w:styleId="screen-ref" w:type="character">
    <w:name w:val="screen-ref"/>
    <w:rPr>
      <w:rFonts w:ascii="Source Code Pro" w:hAnsi="Source Code Pro"/>
      <w:color w:val="1E5149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2026-05-31T22:07:30Z</dcterms:created>
  <dcterms:modified xsi:type="dcterms:W3CDTF">2026-05-31T22:07:30Z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able">
    <vt:lpwstr>Director of Clinical Operations</vt:lpwstr>
  </property>
  <property fmtid="{D5CDD505-2E9C-101B-9397-08002B2CF9AE}" pid="3" name="caps">
    <vt:lpwstr/>
  </property>
  <property fmtid="{D5CDD505-2E9C-101B-9397-08002B2CF9AE}" pid="4" name="caps_note">
    <vt:lpwstr>Coverage Map row lists 14/15/06/16; HTML lists 14/15 only; using HTML as canonical artifact source. Drift flagged for Aaron’s later reconciliation. M3 2026-05-27 refinements absorbed 2026-05-31 (D2 pass) — in-person first visit framing (consent execution + RDN rapport), baseline assessments at first visit (HFIAS, HEI, WHOQOL-HIV BREF, NKQ; PHQ9 NOT in RD scope), meal plan vs care plan separation, sessions 2-5 modality inverted to virtual-default per M3. Version history — sessions 2-5 virtual-default was reconciled with UConn on 2026-05-27; supersedes Cena’s earlier all-in-person commitment (moved here from body 2026-05-31 D3 pass — version history belongs in frontmatter not procedural body).</vt:lpwstr>
  </property>
  <property fmtid="{D5CDD505-2E9C-101B-9397-08002B2CF9AE}" pid="5" name="caps_source">
    <vt:lpwstr>pattern-library/pages/doc-rd-sop.html header</vt:lpwstr>
  </property>
  <property fmtid="{D5CDD505-2E9C-101B-9397-08002B2CF9AE}" pid="6" name="reviewed">
    <vt:lpwstr>2026-05</vt:lpwstr>
  </property>
  <property fmtid="{D5CDD505-2E9C-101B-9397-08002B2CF9AE}" pid="7" name="role">
    <vt:lpwstr>Registered Dietitian</vt:lpwstr>
  </property>
  <property fmtid="{D5CDD505-2E9C-101B-9397-08002B2CF9AE}" pid="8" name="slug">
    <vt:lpwstr>registered-dietitian</vt:lpwstr>
  </property>
  <property fmtid="{D5CDD505-2E9C-101B-9397-08002B2CF9AE}" pid="9" name="status">
    <vt:lpwstr>draft</vt:lpwstr>
  </property>
  <property fmtid="{D5CDD505-2E9C-101B-9397-08002B2CF9AE}" pid="10" name="type">
    <vt:lpwstr>Standard Operating Procedure</vt:lpwstr>
  </property>
  <property fmtid="{D5CDD505-2E9C-101B-9397-08002B2CF9AE}" pid="11" name="version">
    <vt:lpwstr>0.1 (draft)</vt:lpwstr>
  </property>
</Properties>
</file>