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Escalation when a PHQ9 screening flags a clinical concern</w:t>
      </w:r>
    </w:p>
    <w:p>
      <w:pPr>
        <w:pStyle w:val="callout-warning"/>
      </w:pPr>
      <w:r>
        <w:rPr>
          <w:b/>
          <w:bCs/>
        </w:rPr>
        <w:t xml:space="preserve">DRAFT</w:t>
      </w:r>
      <w:r>
        <w:t xml:space="preserve"> </w:t>
      </w:r>
      <w:r>
        <w:t xml:space="preserve">— clinical content pending Marrero + Healthcare Data Governance review. Do not use operationally. This document is rendered from the use-case spec at</w:t>
      </w:r>
      <w:r>
        <w:t xml:space="preserve"> </w:t>
      </w:r>
      <w:r>
        <w:rPr>
          <w:rStyle w:val="VerbatimChar"/>
        </w:rPr>
        <w:t xml:space="preserve">use-cases/escalation-phq9-positive/</w:t>
      </w:r>
      <w:r>
        <w:t xml:space="preserve">; corrections land in the source fragments, not in this rendered output.</w:t>
      </w:r>
    </w:p>
    <w:p>
      <w:pPr>
        <w:pStyle w:val="Heading2"/>
      </w:pPr>
      <w:r>
        <w:t xml:space="preserve">Who this is for and what it covers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Care coordinators handling participants whose PHQ9 screening returns a positive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Trigger detection through clinical-lead sign-off, partner hand-off, and audit.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Routine PHQ9 administration (separate procedure); emergency 911 routing (separate procedure); RD next-business-day follow-up for green-tier results.</w:t>
            </w:r>
          </w:p>
        </w:tc>
      </w:tr>
    </w:tbl>
    <w:p>
      <w:pPr>
        <w:pStyle w:val="Heading2"/>
      </w:pPr>
      <w:r>
        <w:t xml:space="preserve">When the screening fires the trigger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patient completes a PHQ9 screening.</w:t>
      </w:r>
      <w:r>
        <w:t xml:space="preserve"> </w:t>
      </w:r>
      <w:r>
        <w:t xml:space="preserve">The platform calculates the total score immediately and checks against the configured threshold.</w:t>
      </w:r>
    </w:p>
    <w:p>
      <w:pPr>
        <w:numPr>
          <w:ilvl w:val="0"/>
          <w:numId w:val="1000"/>
        </w:numPr>
      </w:pPr>
      <w:r>
        <w:t xml:space="preserve">The specific score threshold for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is pending Healthcare Data Governance review. Standard clinical practice ranges from 10 to 15 depending on guideline source. Question 9 (suicidal ideation) any-positive result triggers immediate escalation regardless of total — to confirm with Marrero.</w:t>
      </w:r>
    </w:p>
    <w:p>
      <w:pPr>
        <w:numPr>
          <w:ilvl w:val="0"/>
          <w:numId w:val="1000"/>
        </w:numPr>
      </w:pPr>
      <w:r>
        <w:t xml:space="preserve">If C-SSRS (Columbia Suicide Severity Rating Scale) is administered as a secondary instrument, its results join the case context for downstream review. C-SSRS adoption into the UConn pilot is pending Marrero.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agent classifies the response into a severity tier.</w:t>
      </w:r>
      <w:r>
        <w:t xml:space="preserve"> </w:t>
      </w:r>
      <w:r>
        <w:t xml:space="preserve">Three tiers determine the path forward.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Red — Critical.</w:t>
      </w:r>
      <w:r>
        <w:t xml:space="preserve"> </w:t>
      </w:r>
      <w:r>
        <w:t xml:space="preserve">Suicidal ideation present or score in severe range → routes to same-hour clinical-lead review.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Yellow — High.</w:t>
      </w:r>
      <w:r>
        <w:t xml:space="preserve"> </w:t>
      </w:r>
      <w:r>
        <w:t xml:space="preserve">Moderate-severe range or rapid score change → routes to same-day clinical-lead review.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Green — Moderate.</w:t>
      </w:r>
      <w:r>
        <w:t xml:space="preserve"> </w:t>
      </w:r>
      <w:r>
        <w:t xml:space="preserve">Mild-moderate range, stable trajectory → routes to RD next-business-day follow-up (separate procedure, not this SoP).</w:t>
      </w:r>
    </w:p>
    <w:p>
      <w:pPr>
        <w:pStyle w:val="callout-warning"/>
        <w:numPr>
          <w:ilvl w:val="0"/>
          <w:numId w:val="1000"/>
        </w:numPr>
      </w:pPr>
      <w:r>
        <w:rPr>
          <w:b/>
          <w:bCs/>
        </w:rPr>
        <w:t xml:space="preserve">Tier boundary specifics pending Marrero.</w:t>
      </w:r>
      <w:r>
        <w:t xml:space="preserve"> </w:t>
      </w:r>
      <w:r>
        <w:t xml:space="preserve">What scores constitute red / yellow / green; what answer-pattern combinations override a case to a higher tier.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clinical lead reviews the case.</w:t>
      </w:r>
      <w:r>
        <w:t xml:space="preserve"> </w:t>
      </w:r>
      <w:r>
        <w:t xml:space="preserve">Red and yellow cases route to the clinical-lead review queue with a structured evidence package: patient context summary, PHQ9 result and answer pattern, prior screenings if any, current care plan and medications.</w:t>
      </w:r>
    </w:p>
    <w:p>
      <w:pPr>
        <w:numPr>
          <w:ilvl w:val="0"/>
          <w:numId w:val="1000"/>
        </w:numPr>
      </w:pPr>
      <w:r>
        <w:t xml:space="preserve">The clinical lead chooses one of four sign-off decisions: escalate to BHN partner; escalate to emergency services; downgrade to RD follow-up; or defer with note. Each decision generates an immutable audit-record entry with attestor identity, rationale, and timestamp.</w:t>
      </w:r>
    </w:p>
    <w:p>
      <w:pPr>
        <w:pStyle w:val="callout-error"/>
        <w:numPr>
          <w:ilvl w:val="0"/>
          <w:numId w:val="1000"/>
        </w:numPr>
      </w:pPr>
      <w:r>
        <w:rPr>
          <w:b/>
          <w:bCs/>
        </w:rPr>
        <w:t xml:space="preserve">First-action specifics pending Vanessa + Marrero — this is the critical blocker for the Friday session and operational deployment.</w:t>
      </w:r>
      <w:r>
        <w:t xml:space="preserve"> </w:t>
      </w:r>
      <w:r>
        <w:t xml:space="preserve">What the clinical lead does in the first 5 minutes of a red-tier case is undefined; the catalog flagged this as the most operationally load-bearing gap. The Care Coordinator SoP carries an explicit</w:t>
      </w:r>
      <w:r>
        <w:t xml:space="preserve"> </w:t>
      </w:r>
      <w:r>
        <w:rPr>
          <w:rStyle w:val="VerbatimChar"/>
        </w:rPr>
        <w:t xml:space="preserve">[NEEDS VANESSA / MARRERO]</w:t>
      </w:r>
      <w:r>
        <w:t xml:space="preserve"> </w:t>
      </w:r>
      <w:r>
        <w:t xml:space="preserve">placeholder for this content.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escalate-to-BHN decisions, the agent packages the case and transmits to the partner clinical team.</w:t>
      </w:r>
      <w:r>
        <w:t xml:space="preserve"> </w:t>
      </w:r>
      <w:r>
        <w:t xml:space="preserve">The package includes patient identity, the PHQ9 result with answer pattern, any C-SSRS results, the clinical-lead attestation record, the current care plan summary, and patient contact preferences.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partner acknowledges receipt within their SLA.</w:t>
      </w:r>
      <w:r>
        <w:t xml:space="preserve"> </w:t>
      </w:r>
      <w:r>
        <w:t xml:space="preserve">Acknowledgment closes the case to audit; the chain-of-custody hash seals every upstream event.</w:t>
      </w:r>
    </w:p>
    <w:p>
      <w:pPr>
        <w:pStyle w:val="Heading2"/>
      </w:pPr>
      <w:r>
        <w:t xml:space="preserve">Hand-off package — what ships</w:t>
      </w:r>
    </w:p>
    <w:p>
      <w:pPr>
        <w:pStyle w:val="card-title"/>
      </w:pPr>
      <w:r>
        <w:t xml:space="preserve">Hand-off package contents</w:t>
      </w:r>
    </w:p>
    <w:p>
      <w:pPr>
        <w:pStyle w:val="Compact"/>
        <w:numPr>
          <w:ilvl w:val="0"/>
          <w:numId w:val="1002"/>
        </w:numPr>
      </w:pPr>
      <w:r>
        <w:t xml:space="preserve">Patient identity (name, DOB, contact information, MRN if applicable)</w:t>
      </w:r>
    </w:p>
    <w:p>
      <w:pPr>
        <w:pStyle w:val="Compact"/>
        <w:numPr>
          <w:ilvl w:val="0"/>
          <w:numId w:val="1002"/>
        </w:numPr>
      </w:pPr>
      <w:r>
        <w:t xml:space="preserve">PHQ9 result + answer pattern; prior screenings if available</w:t>
      </w:r>
    </w:p>
    <w:p>
      <w:pPr>
        <w:pStyle w:val="Compact"/>
        <w:numPr>
          <w:ilvl w:val="0"/>
          <w:numId w:val="1002"/>
        </w:numPr>
      </w:pPr>
      <w:r>
        <w:t xml:space="preserve">C-SSRS results if administered (UConn protocol adoption pending Marrero)</w:t>
      </w:r>
    </w:p>
    <w:p>
      <w:pPr>
        <w:pStyle w:val="Compact"/>
        <w:numPr>
          <w:ilvl w:val="0"/>
          <w:numId w:val="1002"/>
        </w:numPr>
      </w:pPr>
      <w:r>
        <w:t xml:space="preserve">Clinical-lead attestation record (decision, rationale, timestamp, attestor identity)</w:t>
      </w:r>
    </w:p>
    <w:p>
      <w:pPr>
        <w:pStyle w:val="Compact"/>
        <w:numPr>
          <w:ilvl w:val="0"/>
          <w:numId w:val="1002"/>
        </w:numPr>
      </w:pPr>
      <w:r>
        <w:t xml:space="preserve">Current care plan summary (diet, recent vitals, medications)</w:t>
      </w:r>
    </w:p>
    <w:p>
      <w:pPr>
        <w:pStyle w:val="Compact"/>
        <w:numPr>
          <w:ilvl w:val="0"/>
          <w:numId w:val="1002"/>
        </w:numPr>
      </w:pPr>
      <w:r>
        <w:t xml:space="preserve">Patient contact preferences (channel, window)</w:t>
      </w:r>
    </w:p>
    <w:p>
      <w:pPr>
        <w:pStyle w:val="callout-warning"/>
      </w:pPr>
      <w:r>
        <w:rPr>
          <w:b/>
          <w:bCs/>
        </w:rPr>
        <w:t xml:space="preserve">Hand-off receiver identity unresolved.</w:t>
      </w:r>
      <w:r>
        <w:t xml:space="preserve"> </w:t>
      </w:r>
      <w:r>
        <w:t xml:space="preserve">Whether the receiving team is a Cena-staffed BHN role or a UConn-side clinical-team function is pending UConn partner protocol. The hand-off transport (secure messaging API via Athena CommonWell, fax fallback) is also pending.</w:t>
      </w:r>
    </w:p>
    <w:p>
      <w:pPr>
        <w:pStyle w:val="Heading2"/>
      </w:pPr>
      <w:r>
        <w:t xml:space="preserve">Escalation — when this routes elsewhere</w:t>
      </w:r>
    </w:p>
    <w:p>
      <w:pPr>
        <w:pStyle w:val="escalation"/>
      </w:pPr>
      <w:r>
        <w:rPr>
          <w:b/>
          <w:bCs/>
        </w:rPr>
        <w:t xml:space="preserve">If the clinical lead cannot reach a decision within SLA</w:t>
      </w:r>
      <w:r>
        <w:t xml:space="preserve"> </w:t>
      </w:r>
      <w:r>
        <w:t xml:space="preserve">— the case auto-escalates to the partner clinical team via paging with a system-noted</w:t>
      </w:r>
      <w:r>
        <w:t xml:space="preserve"> </w:t>
      </w:r>
      <w:r>
        <w:t xml:space="preserve">“clinical-lead-timeout”</w:t>
      </w:r>
      <w:r>
        <w:t xml:space="preserve"> </w:t>
      </w:r>
      <w:r>
        <w:t xml:space="preserve">rationale. SLA values are pending Marrero (red likely in minutes, yellow likely in hours).</w:t>
      </w:r>
    </w:p>
    <w:p>
      <w:pPr>
        <w:pStyle w:val="escalation"/>
      </w:pPr>
      <w:r>
        <w:rPr>
          <w:b/>
          <w:bCs/>
        </w:rPr>
        <w:t xml:space="preserve">If the partner clinical team does not acknowledge within their SLA</w:t>
      </w:r>
      <w:r>
        <w:t xml:space="preserve"> </w:t>
      </w:r>
      <w:r>
        <w:t xml:space="preserve">— the case re-routes back to the clinical lead via paging. Partner-side SLA is pending UConn protocol.</w:t>
      </w:r>
    </w:p>
    <w:p>
      <w:pPr>
        <w:pStyle w:val="escalation"/>
      </w:pPr>
      <w:r>
        <w:rPr>
          <w:b/>
          <w:bCs/>
        </w:rPr>
        <w:t xml:space="preserve">If the clinical lead returns</w:t>
      </w:r>
      <w:r>
        <w:rPr>
          <w:b/>
          <w:bCs/>
        </w:rPr>
        <w:t xml:space="preserve"> </w:t>
      </w:r>
      <w:r>
        <w:rPr>
          <w:b/>
          <w:bCs/>
        </w:rPr>
        <w:t xml:space="preserve">“escalate to emergency”</w:t>
      </w:r>
      <w:r>
        <w:t xml:space="preserve"> </w:t>
      </w:r>
      <w:r>
        <w:t xml:space="preserve">— this SoP ends and the emergency-escalation procedure begins (separate SoP, not yet authored).</w:t>
      </w:r>
    </w:p>
    <w:p>
      <w:pPr>
        <w:pStyle w:val="Heading2"/>
      </w:pPr>
      <w:r>
        <w:t xml:space="preserve">Each case — the checklist</w:t>
      </w:r>
    </w:p>
    <w:p>
      <w:pPr>
        <w:pStyle w:val="card-title"/>
      </w:pPr>
      <w:r>
        <w:t xml:space="preserve">Per-case checklist</w:t>
      </w:r>
    </w:p>
    <w:p>
      <w:pPr>
        <w:pStyle w:val="Compact"/>
        <w:numPr>
          <w:ilvl w:val="0"/>
          <w:numId w:val="1003"/>
        </w:numPr>
      </w:pPr>
      <w:r>
        <w:t xml:space="preserve">PHQ9 score calculated against current threshold</w:t>
      </w:r>
    </w:p>
    <w:p>
      <w:pPr>
        <w:pStyle w:val="Compact"/>
        <w:numPr>
          <w:ilvl w:val="0"/>
          <w:numId w:val="1004"/>
        </w:numPr>
      </w:pPr>
      <w:r>
        <w:t xml:space="preserve">Q9 (suicidal ideation) any-positive override evaluated</w:t>
      </w:r>
    </w:p>
    <w:p>
      <w:pPr>
        <w:pStyle w:val="Compact"/>
        <w:numPr>
          <w:ilvl w:val="0"/>
          <w:numId w:val="1005"/>
        </w:numPr>
      </w:pPr>
      <w:r>
        <w:t xml:space="preserve">Severity tier assigned by agent classification</w:t>
      </w:r>
    </w:p>
    <w:p>
      <w:pPr>
        <w:pStyle w:val="Compact"/>
        <w:numPr>
          <w:ilvl w:val="0"/>
          <w:numId w:val="1006"/>
        </w:numPr>
      </w:pPr>
      <w:r>
        <w:t xml:space="preserve">Evidence package assembled for clinical-lead review</w:t>
      </w:r>
    </w:p>
    <w:p>
      <w:pPr>
        <w:pStyle w:val="Compact"/>
        <w:numPr>
          <w:ilvl w:val="0"/>
          <w:numId w:val="1007"/>
        </w:numPr>
      </w:pPr>
      <w:r>
        <w:t xml:space="preserve">Clinical-lead decision recorded with rationale and timestamp</w:t>
      </w:r>
    </w:p>
    <w:p>
      <w:pPr>
        <w:pStyle w:val="Compact"/>
        <w:numPr>
          <w:ilvl w:val="0"/>
          <w:numId w:val="1008"/>
        </w:numPr>
      </w:pPr>
      <w:r>
        <w:t xml:space="preserve">On escalate-to-BHN — hand-off package transmitted via configured transport</w:t>
      </w:r>
    </w:p>
    <w:p>
      <w:pPr>
        <w:pStyle w:val="Compact"/>
        <w:numPr>
          <w:ilvl w:val="0"/>
          <w:numId w:val="1009"/>
        </w:numPr>
      </w:pPr>
      <w:r>
        <w:t xml:space="preserve">On escalate-to-BHN — acknowledgment received within SLA (or timeout escalation fired)</w:t>
      </w:r>
    </w:p>
    <w:p>
      <w:pPr>
        <w:pStyle w:val="Compact"/>
        <w:numPr>
          <w:ilvl w:val="0"/>
          <w:numId w:val="1010"/>
        </w:numPr>
      </w:pPr>
      <w:r>
        <w:t xml:space="preserve">Audit record sealed with chain-of-custody hash</w:t>
      </w:r>
    </w:p>
    <w:p>
      <w:pPr>
        <w:pStyle w:val="Heading2"/>
      </w:pPr>
      <w:r>
        <w:t xml:space="preserve">Terms used here</w:t>
      </w:r>
    </w:p>
    <w:p>
      <w:pPr>
        <w:pStyle w:val="glossary-term"/>
      </w:pPr>
      <w:r>
        <w:t xml:space="preserve">PHQ9</w:t>
      </w:r>
    </w:p>
    <w:p>
      <w:pPr>
        <w:pStyle w:val="glossary-def"/>
      </w:pPr>
      <w:r>
        <w:t xml:space="preserve">Patient Health Questionnaire 9-item — a validated depression screening instrument scoring 0–27. Clinical thresholds for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vary by guideline source; Cena’s pilot threshold is pending Healthcare Data Governance review.</w:t>
      </w:r>
    </w:p>
    <w:p>
      <w:pPr>
        <w:pStyle w:val="glossary-term"/>
      </w:pPr>
      <w:r>
        <w:t xml:space="preserve">C-SSRS</w:t>
      </w:r>
    </w:p>
    <w:p>
      <w:pPr>
        <w:pStyle w:val="glossary-def"/>
      </w:pPr>
      <w:r>
        <w:t xml:space="preserve">Columbia Suicide Severity Rating Scale — a clinical instrument for assessing severity and risk of suicidal ideation. Referenced in Cena’s planning workflows as the secondary instrument tied to BHN handoff; UConn pilot adoption pending Marrero.</w:t>
      </w:r>
    </w:p>
    <w:p>
      <w:pPr>
        <w:pStyle w:val="glossary-term"/>
      </w:pPr>
      <w:r>
        <w:t xml:space="preserve">BHN</w:t>
      </w:r>
    </w:p>
    <w:p>
      <w:pPr>
        <w:pStyle w:val="glossary-def"/>
      </w:pPr>
      <w:r>
        <w:t xml:space="preserve">Behavioral Health Network — the partner clinical team that receives escalated cases for behavioral health follow-up. Whether BHN is a Cena-staffed role or a UConn-side function is unresolved as of this draft.</w:t>
      </w:r>
    </w:p>
    <w:p>
      <w:pPr>
        <w:pStyle w:val="glossary-term"/>
      </w:pPr>
      <w:r>
        <w:t xml:space="preserve">Attestation gate</w:t>
      </w:r>
    </w:p>
    <w:p>
      <w:pPr>
        <w:pStyle w:val="glossary-def"/>
      </w:pPr>
      <w:r>
        <w:t xml:space="preserve">A point in a procedure where a named human in a named role must record an explicit sign-off — with rationale and timestamp — before the case can proceed. Every sign-off generates an immutable audit-trail entry.</w:t>
      </w:r>
    </w:p>
    <w:p>
      <w:pPr>
        <w:pStyle w:val="glossary-term"/>
      </w:pPr>
      <w:r>
        <w:t xml:space="preserve">Chain of custody</w:t>
      </w:r>
    </w:p>
    <w:p>
      <w:pPr>
        <w:pStyle w:val="glossary-def"/>
      </w:pPr>
      <w:r>
        <w:t xml:space="preserve">The sequenced, hashed record of every action taken on a case — from the trigger event through every attestation gate, hand-off, and acknowledgment. Allows the case history to be reconstructed deterministically for audit or regulatory review.</w:t>
      </w:r>
    </w:p>
    <w:p>
      <w:pPr>
        <w:pStyle w:val="Heading2"/>
      </w:pPr>
      <w:r>
        <w:t xml:space="preserve">Not yet approved — gates remaining</w:t>
      </w:r>
    </w:p>
    <w:p>
      <w:pPr>
        <w:pStyle w:val="attestation"/>
      </w:pPr>
      <w:r>
        <w:t xml:space="preserve">This procedure is a DRAFT. Three approval gates remain before operational use.</w:t>
      </w:r>
    </w:p>
    <w:p>
      <w:pPr>
        <w:pStyle w:val="attestation-gate"/>
      </w:pPr>
      <w:r>
        <w:rPr>
          <w:b/>
          <w:bCs/>
        </w:rPr>
        <w:t xml:space="preserve">Clinically accurate</w:t>
      </w:r>
      <w:r>
        <w:t xml:space="preserve"> </w:t>
      </w:r>
      <w:r>
        <w:t xml:space="preserve">— pending clinical lead (Cena hire TBD; coordinate with Vanessa)</w:t>
      </w:r>
    </w:p>
    <w:p>
      <w:pPr>
        <w:pStyle w:val="attestation-gate"/>
      </w:pPr>
      <w:r>
        <w:rPr>
          <w:b/>
          <w:bCs/>
        </w:rPr>
        <w:t xml:space="preserve">Operationally true</w:t>
      </w:r>
      <w:r>
        <w:t xml:space="preserve"> </w:t>
      </w:r>
      <w:r>
        <w:t xml:space="preserve">— pending Vanessa Sena</w:t>
      </w:r>
    </w:p>
    <w:p>
      <w:pPr>
        <w:pStyle w:val="attestation-gate"/>
      </w:pPr>
      <w:r>
        <w:rPr>
          <w:b/>
          <w:bCs/>
        </w:rPr>
        <w:t xml:space="preserve">Signed off</w:t>
      </w:r>
      <w:r>
        <w:t xml:space="preserve"> </w:t>
      </w:r>
      <w:r>
        <w:t xml:space="preserve">— pending Director of Clinical Operations</w:t>
      </w:r>
    </w:p>
    <w:p>
      <w:pPr>
        <w:pStyle w:val="attestation"/>
      </w:pPr>
      <w:r>
        <w:rPr>
          <w:i/>
          <w:iCs/>
        </w:rPr>
        <w:t xml:space="preserve">Awaiting all gates — draft, not yet approved for use •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c8f4ff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aefda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def8e6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9e5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e4dfd7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4dfd7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Escalation when a PHQ9 screening flags a clinical concern</dc:title>
  <dc:creator/>
  <cp:keywords/>
  <dcterms:created xsi:type="dcterms:W3CDTF">2026-06-03T22:44:42Z</dcterms:created>
  <dcterms:modified xsi:type="dcterms:W3CDTF">2026-06-03T22:44:42Z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reviewed">
    <vt:lpwstr>2026-06</vt:lpwstr>
  </property>
  <property fmtid="{D5CDD505-2E9C-101B-9397-08002B2CF9AE}" pid="4" name="role">
    <vt:lpwstr>Care Coordinator</vt:lpwstr>
  </property>
  <property fmtid="{D5CDD505-2E9C-101B-9397-08002B2CF9AE}" pid="5" name="slug">
    <vt:lpwstr>escalation-phq9-positive</vt:lpwstr>
  </property>
  <property fmtid="{D5CDD505-2E9C-101B-9397-08002B2CF9AE}" pid="6" name="status">
    <vt:lpwstr>draft</vt:lpwstr>
  </property>
  <property fmtid="{D5CDD505-2E9C-101B-9397-08002B2CF9AE}" pid="7" name="type">
    <vt:lpwstr>Standard Operating Procedure</vt:lpwstr>
  </property>
  <property fmtid="{D5CDD505-2E9C-101B-9397-08002B2CF9AE}" pid="8" name="version">
    <vt:lpwstr>0.1 (draft)</vt:lpwstr>
  </property>
</Properties>
</file>