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PHQ9 administration at baseline and repeat screenings</w:t>
      </w:r>
    </w:p>
    <w:p>
      <w:pPr>
        <w:pStyle w:val="callout-warning"/>
      </w:pPr>
      <w:r>
        <w:rPr>
          <w:b/>
          <w:bCs/>
        </w:rPr>
        <w:t xml:space="preserve">DRAFT</w:t>
      </w:r>
      <w:r>
        <w:t xml:space="preserve"> </w:t>
      </w:r>
      <w:r>
        <w:t xml:space="preserve">— clinical content pending Marrero + Healthcare Data Governance review. Do not use operationally. This document is rendered from the use-case spec at</w:t>
      </w:r>
      <w:r>
        <w:t xml:space="preserve"> </w:t>
      </w:r>
      <w:r>
        <w:rPr>
          <w:rStyle w:val="VerbatimChar"/>
        </w:rPr>
        <w:t xml:space="preserve">use-cases/phq9-administration/</w:t>
      </w:r>
      <w:r>
        <w:t xml:space="preserve">; corrections land in the source fragments, not in this rendered output.</w:t>
      </w:r>
    </w:p>
    <w:p>
      <w:pPr>
        <w:pStyle w:val="Heading2"/>
      </w:pPr>
      <w:r>
        <w:t xml:space="preserve">Who this is for and what it covers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CITI-trained Care Coordinators administering the PHQ9 depression screening at baseline visits and at IRB-protocol repeat-screening milestones.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Trigger detection from the screening schedule through CC administration, score capture on the Cena platform, threshold check, and routing to either same-day escalation or longitudinal monitoring.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Clinical-lead review and BHN handoff on positive results (separate procedure —</w:t>
            </w:r>
            <w:r>
              <w:t xml:space="preserve"> </w:t>
            </w:r>
            <w:r>
              <w:rPr>
                <w:rStyle w:val="VerbatimChar"/>
              </w:rPr>
              <w:t xml:space="preserve">escalation-phq9-positive</w:t>
            </w:r>
            <w:r>
              <w:t xml:space="preserve">); RD initial assessments (separate procedure); enrollment and consent (separate procedure —</w:t>
            </w:r>
            <w:r>
              <w:t xml:space="preserve"> </w:t>
            </w:r>
            <w:r>
              <w:rPr>
                <w:rStyle w:val="VerbatimChar"/>
              </w:rPr>
              <w:t xml:space="preserve">written-consent-execution</w:t>
            </w:r>
            <w:r>
              <w:t xml:space="preserve">).</w:t>
            </w:r>
          </w:p>
        </w:tc>
      </w:tr>
    </w:tbl>
    <w:p>
      <w:pPr>
        <w:pStyle w:val="Heading2"/>
      </w:pPr>
      <w:r>
        <w:t xml:space="preserve">When the screening milestone fires the trigger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Cena scheduling system tracks each enrolled patient’s IRB-protocol screening schedule.</w:t>
      </w:r>
      <w:r>
        <w:t xml:space="preserve"> </w:t>
      </w:r>
      <w:r>
        <w:t xml:space="preserve">Two milestone types trigger a PHQ9 administration: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Baseline</w:t>
      </w:r>
      <w:r>
        <w:t xml:space="preserve"> </w:t>
      </w:r>
      <w:r>
        <w:t xml:space="preserve">— the patient’s first in-person visit; PHQ9 is administered alongside the dietitian’s initial assessments.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Repeat-screening</w:t>
      </w:r>
      <w:r>
        <w:t xml:space="preserve"> </w:t>
      </w:r>
      <w:r>
        <w:t xml:space="preserve">— per the IRB-protocol schedule, repeat-screening milestones fire at protocol-defined intervals.</w:t>
      </w:r>
    </w:p>
    <w:p>
      <w:pPr>
        <w:numPr>
          <w:ilvl w:val="0"/>
          <w:numId w:val="1000"/>
        </w:numPr>
      </w:pPr>
      <w:r>
        <w:t xml:space="preserve">The trigger notifies the assigned Care Coordinator that a PHQ9 administration is due, with the visit context (baseline vs. repeat, in-person vs. remote channel).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Care Coordinator administers the PHQ9 to the patient on the Cena assessment-forms platform.</w:t>
      </w:r>
      <w:r>
        <w:t xml:space="preserve"> </w:t>
      </w:r>
      <w:r>
        <w:t xml:space="preserve">Administration is scoped to the CITI-trained CC by IRB protocol; the registered dietitian and UConn student researchers are not authorized to administer it.</w:t>
      </w:r>
    </w:p>
    <w:p>
      <w:pPr>
        <w:pStyle w:val="callout-warning"/>
        <w:numPr>
          <w:ilvl w:val="0"/>
          <w:numId w:val="1000"/>
        </w:numPr>
      </w:pPr>
      <w:r>
        <w:rPr>
          <w:b/>
          <w:bCs/>
        </w:rPr>
        <w:t xml:space="preserve">Scope of practice pending Healthcare Data Governance.</w:t>
      </w:r>
      <w:r>
        <w:t xml:space="preserve"> </w:t>
      </w:r>
      <w:r>
        <w:t xml:space="preserve">CT licensure for CC administration under CT scope-of-practice rules is pending HDG confirmation. Until licensure is confirmed, the CC may administer the PHQ9 under PI oversight, and any positive-response handling follows PI guidance rather than autonomous CC action. The UConn PI is supervisor-of-record for the CC’s scope on this step.</w:t>
      </w:r>
    </w:p>
    <w:p>
      <w:pPr>
        <w:pStyle w:val="callout-warning"/>
        <w:numPr>
          <w:ilvl w:val="0"/>
          <w:numId w:val="1000"/>
        </w:numPr>
      </w:pPr>
      <w:r>
        <w:rPr>
          <w:b/>
          <w:bCs/>
        </w:rPr>
        <w:t xml:space="preserve">PHQ9 admin UI build state unconfirmed.</w:t>
      </w:r>
      <w:r>
        <w:t xml:space="preserve"> </w:t>
      </w:r>
      <w:r>
        <w:t xml:space="preserve">The build state of the PHQ9 admin UI in the Care-coordinator app is unconfirmed per the SoP draft — flagged as</w:t>
      </w:r>
      <w:r>
        <w:t xml:space="preserve"> </w:t>
      </w:r>
      <w:r>
        <w:rPr>
          <w:rStyle w:val="VerbatimChar"/>
        </w:rPr>
        <w:t xml:space="preserve">[CONFIRM build state]</w:t>
      </w:r>
      <w:r>
        <w:t xml:space="preserve">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In-person (baseline).</w:t>
      </w:r>
      <w:r>
        <w:t xml:space="preserve"> </w:t>
      </w:r>
      <w:r>
        <w:t xml:space="preserve">PHQ9 is administered alongside the dietitian’s initial assessments at the first in-person visit. CC is on-site; patient completes the form on paper or tablet; CC captures the saved result on the Cena platform.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Remote (repeat-screening).</w:t>
      </w:r>
      <w:r>
        <w:t xml:space="preserve"> </w:t>
      </w:r>
      <w:r>
        <w:t xml:space="preserve">Channel selection (self-administered via Cena platform vs. CC-administered over video) and the CC-supervision contract for the remote channel are pending Marrero. The administration shape (questionnaire → score capture) holds; what differs is who is in the room and how the CC responds when a result lands as positive on a remote channel.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platform records the result on the participant record.</w:t>
      </w:r>
      <w:r>
        <w:t xml:space="preserve"> </w:t>
      </w:r>
      <w:r>
        <w:t xml:space="preserve">The Cena assessment-forms system writes the total score, per-item responses, and administration metadata to the participant’s assessment-results subcollection. The record is immediately:</w:t>
      </w:r>
    </w:p>
    <w:p>
      <w:pPr>
        <w:pStyle w:val="Compact"/>
        <w:numPr>
          <w:ilvl w:val="1"/>
          <w:numId w:val="1003"/>
        </w:numPr>
      </w:pPr>
      <w:r>
        <w:t xml:space="preserve">Available to the agent for the downstream threshold check</w:t>
      </w:r>
    </w:p>
    <w:p>
      <w:pPr>
        <w:pStyle w:val="Compact"/>
        <w:numPr>
          <w:ilvl w:val="1"/>
          <w:numId w:val="1003"/>
        </w:numPr>
      </w:pPr>
      <w:r>
        <w:t xml:space="preserve">Available to the clinical team for longitudinal review (comparing scores across the patient’s screening history)</w:t>
      </w:r>
    </w:p>
    <w:p>
      <w:pPr>
        <w:pStyle w:val="Compact"/>
        <w:numPr>
          <w:ilvl w:val="1"/>
          <w:numId w:val="1003"/>
        </w:numPr>
      </w:pPr>
      <w:r>
        <w:t xml:space="preserve">Visible to the CC who administered it</w:t>
      </w:r>
    </w:p>
    <w:p>
      <w:pPr>
        <w:numPr>
          <w:ilvl w:val="0"/>
          <w:numId w:val="1000"/>
        </w:numPr>
      </w:pPr>
      <w:r>
        <w:t xml:space="preserve">The platform-stored value is the canonical score-of-record; any downstream reasoning references the platform record, not the source artifact (paper or tablet).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agent checks the captured score against the protocol threshold.</w:t>
      </w:r>
      <w:r>
        <w:t xml:space="preserve"> </w:t>
      </w:r>
      <w:r>
        <w:t xml:space="preserve">Two outcomes: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Positive — escalate same-day.</w:t>
      </w:r>
      <w:r>
        <w:t xml:space="preserve"> </w:t>
      </w:r>
      <w:r>
        <w:t xml:space="preserve">Total score ≥ threshold OR Q9 (suicidal ideation) any-positive. Same-day escalation, no deferral to next check-in.</w:t>
      </w:r>
    </w:p>
    <w:p>
      <w:pPr>
        <w:pStyle w:val="decision-branch"/>
        <w:numPr>
          <w:ilvl w:val="0"/>
          <w:numId w:val="1000"/>
        </w:numPr>
      </w:pPr>
      <w:r>
        <w:rPr>
          <w:b/>
          <w:bCs/>
        </w:rPr>
        <w:t xml:space="preserve">Sub-threshold — monitoring.</w:t>
      </w:r>
      <w:r>
        <w:t xml:space="preserve"> </w:t>
      </w:r>
      <w:r>
        <w:t xml:space="preserve">Total score below threshold AND Q9 == 0. Record stays on the participant record; no escalation fires; the clinical team uses the result for longitudinal comparison at the next protocol review point.</w:t>
      </w:r>
    </w:p>
    <w:p>
      <w:pPr>
        <w:pStyle w:val="callout-warning"/>
        <w:numPr>
          <w:ilvl w:val="0"/>
          <w:numId w:val="1000"/>
        </w:numPr>
      </w:pPr>
      <w:r>
        <w:rPr>
          <w:b/>
          <w:bCs/>
        </w:rPr>
        <w:t xml:space="preserve">Threshold value pending Healthcare Data Governance.</w:t>
      </w:r>
      <w:r>
        <w:t xml:space="preserve"> </w:t>
      </w:r>
      <w:r>
        <w:t xml:space="preserve">The specific PHQ9 score that constitutes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under CT scope-of-practice is pending HDG review. Standard clinical practice ranges from 10 to 15. Q9 any-positive (suicidal ideation) override semantics are pending Marrero. Whether the threshold differs between baseline and repeat-screening contexts is pending Marrero.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case routes to its downstream destination.</w:t>
      </w:r>
      <w:r>
        <w:t xml:space="preserve"> </w:t>
      </w:r>
      <w:r>
        <w:t xml:space="preserve">Positive routes same-day to the escalation use case (</w:t>
      </w:r>
      <w:r>
        <w:rPr>
          <w:rStyle w:val="VerbatimChar"/>
        </w:rPr>
        <w:t xml:space="preserve">escalation-phq9-positive</w:t>
      </w:r>
      <w:r>
        <w:t xml:space="preserve">); sub-threshold remains on the participant record for the next clinical-team review point.</w:t>
      </w:r>
    </w:p>
    <w:p>
      <w:pPr>
        <w:pStyle w:val="callout-error"/>
        <w:numPr>
          <w:ilvl w:val="0"/>
          <w:numId w:val="1000"/>
        </w:numPr>
      </w:pPr>
      <w:r>
        <w:rPr>
          <w:b/>
          <w:bCs/>
        </w:rPr>
        <w:t xml:space="preserve">First-action specifics for a positive PHQ9 on a remote check-in are not addressed (catalog open question #4).</w:t>
      </w:r>
      <w:r>
        <w:t xml:space="preserve"> </w:t>
      </w:r>
      <w:r>
        <w:t xml:space="preserve">The in-person baseline path benefits from the CC and RD being co-located; the remote path needs an explicit reach-back protocol — channel selection, who is paged synchronously, and what the CC does in the first 5 minutes before a clinical-lead response arrives. This is the local instance of the broader first-action structural gap (catalog #2) that the escalation use case also names at its clinical-lead gate.</w:t>
      </w:r>
    </w:p>
    <w:p>
      <w:pPr>
        <w:pStyle w:val="Heading2"/>
      </w:pPr>
      <w:r>
        <w:t xml:space="preserve">Hand-off package — what ships to the escalation use case on a positive result</w:t>
      </w:r>
    </w:p>
    <w:p>
      <w:pPr>
        <w:pStyle w:val="card-title"/>
      </w:pPr>
      <w:r>
        <w:t xml:space="preserve">Hand-off package contents (positive path)</w:t>
      </w:r>
    </w:p>
    <w:p>
      <w:pPr>
        <w:pStyle w:val="Compact"/>
        <w:numPr>
          <w:ilvl w:val="0"/>
          <w:numId w:val="1004"/>
        </w:numPr>
      </w:pPr>
      <w:r>
        <w:t xml:space="preserve">Canonical PHQ9 record (total score, per-item responses, administration metadata)</w:t>
      </w:r>
    </w:p>
    <w:p>
      <w:pPr>
        <w:pStyle w:val="Compact"/>
        <w:numPr>
          <w:ilvl w:val="0"/>
          <w:numId w:val="1004"/>
        </w:numPr>
      </w:pPr>
      <w:r>
        <w:t xml:space="preserve">Patient identity package (name, DOB, contact information, MRN if applicable)</w:t>
      </w:r>
    </w:p>
    <w:p>
      <w:pPr>
        <w:pStyle w:val="Compact"/>
        <w:numPr>
          <w:ilvl w:val="0"/>
          <w:numId w:val="1004"/>
        </w:numPr>
      </w:pPr>
      <w:r>
        <w:t xml:space="preserve">Administration context (in-person baseline vs. remote repeat-screening)</w:t>
      </w:r>
    </w:p>
    <w:p>
      <w:pPr>
        <w:pStyle w:val="Compact"/>
        <w:numPr>
          <w:ilvl w:val="0"/>
          <w:numId w:val="1004"/>
        </w:numPr>
      </w:pPr>
      <w:r>
        <w:t xml:space="preserve">Prior PHQ9 screenings if available (for trajectory analysis at the escalation use case’s severity-assessment step)</w:t>
      </w:r>
    </w:p>
    <w:p>
      <w:pPr>
        <w:pStyle w:val="FirstParagraph"/>
      </w:pPr>
      <w:r>
        <w:t xml:space="preserve">The escalation use case owns clinical-lead review, BHN handoff, and audit. This SoP terminates at the hand-off; downstream content is not duplicated here.</w:t>
      </w:r>
    </w:p>
    <w:p>
      <w:pPr>
        <w:pStyle w:val="Heading2"/>
      </w:pPr>
      <w:r>
        <w:t xml:space="preserve">Escalation — when this routes elsewhere</w:t>
      </w:r>
    </w:p>
    <w:p>
      <w:pPr>
        <w:pStyle w:val="escalation"/>
      </w:pPr>
      <w:r>
        <w:rPr>
          <w:b/>
          <w:bCs/>
        </w:rPr>
        <w:t xml:space="preserve">If the CC misses the same-day escalation SLA on a positive result</w:t>
      </w:r>
      <w:r>
        <w:t xml:space="preserve"> </w:t>
      </w:r>
      <w:r>
        <w:t xml:space="preserve">— the clinical lead is paged with a system-noted</w:t>
      </w:r>
      <w:r>
        <w:t xml:space="preserve"> </w:t>
      </w:r>
      <w:r>
        <w:t xml:space="preserve">“CC handoff SLA miss”</w:t>
      </w:r>
      <w:r>
        <w:t xml:space="preserve"> </w:t>
      </w:r>
      <w:r>
        <w:t xml:space="preserve">rationale. Same-day handoff is required per catalog attestation/escalation point; no deferral to the next check-in is permitted.</w:t>
      </w:r>
    </w:p>
    <w:p>
      <w:pPr>
        <w:pStyle w:val="escalation"/>
      </w:pPr>
      <w:r>
        <w:rPr>
          <w:b/>
          <w:bCs/>
        </w:rPr>
        <w:t xml:space="preserve">If the patient cannot complete the PHQ9 during the scheduled visit</w:t>
      </w:r>
      <w:r>
        <w:t xml:space="preserve"> </w:t>
      </w:r>
      <w:r>
        <w:t xml:space="preserve">— the CC records the missed administration on the participant record; the scheduling system re-triggers at the next protocol milestone. (Detailed missed-administration handling pending Marrero.)</w:t>
      </w:r>
    </w:p>
    <w:p>
      <w:pPr>
        <w:pStyle w:val="Heading2"/>
      </w:pPr>
      <w:r>
        <w:t xml:space="preserve">Each administration — the checklist</w:t>
      </w:r>
    </w:p>
    <w:p>
      <w:pPr>
        <w:pStyle w:val="card-title"/>
      </w:pPr>
      <w:r>
        <w:t xml:space="preserve">Per-administration checklist</w:t>
      </w:r>
    </w:p>
    <w:p>
      <w:pPr>
        <w:pStyle w:val="Compact"/>
        <w:numPr>
          <w:ilvl w:val="0"/>
          <w:numId w:val="1005"/>
        </w:numPr>
      </w:pPr>
      <w:r>
        <w:t xml:space="preserve">Trigger received from scheduling system (baseline or repeat-screening)</w:t>
      </w:r>
    </w:p>
    <w:p>
      <w:pPr>
        <w:pStyle w:val="Compact"/>
        <w:numPr>
          <w:ilvl w:val="0"/>
          <w:numId w:val="1006"/>
        </w:numPr>
      </w:pPr>
      <w:r>
        <w:t xml:space="preserve">CC confirms CITI-training current; PI scope-of-practice oversight available if needed</w:t>
      </w:r>
    </w:p>
    <w:p>
      <w:pPr>
        <w:pStyle w:val="Compact"/>
        <w:numPr>
          <w:ilvl w:val="0"/>
          <w:numId w:val="1007"/>
        </w:numPr>
      </w:pPr>
      <w:r>
        <w:t xml:space="preserve">Channel verified (in-person vs. remote); remote-channel reach-back protocol confirmed if applicable</w:t>
      </w:r>
    </w:p>
    <w:p>
      <w:pPr>
        <w:pStyle w:val="Compact"/>
        <w:numPr>
          <w:ilvl w:val="0"/>
          <w:numId w:val="1008"/>
        </w:numPr>
      </w:pPr>
      <w:r>
        <w:t xml:space="preserve">PHQ9 administered to patient on Cena assessment-forms platform</w:t>
      </w:r>
    </w:p>
    <w:p>
      <w:pPr>
        <w:pStyle w:val="Compact"/>
        <w:numPr>
          <w:ilvl w:val="0"/>
          <w:numId w:val="1009"/>
        </w:numPr>
      </w:pPr>
      <w:r>
        <w:t xml:space="preserve">Result captured to participant record (total + per-item + administration metadata)</w:t>
      </w:r>
    </w:p>
    <w:p>
      <w:pPr>
        <w:pStyle w:val="Compact"/>
        <w:numPr>
          <w:ilvl w:val="0"/>
          <w:numId w:val="1010"/>
        </w:numPr>
      </w:pPr>
      <w:r>
        <w:t xml:space="preserve">Threshold check completed; classification recorded</w:t>
      </w:r>
    </w:p>
    <w:p>
      <w:pPr>
        <w:pStyle w:val="Compact"/>
        <w:numPr>
          <w:ilvl w:val="0"/>
          <w:numId w:val="1011"/>
        </w:numPr>
      </w:pPr>
      <w:r>
        <w:t xml:space="preserve">On positive — hand-off package transmitted same-day to escalation use case</w:t>
      </w:r>
    </w:p>
    <w:p>
      <w:pPr>
        <w:pStyle w:val="Compact"/>
        <w:numPr>
          <w:ilvl w:val="0"/>
          <w:numId w:val="1012"/>
        </w:numPr>
      </w:pPr>
      <w:r>
        <w:t xml:space="preserve">On sub-threshold — record left on participant record for next protocol review</w:t>
      </w:r>
    </w:p>
    <w:p>
      <w:pPr>
        <w:pStyle w:val="Heading2"/>
      </w:pPr>
      <w:r>
        <w:t xml:space="preserve">Terms used here</w:t>
      </w:r>
    </w:p>
    <w:p>
      <w:pPr>
        <w:pStyle w:val="glossary-term"/>
      </w:pPr>
      <w:r>
        <w:t xml:space="preserve">PHQ9</w:t>
      </w:r>
    </w:p>
    <w:p>
      <w:pPr>
        <w:pStyle w:val="glossary-def"/>
      </w:pPr>
      <w:r>
        <w:t xml:space="preserve">Patient Health Questionnaire 9-item — a validated depression screening instrument scoring 0–27. Clinical thresholds for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vary by guideline source; Cena’s pilot threshold is pending Healthcare Data Governance review.</w:t>
      </w:r>
    </w:p>
    <w:p>
      <w:pPr>
        <w:pStyle w:val="glossary-term"/>
      </w:pPr>
      <w:r>
        <w:t xml:space="preserve">CITI training</w:t>
      </w:r>
    </w:p>
    <w:p>
      <w:pPr>
        <w:pStyle w:val="glossary-def"/>
      </w:pPr>
      <w:r>
        <w:t xml:space="preserve">Collaborative Institutional Training Initiative — the human-subjects research training that authorizes a Care Coordinator to administer protocol-specified assessments under the IRB-approved Cena/UConn pilot. PHQ9 administration is scoped to CITI-trained CCs by IRB protocol.</w:t>
      </w:r>
    </w:p>
    <w:p>
      <w:pPr>
        <w:pStyle w:val="glossary-term"/>
      </w:pPr>
      <w:r>
        <w:t xml:space="preserve">IRB protocol</w:t>
      </w:r>
    </w:p>
    <w:p>
      <w:pPr>
        <w:pStyle w:val="glossary-def"/>
      </w:pPr>
      <w:r>
        <w:t xml:space="preserve">The Institutional Review Board approved protocol governing the Cena/UConn pilot. The IRB protocol defines who may administer which assessments, the schedule for baseline and repeat-screening milestones, and the consent framework.</w:t>
      </w:r>
    </w:p>
    <w:p>
      <w:pPr>
        <w:pStyle w:val="glossary-term"/>
      </w:pPr>
      <w:r>
        <w:t xml:space="preserve">Scope of practice</w:t>
      </w:r>
    </w:p>
    <w:p>
      <w:pPr>
        <w:pStyle w:val="glossary-def"/>
      </w:pPr>
      <w:r>
        <w:t xml:space="preserve">The clinical activities a role is licensed and authorized to perform. CC administration of the PHQ9 under CT licensure rules is pending Healthcare Data Governance confirmation; until confirmed, the UConn PI provides scope-of-practice oversight.</w:t>
      </w:r>
    </w:p>
    <w:p>
      <w:pPr>
        <w:pStyle w:val="glossary-term"/>
      </w:pPr>
      <w:r>
        <w:t xml:space="preserve">Q9 override</w:t>
      </w:r>
    </w:p>
    <w:p>
      <w:pPr>
        <w:pStyle w:val="glossary-def"/>
      </w:pPr>
      <w:r>
        <w:t xml:space="preserve">Question 9 of the PHQ9 asks about suicidal ideation. Standard clinical practice treats any positive response on Q9 as an immediate escalation trigger regardless of total score; Cena’s Q9 override semantics are pending Marrero.</w:t>
      </w:r>
    </w:p>
    <w:p>
      <w:pPr>
        <w:pStyle w:val="glossary-term"/>
      </w:pPr>
      <w:r>
        <w:t xml:space="preserve">Attestation gate</w:t>
      </w:r>
    </w:p>
    <w:p>
      <w:pPr>
        <w:pStyle w:val="glossary-def"/>
      </w:pPr>
      <w:r>
        <w:t xml:space="preserve">A point in a procedure where a named human in a named role must record an explicit sign-off — with rationale and timestamp — before the case can proceed. Every sign-off generates an immutable audit-trail entry.</w:t>
      </w:r>
    </w:p>
    <w:p>
      <w:pPr>
        <w:pStyle w:val="glossary-term"/>
      </w:pPr>
      <w:r>
        <w:t xml:space="preserve">Chain of custody</w:t>
      </w:r>
    </w:p>
    <w:p>
      <w:pPr>
        <w:pStyle w:val="glossary-def"/>
      </w:pPr>
      <w:r>
        <w:t xml:space="preserve">The sequenced, hashed record of every action taken on a case — from the trigger event through every attestation gate, hand-off, and acknowledgment. Allows the case history to be reconstructed deterministically for audit or regulatory review.</w:t>
      </w:r>
    </w:p>
    <w:p>
      <w:pPr>
        <w:pStyle w:val="Heading2"/>
      </w:pPr>
      <w:r>
        <w:t xml:space="preserve">Not yet approved — gates remaining</w:t>
      </w:r>
    </w:p>
    <w:p>
      <w:pPr>
        <w:pStyle w:val="attestation"/>
      </w:pPr>
      <w:r>
        <w:t xml:space="preserve">This procedure is a DRAFT. Three approval gates remain before operational use.</w:t>
      </w:r>
    </w:p>
    <w:p>
      <w:pPr>
        <w:pStyle w:val="attestation-gate"/>
      </w:pPr>
      <w:r>
        <w:rPr>
          <w:b/>
          <w:bCs/>
        </w:rPr>
        <w:t xml:space="preserve">Clinically accurate</w:t>
      </w:r>
      <w:r>
        <w:t xml:space="preserve"> </w:t>
      </w:r>
      <w:r>
        <w:t xml:space="preserve">— pending clinical lead (Cena hire TBD; coordinate with Vanessa)</w:t>
      </w:r>
    </w:p>
    <w:p>
      <w:pPr>
        <w:pStyle w:val="attestation-gate"/>
      </w:pPr>
      <w:r>
        <w:rPr>
          <w:b/>
          <w:bCs/>
        </w:rPr>
        <w:t xml:space="preserve">Operationally true</w:t>
      </w:r>
      <w:r>
        <w:t xml:space="preserve"> </w:t>
      </w:r>
      <w:r>
        <w:t xml:space="preserve">— pending Vanessa Sena</w:t>
      </w:r>
    </w:p>
    <w:p>
      <w:pPr>
        <w:pStyle w:val="attestation-gate"/>
      </w:pPr>
      <w:r>
        <w:rPr>
          <w:b/>
          <w:bCs/>
        </w:rPr>
        <w:t xml:space="preserve">Signed off</w:t>
      </w:r>
      <w:r>
        <w:t xml:space="preserve"> </w:t>
      </w:r>
      <w:r>
        <w:t xml:space="preserve">— pending Director of Clinical Operations</w:t>
      </w:r>
    </w:p>
    <w:p>
      <w:pPr>
        <w:pStyle w:val="attestation"/>
      </w:pPr>
      <w:r>
        <w:rPr>
          <w:i/>
          <w:iCs/>
        </w:rPr>
        <w:t xml:space="preserve">Awaiting all gates — draft, not yet approved for use • Version 0.1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/>
      <w:pBdr>
        <w:top w:color="auto" w:space="6" w:sz="2" w:val="single"/>
        <w:left w:color="236b8f" w:space="8" w:sz="18" w:val="single"/>
        <w:bottom w:color="auto" w:space="6" w:sz="2" w:val="single"/>
      </w:pBdr>
      <w:ind w:left="240"/>
      <w:shd w:color="auto" w:fill="c8f4ff" w:val="clear"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/>
      <w:pBdr>
        <w:top w:color="auto" w:space="6" w:sz="2" w:val="single"/>
        <w:left w:color="aa8232" w:space="8" w:sz="18" w:val="single"/>
        <w:bottom w:color="auto" w:space="6" w:sz="2" w:val="single"/>
      </w:pBdr>
      <w:ind w:left="240"/>
      <w:shd w:color="auto" w:fill="faefda" w:val="clear"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/>
      <w:pBdr>
        <w:top w:color="auto" w:space="6" w:sz="2" w:val="single"/>
        <w:left w:color="2c845c" w:space="8" w:sz="18" w:val="single"/>
        <w:bottom w:color="auto" w:space="6" w:sz="2" w:val="single"/>
      </w:pBdr>
      <w:ind w:left="240"/>
      <w:shd w:color="auto" w:fill="def8e6" w:val="clear"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/>
      <w:pBdr>
        <w:top w:color="auto" w:space="6" w:sz="2" w:val="single"/>
        <w:left w:color="c13c3b" w:space="8" w:sz="18" w:val="single"/>
        <w:bottom w:color="auto" w:space="6" w:sz="2" w:val="single"/>
      </w:pBdr>
      <w:ind w:left="240"/>
      <w:shd w:color="auto" w:fill="ffe9e5" w:val="clear"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e4dfd7" w:val="clear"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/>
      <w:pBdr>
        <w:top w:color="auto" w:space="6" w:sz="2" w:val="single"/>
        <w:bottom w:color="auto" w:space="6" w:sz="2" w:val="single"/>
      </w:pBdr>
      <w:shd w:color="auto" w:fill="e4dfd7" w:val="clear"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/>
      <w:pBdr>
        <w:top w:color="auto" w:space="6" w:sz="2" w:val="single"/>
        <w:left w:color="735311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PHQ9 administration at baseline and repeat screenings</dc:title>
  <dc:creator/>
  <cp:keywords/>
  <dcterms:created xsi:type="dcterms:W3CDTF">2026-06-03T22:44:43Z</dcterms:created>
  <dcterms:modified xsi:type="dcterms:W3CDTF">2026-06-03T22:44:43Z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reviewed">
    <vt:lpwstr>2026-06</vt:lpwstr>
  </property>
  <property fmtid="{D5CDD505-2E9C-101B-9397-08002B2CF9AE}" pid="4" name="role">
    <vt:lpwstr>Care Coordinator</vt:lpwstr>
  </property>
  <property fmtid="{D5CDD505-2E9C-101B-9397-08002B2CF9AE}" pid="5" name="slug">
    <vt:lpwstr>phq9-administration</vt:lpwstr>
  </property>
  <property fmtid="{D5CDD505-2E9C-101B-9397-08002B2CF9AE}" pid="6" name="status">
    <vt:lpwstr>draft</vt:lpwstr>
  </property>
  <property fmtid="{D5CDD505-2E9C-101B-9397-08002B2CF9AE}" pid="7" name="type">
    <vt:lpwstr>Standard Operating Procedure</vt:lpwstr>
  </property>
  <property fmtid="{D5CDD505-2E9C-101B-9397-08002B2CF9AE}" pid="8" name="version">
    <vt:lpwstr>0.1 (draft)</vt:lpwstr>
  </property>
</Properties>
</file>